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DDC2E" w14:textId="3E2E514A" w:rsidR="00201036" w:rsidRDefault="00201036" w:rsidP="00201036">
      <w:pPr>
        <w:bidi/>
        <w:rPr>
          <w:rFonts w:hint="cs"/>
          <w:rtl/>
          <w:lang w:bidi="he-IL"/>
        </w:rPr>
      </w:pPr>
      <w:r w:rsidRPr="00201036">
        <w:rPr>
          <w:rFonts w:cs="Arial"/>
          <w:rtl/>
          <w:lang w:bidi="he-IL"/>
        </w:rPr>
        <w:t>אין מביאין תודה בחג המצות</w:t>
      </w:r>
      <w:r>
        <w:rPr>
          <w:rStyle w:val="FootnoteReference"/>
          <w:rFonts w:cs="Arial"/>
          <w:rtl/>
          <w:lang w:bidi="he-IL"/>
        </w:rPr>
        <w:footnoteReference w:id="1"/>
      </w:r>
      <w:r w:rsidRPr="00201036">
        <w:rPr>
          <w:rFonts w:cs="Arial"/>
          <w:rtl/>
          <w:lang w:bidi="he-IL"/>
        </w:rPr>
        <w:t xml:space="preserve"> מפני חמץ שבה</w:t>
      </w:r>
      <w:r w:rsidR="00D4513A">
        <w:rPr>
          <w:rStyle w:val="FootnoteReference"/>
          <w:rFonts w:cs="Arial"/>
          <w:rtl/>
          <w:lang w:bidi="he-IL"/>
        </w:rPr>
        <w:footnoteReference w:id="2"/>
      </w:r>
      <w:r w:rsidRPr="00201036">
        <w:rPr>
          <w:rFonts w:cs="Arial"/>
          <w:rtl/>
          <w:lang w:bidi="he-IL"/>
        </w:rPr>
        <w:t xml:space="preserve"> ולא בעצרת מפני שהוא יו''ט</w:t>
      </w:r>
      <w:r w:rsidR="004D144A">
        <w:rPr>
          <w:rStyle w:val="FootnoteReference"/>
          <w:rFonts w:cs="Arial"/>
          <w:rtl/>
          <w:lang w:bidi="he-IL"/>
        </w:rPr>
        <w:footnoteReference w:id="3"/>
      </w:r>
      <w:r w:rsidRPr="00201036">
        <w:rPr>
          <w:rFonts w:cs="Arial"/>
          <w:rtl/>
          <w:lang w:bidi="he-IL"/>
        </w:rPr>
        <w:t xml:space="preserve"> אבל מביא אדם תודתו בחג הסוכות</w:t>
      </w:r>
      <w:r w:rsidR="005259EF">
        <w:rPr>
          <w:rStyle w:val="FootnoteReference"/>
          <w:rFonts w:cs="Arial"/>
          <w:rtl/>
          <w:lang w:bidi="he-IL"/>
        </w:rPr>
        <w:footnoteReference w:id="4"/>
      </w:r>
      <w:r w:rsidR="005259EF">
        <w:rPr>
          <w:rStyle w:val="FootnoteReference"/>
          <w:rFonts w:cs="Arial"/>
          <w:rtl/>
          <w:lang w:bidi="he-IL"/>
        </w:rPr>
        <w:footnoteReference w:id="5"/>
      </w:r>
      <w:r w:rsidRPr="00201036">
        <w:rPr>
          <w:rFonts w:cs="Arial"/>
          <w:rtl/>
          <w:lang w:bidi="he-IL"/>
        </w:rPr>
        <w:t xml:space="preserve"> ר' שמעון אומר הרי הוא אומר בחג המצות ובחג השבועות ובחג הסכות כל שבא בחג המצות בא בחג השבועות ובחג הסוכות וכל שלא בא בחג המצות אינו בא בחג השבועות ובחג הסוכות</w:t>
      </w:r>
      <w:r w:rsidR="00F45E2A">
        <w:rPr>
          <w:rStyle w:val="FootnoteReference"/>
          <w:rFonts w:cs="Arial"/>
          <w:rtl/>
          <w:lang w:bidi="he-IL"/>
        </w:rPr>
        <w:footnoteReference w:id="6"/>
      </w:r>
      <w:r w:rsidRPr="00201036">
        <w:rPr>
          <w:rFonts w:cs="Arial"/>
          <w:rtl/>
          <w:lang w:bidi="he-IL"/>
        </w:rPr>
        <w:t xml:space="preserve"> ר''א בר''ש אומר מביא אדם תודתו בחג הסוכות</w:t>
      </w:r>
      <w:r w:rsidR="00693F11">
        <w:rPr>
          <w:rStyle w:val="FootnoteReference"/>
          <w:rFonts w:cs="Arial"/>
          <w:rtl/>
          <w:lang w:bidi="he-IL"/>
        </w:rPr>
        <w:footnoteReference w:id="7"/>
      </w:r>
      <w:r w:rsidRPr="00201036">
        <w:rPr>
          <w:rFonts w:cs="Arial"/>
          <w:rtl/>
          <w:lang w:bidi="he-IL"/>
        </w:rPr>
        <w:t xml:space="preserve"> ויוצא בה ידי חובתו משום שמחה ואין יוצא בה משום חגיגה</w:t>
      </w:r>
      <w:r w:rsidR="00A466DE">
        <w:rPr>
          <w:rStyle w:val="FootnoteReference"/>
          <w:rFonts w:cs="Arial"/>
          <w:rtl/>
          <w:lang w:bidi="he-IL"/>
        </w:rPr>
        <w:footnoteReference w:id="8"/>
      </w:r>
      <w:r w:rsidR="00A466DE">
        <w:rPr>
          <w:rFonts w:cs="Arial" w:hint="cs"/>
          <w:rtl/>
          <w:lang w:bidi="he-IL"/>
        </w:rPr>
        <w:t>.</w:t>
      </w:r>
    </w:p>
    <w:sectPr w:rsidR="002010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BA4B4" w14:textId="77777777" w:rsidR="00A300F2" w:rsidRDefault="00A300F2" w:rsidP="00201036">
      <w:pPr>
        <w:spacing w:after="0" w:line="240" w:lineRule="auto"/>
      </w:pPr>
      <w:r>
        <w:separator/>
      </w:r>
    </w:p>
  </w:endnote>
  <w:endnote w:type="continuationSeparator" w:id="0">
    <w:p w14:paraId="317526D8" w14:textId="77777777" w:rsidR="00A300F2" w:rsidRDefault="00A300F2" w:rsidP="00201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EBFB3" w14:textId="77777777" w:rsidR="00A300F2" w:rsidRDefault="00A300F2" w:rsidP="00201036">
      <w:pPr>
        <w:spacing w:after="0" w:line="240" w:lineRule="auto"/>
      </w:pPr>
      <w:r>
        <w:separator/>
      </w:r>
    </w:p>
  </w:footnote>
  <w:footnote w:type="continuationSeparator" w:id="0">
    <w:p w14:paraId="055BC172" w14:textId="77777777" w:rsidR="00A300F2" w:rsidRDefault="00A300F2" w:rsidP="00201036">
      <w:pPr>
        <w:spacing w:after="0" w:line="240" w:lineRule="auto"/>
      </w:pPr>
      <w:r>
        <w:continuationSeparator/>
      </w:r>
    </w:p>
  </w:footnote>
  <w:footnote w:id="1">
    <w:p w14:paraId="4E20E9E5" w14:textId="6025EEE3" w:rsidR="00201036" w:rsidRDefault="00201036" w:rsidP="00201036">
      <w:pPr>
        <w:pStyle w:val="FootnoteText"/>
        <w:bidi/>
        <w:rPr>
          <w:rFonts w:hint="cs"/>
          <w:rtl/>
          <w:lang w:bidi="he-IL"/>
        </w:rPr>
      </w:pPr>
      <w:r>
        <w:rPr>
          <w:rStyle w:val="FootnoteReference"/>
        </w:rPr>
        <w:footnoteRef/>
      </w:r>
      <w:r>
        <w:t xml:space="preserve"> </w:t>
      </w:r>
      <w:r>
        <w:rPr>
          <w:rFonts w:hint="cs"/>
          <w:rtl/>
          <w:lang w:bidi="he-IL"/>
        </w:rPr>
        <w:t>פשוט שלא מביאים בחג הפסח, שיש בו חמץ. אלא, בא לחדש שלא מביאים בערב פסח, כיון שלא יכול לאכול את החמץ כל זמן קרבן תודה</w:t>
      </w:r>
      <w:r w:rsidR="00D4513A">
        <w:rPr>
          <w:rFonts w:hint="cs"/>
          <w:rtl/>
          <w:lang w:bidi="he-IL"/>
        </w:rPr>
        <w:t xml:space="preserve"> (שהוא עד בוקר הבא), אלא עד חצות</w:t>
      </w:r>
      <w:r>
        <w:rPr>
          <w:rFonts w:hint="cs"/>
          <w:rtl/>
          <w:lang w:bidi="he-IL"/>
        </w:rPr>
        <w:t>, ונמצא שמביא קדשים לבית הפסול.</w:t>
      </w:r>
    </w:p>
  </w:footnote>
  <w:footnote w:id="2">
    <w:p w14:paraId="24614A38" w14:textId="7AFE6CB9" w:rsidR="00D4513A" w:rsidRDefault="00D4513A" w:rsidP="00D4513A">
      <w:pPr>
        <w:pStyle w:val="FootnoteText"/>
        <w:bidi/>
        <w:rPr>
          <w:rFonts w:hint="cs"/>
          <w:rtl/>
          <w:lang w:bidi="he-IL"/>
        </w:rPr>
      </w:pPr>
      <w:r>
        <w:rPr>
          <w:rStyle w:val="FootnoteReference"/>
        </w:rPr>
        <w:footnoteRef/>
      </w:r>
      <w:r>
        <w:t xml:space="preserve"> </w:t>
      </w:r>
      <w:r>
        <w:rPr>
          <w:rFonts w:hint="cs"/>
          <w:rtl/>
          <w:lang w:bidi="he-IL"/>
        </w:rPr>
        <w:t>בקרבן תודה יש ארבע מיני לחם, ומין אחד חמץ.</w:t>
      </w:r>
    </w:p>
  </w:footnote>
  <w:footnote w:id="3">
    <w:p w14:paraId="19C905C9" w14:textId="5BAD7F88" w:rsidR="004D144A" w:rsidRDefault="004D144A" w:rsidP="004D144A">
      <w:pPr>
        <w:pStyle w:val="FootnoteText"/>
        <w:bidi/>
        <w:rPr>
          <w:rFonts w:hint="cs"/>
          <w:rtl/>
          <w:lang w:bidi="he-IL"/>
        </w:rPr>
      </w:pPr>
      <w:r>
        <w:rPr>
          <w:rStyle w:val="FootnoteReference"/>
        </w:rPr>
        <w:footnoteRef/>
      </w:r>
      <w:r>
        <w:t xml:space="preserve"> </w:t>
      </w:r>
      <w:r>
        <w:rPr>
          <w:rFonts w:hint="cs"/>
          <w:rtl/>
          <w:lang w:bidi="he-IL"/>
        </w:rPr>
        <w:t>סובר שלא מקריבים נדרים ונדבות בי"ט (אף שלפעמים חייב אדם בתודה, נחשב נדרים ונדבות כיון שאין קביעות זמן), ולכן אין מקרביבים תודה בי"ט של עצרת.</w:t>
      </w:r>
    </w:p>
  </w:footnote>
  <w:footnote w:id="4">
    <w:p w14:paraId="72A033B9" w14:textId="269AC20D" w:rsidR="005259EF" w:rsidRDefault="005259EF" w:rsidP="005259EF">
      <w:pPr>
        <w:pStyle w:val="FootnoteText"/>
        <w:bidi/>
        <w:rPr>
          <w:rFonts w:hint="cs"/>
          <w:rtl/>
          <w:lang w:bidi="he-IL"/>
        </w:rPr>
      </w:pPr>
      <w:r>
        <w:rPr>
          <w:rStyle w:val="FootnoteReference"/>
        </w:rPr>
        <w:footnoteRef/>
      </w:r>
      <w:r>
        <w:t xml:space="preserve"> </w:t>
      </w:r>
      <w:r>
        <w:rPr>
          <w:rFonts w:hint="cs"/>
          <w:rtl/>
          <w:lang w:bidi="he-IL"/>
        </w:rPr>
        <w:t>בחול המועד.</w:t>
      </w:r>
    </w:p>
  </w:footnote>
  <w:footnote w:id="5">
    <w:p w14:paraId="6FEB9AF7" w14:textId="1866B54E" w:rsidR="005259EF" w:rsidRDefault="005259EF" w:rsidP="005259EF">
      <w:pPr>
        <w:pStyle w:val="FootnoteText"/>
        <w:bidi/>
        <w:rPr>
          <w:rFonts w:hint="cs"/>
          <w:rtl/>
          <w:lang w:bidi="he-IL"/>
        </w:rPr>
      </w:pPr>
      <w:r>
        <w:rPr>
          <w:rStyle w:val="FootnoteReference"/>
        </w:rPr>
        <w:footnoteRef/>
      </w:r>
      <w:r>
        <w:t xml:space="preserve"> </w:t>
      </w:r>
      <w:r>
        <w:rPr>
          <w:rFonts w:hint="cs"/>
          <w:rtl/>
          <w:lang w:bidi="he-IL"/>
        </w:rPr>
        <w:t xml:space="preserve">גמ' מפרש (לומדים כן מדברי רבי שמעון שבא לחלוק על תנא קמא), שת"ק לא רק בא להתיר הקרבתו בסוכות, שזה פשוט. אלא, בא לומר שלפעמים צריך להביא אותו בסוכות, אם לא רוצה לעלות בירושלים שלא ברגל כדי להביא אותו. גמ' מפרש שחולקים תנאים של המשנה בדין של בל תאחר (איסור בל תאחר הוא לאו שלא לאחר קרבן שחייב). </w:t>
      </w:r>
      <w:r w:rsidR="009D58EC">
        <w:rPr>
          <w:rFonts w:hint="cs"/>
          <w:rtl/>
          <w:lang w:bidi="he-IL"/>
        </w:rPr>
        <w:t>תנא זה סובר שזמן של בל תאחר הוא שלש הרגלים (כיון שכתובים באותו פרשה). אז, מחדש שצריך להביא אותו בסוכות ראשון שנדר, אם לא רוצה לעלות שלא בחג.</w:t>
      </w:r>
    </w:p>
  </w:footnote>
  <w:footnote w:id="6">
    <w:p w14:paraId="388AEF81" w14:textId="3F174581" w:rsidR="00F45E2A" w:rsidRDefault="00F45E2A" w:rsidP="00F45E2A">
      <w:pPr>
        <w:pStyle w:val="FootnoteText"/>
        <w:bidi/>
        <w:rPr>
          <w:rFonts w:hint="cs"/>
          <w:rtl/>
          <w:lang w:bidi="he-IL"/>
        </w:rPr>
      </w:pPr>
      <w:r>
        <w:rPr>
          <w:rStyle w:val="FootnoteReference"/>
        </w:rPr>
        <w:footnoteRef/>
      </w:r>
      <w:r>
        <w:t xml:space="preserve"> </w:t>
      </w:r>
      <w:r>
        <w:rPr>
          <w:rFonts w:hint="cs"/>
          <w:rtl/>
          <w:lang w:bidi="he-IL"/>
        </w:rPr>
        <w:t>לא בא לחלוק על דין הקרבתו בחול המועד, שפשוט שיכול להקריב נדרים ונדבות בחול המועד. אלא בא לומר שאם לא עבר כבר חג הפסח, לא צריך להביא את תודתו בחג הסוכות כדי שלא לעבור בל תאחר (וזה פי' דבריו- שכל זמן שאין מקריבים אותו בחג הפסח, דהיי' שלא עבר פסח, לא מקריבים אותו בסוכות, דהיי' שלא צריך להביא אותו בסוכות). סובר שכיון שבל תאחר נאמר בענין סוכות, כדי לעבור על ב"ת, צריך שלש המועדות, וסוכות באחרונה.</w:t>
      </w:r>
    </w:p>
  </w:footnote>
  <w:footnote w:id="7">
    <w:p w14:paraId="3AF8DC33" w14:textId="2672C911" w:rsidR="00693F11" w:rsidRDefault="00693F11" w:rsidP="00693F11">
      <w:pPr>
        <w:pStyle w:val="FootnoteText"/>
        <w:bidi/>
        <w:rPr>
          <w:rFonts w:hint="cs"/>
          <w:rtl/>
          <w:lang w:bidi="he-IL"/>
        </w:rPr>
      </w:pPr>
      <w:r>
        <w:rPr>
          <w:rStyle w:val="FootnoteReference"/>
        </w:rPr>
        <w:footnoteRef/>
      </w:r>
      <w:r>
        <w:t xml:space="preserve"> </w:t>
      </w:r>
      <w:r>
        <w:rPr>
          <w:rFonts w:hint="cs"/>
          <w:rtl/>
          <w:lang w:bidi="he-IL"/>
        </w:rPr>
        <w:t xml:space="preserve">בא לומר שאף בי"ט יכולים להקריב אותו, שנדרים ונדבות קרבים בי"ט. נקט סוכות, כיון שסובר שכיון שסוכות נאמר בענין של ב"ת, עובר אם עבר על סוכות (בין אם </w:t>
      </w:r>
      <w:r w:rsidR="003D5581">
        <w:rPr>
          <w:rFonts w:hint="cs"/>
          <w:rtl/>
          <w:lang w:bidi="he-IL"/>
        </w:rPr>
        <w:t>עברו</w:t>
      </w:r>
      <w:r>
        <w:rPr>
          <w:rFonts w:hint="cs"/>
          <w:rtl/>
          <w:lang w:bidi="he-IL"/>
        </w:rPr>
        <w:t xml:space="preserve"> שלש רגלים בין אם </w:t>
      </w:r>
      <w:r w:rsidR="003D5581">
        <w:rPr>
          <w:rFonts w:hint="cs"/>
          <w:rtl/>
          <w:lang w:bidi="he-IL"/>
        </w:rPr>
        <w:t>לא עברו</w:t>
      </w:r>
      <w:r>
        <w:rPr>
          <w:rFonts w:hint="cs"/>
          <w:rtl/>
          <w:lang w:bidi="he-IL"/>
        </w:rPr>
        <w:t xml:space="preserve"> שלש רגלים).</w:t>
      </w:r>
    </w:p>
  </w:footnote>
  <w:footnote w:id="8">
    <w:p w14:paraId="11F158C8" w14:textId="65508FC0" w:rsidR="00A466DE" w:rsidRDefault="00A466DE" w:rsidP="00A466DE">
      <w:pPr>
        <w:pStyle w:val="FootnoteText"/>
        <w:bidi/>
        <w:rPr>
          <w:rFonts w:hint="cs"/>
          <w:rtl/>
          <w:lang w:bidi="he-IL"/>
        </w:rPr>
      </w:pPr>
      <w:r>
        <w:rPr>
          <w:rStyle w:val="FootnoteReference"/>
        </w:rPr>
        <w:footnoteRef/>
      </w:r>
      <w:r>
        <w:t xml:space="preserve"> </w:t>
      </w:r>
      <w:r>
        <w:rPr>
          <w:rFonts w:hint="cs"/>
          <w:rtl/>
          <w:lang w:bidi="he-IL"/>
        </w:rPr>
        <w:t>שחיובים לא באים ממה שכבר חייב להביא. גמ' מפרש שדין זה פשוט, ובא לרבות שאף אם מתנה לומר שזה תודה ע"מ שיוצא בה חגיגה, תודה הוא, ולא יוצא בה חגיגה.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36"/>
    <w:rsid w:val="00201036"/>
    <w:rsid w:val="003D5581"/>
    <w:rsid w:val="004D144A"/>
    <w:rsid w:val="005259EF"/>
    <w:rsid w:val="00693F11"/>
    <w:rsid w:val="00713E7C"/>
    <w:rsid w:val="00747F66"/>
    <w:rsid w:val="008664AA"/>
    <w:rsid w:val="009D58EC"/>
    <w:rsid w:val="00A300F2"/>
    <w:rsid w:val="00A34421"/>
    <w:rsid w:val="00A466DE"/>
    <w:rsid w:val="00D4513A"/>
    <w:rsid w:val="00F45E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1256"/>
  <w15:chartTrackingRefBased/>
  <w15:docId w15:val="{83B1DFCB-D805-4342-86EE-CD27BAA7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8664AA"/>
    <w:pPr>
      <w:bidi/>
      <w:spacing w:after="0" w:line="240" w:lineRule="auto"/>
      <w:contextualSpacing/>
    </w:pPr>
    <w:rPr>
      <w:rFonts w:cs="Shofar"/>
    </w:rPr>
  </w:style>
  <w:style w:type="paragraph" w:customStyle="1" w:styleId="Style2">
    <w:name w:val="Style2"/>
    <w:basedOn w:val="Style1"/>
    <w:qFormat/>
    <w:rsid w:val="008664AA"/>
    <w:rPr>
      <w:rFonts w:cs="BenOr Rashi"/>
    </w:rPr>
  </w:style>
  <w:style w:type="paragraph" w:styleId="FootnoteText">
    <w:name w:val="footnote text"/>
    <w:basedOn w:val="Normal"/>
    <w:link w:val="FootnoteTextChar"/>
    <w:uiPriority w:val="99"/>
    <w:semiHidden/>
    <w:unhideWhenUsed/>
    <w:rsid w:val="0020103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1036"/>
    <w:rPr>
      <w:sz w:val="20"/>
      <w:szCs w:val="20"/>
    </w:rPr>
  </w:style>
  <w:style w:type="character" w:styleId="FootnoteReference">
    <w:name w:val="footnote reference"/>
    <w:basedOn w:val="DefaultParagraphFont"/>
    <w:uiPriority w:val="99"/>
    <w:semiHidden/>
    <w:unhideWhenUsed/>
    <w:rsid w:val="002010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53</Words>
  <Characters>304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2024-05-16T11:03:00Z</dcterms:created>
  <dcterms:modified xsi:type="dcterms:W3CDTF">2024-05-16T11:12:00Z</dcterms:modified>
</cp:coreProperties>
</file>