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bidiVisual w:val="true"/>
        <w:tblW w:w="9975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507"/>
        <w:gridCol w:w="2617"/>
        <w:gridCol w:w="865"/>
        <w:gridCol w:w="1025"/>
        <w:gridCol w:w="900"/>
        <w:gridCol w:w="3060"/>
      </w:tblGrid>
      <w:tr>
        <w:trPr/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b/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מין קנין</w:t>
            </w:r>
            <w:r>
              <w:rPr>
                <w:b/>
                <w:bCs/>
                <w:rtl w:val="true"/>
              </w:rPr>
              <w:t>: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b/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מהו</w:t>
            </w:r>
            <w:r>
              <w:rPr>
                <w:b/>
                <w:bCs/>
                <w:rtl w:val="true"/>
              </w:rPr>
              <w:t>: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b/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רשות הרבים וחצר שאינו של שניהם</w:t>
            </w:r>
            <w:r>
              <w:rPr>
                <w:b/>
                <w:bCs/>
                <w:rtl w:val="true"/>
              </w:rPr>
              <w:t>: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b/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חצר של מוכר</w:t>
            </w:r>
            <w:r>
              <w:rPr>
                <w:b/>
                <w:bCs/>
                <w:rtl w:val="true"/>
              </w:rPr>
              <w:t>: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b/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חצר של שניהם וסימטא</w:t>
            </w:r>
            <w:r>
              <w:rPr>
                <w:b/>
                <w:bCs/>
                <w:rtl w:val="true"/>
              </w:rPr>
              <w:t>: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b/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עוד</w:t>
            </w:r>
            <w:r>
              <w:rPr>
                <w:b/>
                <w:bCs/>
                <w:rtl w:val="true"/>
              </w:rPr>
              <w:t>:</w:t>
            </w:r>
          </w:p>
        </w:tc>
      </w:tr>
      <w:tr>
        <w:trPr/>
        <w:tc>
          <w:tcPr>
            <w:tcW w:w="15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b/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משיכה</w:t>
            </w:r>
            <w:r>
              <w:rPr>
                <w:b/>
                <w:bCs/>
                <w:rtl w:val="true"/>
              </w:rPr>
              <w:t>:</w:t>
            </w:r>
          </w:p>
        </w:tc>
        <w:tc>
          <w:tcPr>
            <w:tcW w:w="261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הלוקח מושך את חפץ הנקנה</w:t>
            </w:r>
            <w:r>
              <w:rPr>
                <w:rtl w:val="true"/>
              </w:rPr>
              <w:t xml:space="preserve">. </w:t>
            </w:r>
          </w:p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</w:rPr>
            </w:pPr>
            <w:r>
              <w:rPr>
                <w:sz w:val="16"/>
                <w:sz w:val="16"/>
                <w:szCs w:val="16"/>
                <w:rtl w:val="true"/>
              </w:rPr>
              <w:t>חולקים כמה צריך למשכו</w:t>
            </w:r>
            <w:r>
              <w:rPr>
                <w:sz w:val="16"/>
                <w:szCs w:val="16"/>
                <w:rtl w:val="true"/>
              </w:rPr>
              <w:t>:</w:t>
            </w:r>
          </w:p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</w:rPr>
            </w:pPr>
            <w:r>
              <w:rPr>
                <w:sz w:val="16"/>
                <w:sz w:val="16"/>
                <w:szCs w:val="16"/>
                <w:rtl w:val="true"/>
              </w:rPr>
              <w:t>בבהמה</w:t>
            </w:r>
            <w:r>
              <w:rPr>
                <w:sz w:val="16"/>
                <w:szCs w:val="16"/>
                <w:rtl w:val="true"/>
              </w:rPr>
              <w:t xml:space="preserve">, </w:t>
            </w:r>
            <w:r>
              <w:rPr>
                <w:sz w:val="16"/>
                <w:sz w:val="16"/>
                <w:szCs w:val="16"/>
                <w:rtl w:val="true"/>
              </w:rPr>
              <w:t>חולקים תנאים אם צריך לעקור יד ורגל או צריך לזוז כדי קומתו</w:t>
            </w:r>
            <w:r>
              <w:rPr>
                <w:sz w:val="16"/>
                <w:szCs w:val="16"/>
                <w:rtl w:val="true"/>
              </w:rPr>
              <w:t>.</w:t>
            </w:r>
          </w:p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</w:rPr>
            </w:pPr>
            <w:r>
              <w:rPr>
                <w:sz w:val="16"/>
                <w:sz w:val="16"/>
                <w:szCs w:val="16"/>
                <w:rtl w:val="true"/>
              </w:rPr>
              <w:t>בספינה</w:t>
            </w:r>
            <w:r>
              <w:rPr>
                <w:sz w:val="16"/>
                <w:szCs w:val="16"/>
                <w:rtl w:val="true"/>
              </w:rPr>
              <w:t xml:space="preserve">, </w:t>
            </w:r>
            <w:r>
              <w:rPr>
                <w:sz w:val="16"/>
                <w:sz w:val="16"/>
                <w:szCs w:val="16"/>
                <w:rtl w:val="true"/>
              </w:rPr>
              <w:t>חולקים אמוראים אם צריך לזוז משהו או כל ארכו</w:t>
            </w:r>
            <w:r>
              <w:rPr>
                <w:sz w:val="16"/>
                <w:szCs w:val="16"/>
                <w:rtl w:val="true"/>
              </w:rPr>
              <w:t>.</w:t>
            </w:r>
          </w:p>
        </w:tc>
        <w:tc>
          <w:tcPr>
            <w:tcW w:w="189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אינו קונה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קונה</w:t>
            </w:r>
          </w:p>
        </w:tc>
        <w:tc>
          <w:tcPr>
            <w:tcW w:w="30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 xml:space="preserve">רק קונה דבר שאין דרכו להגביהה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>אם רק קשה להגביהה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יש שסוברים שקונה במשיכה</w:t>
            </w:r>
            <w:r>
              <w:rPr>
                <w:rtl w:val="true"/>
              </w:rPr>
              <w:t>).</w:t>
            </w:r>
          </w:p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זה רק קונה אם כבר פסק דמים</w:t>
            </w:r>
            <w:r>
              <w:rPr>
                <w:rStyle w:val="FootnoteAnchor"/>
                <w:rtl w:val="true"/>
              </w:rPr>
              <w:footnoteReference w:id="2"/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15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b/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מדידה</w:t>
            </w:r>
            <w:r>
              <w:rPr>
                <w:b/>
                <w:bCs/>
                <w:rtl w:val="true"/>
              </w:rPr>
              <w:t>:</w:t>
            </w:r>
          </w:p>
        </w:tc>
        <w:tc>
          <w:tcPr>
            <w:tcW w:w="261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 xml:space="preserve">מודד מוכר לתוך כלי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>שאינו של לוקח</w:t>
            </w:r>
            <w:r>
              <w:rPr>
                <w:rtl w:val="true"/>
              </w:rPr>
              <w:t>).</w:t>
            </w:r>
          </w:p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חולקים אם זה קונה כלל</w:t>
            </w:r>
            <w:r>
              <w:rPr>
                <w:rtl w:val="true"/>
              </w:rPr>
              <w:t>.</w:t>
            </w:r>
          </w:p>
        </w:tc>
        <w:tc>
          <w:tcPr>
            <w:tcW w:w="189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אינו קונה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קונה</w:t>
            </w:r>
          </w:p>
        </w:tc>
        <w:tc>
          <w:tcPr>
            <w:tcW w:w="30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זה רק קונה אם כבר פסק דמים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15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b/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מסירה</w:t>
            </w:r>
            <w:r>
              <w:rPr>
                <w:b/>
                <w:bCs/>
                <w:rtl w:val="true"/>
              </w:rPr>
              <w:t>:</w:t>
            </w:r>
          </w:p>
        </w:tc>
        <w:tc>
          <w:tcPr>
            <w:tcW w:w="261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מוסר מוכר את המוסירים ללוקח</w:t>
            </w:r>
            <w:r>
              <w:rPr>
                <w:rtl w:val="true"/>
              </w:rPr>
              <w:t xml:space="preserve">. </w:t>
            </w:r>
            <w:r>
              <w:rPr>
                <w:rFonts w:ascii="Liberation Serif" w:hAnsi="Liberation Serif" w:eastAsia="NSimSun"/>
                <w:color w:val="auto"/>
                <w:kern w:val="2"/>
                <w:sz w:val="16"/>
                <w:sz w:val="16"/>
                <w:szCs w:val="16"/>
                <w:rtl w:val="true"/>
                <w:lang w:val="en-US" w:eastAsia="zh-CN" w:bidi="he-IL"/>
              </w:rPr>
              <w:t>גם יכול לומר לו לקחת אותם</w:t>
            </w:r>
            <w:r>
              <w:rPr>
                <w:rFonts w:eastAsia="NSimSun" w:cs="Shofar"/>
                <w:color w:val="auto"/>
                <w:kern w:val="2"/>
                <w:sz w:val="16"/>
                <w:szCs w:val="16"/>
                <w:rtl w:val="true"/>
                <w:lang w:val="en-US" w:eastAsia="zh-CN" w:bidi="he-IL"/>
              </w:rPr>
              <w:t>.</w:t>
            </w:r>
          </w:p>
        </w:tc>
        <w:tc>
          <w:tcPr>
            <w:tcW w:w="8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קונה</w:t>
            </w:r>
          </w:p>
        </w:tc>
        <w:tc>
          <w:tcPr>
            <w:tcW w:w="102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לא מבאר גמרא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אינו קונה</w:t>
            </w:r>
            <w:r>
              <w:rPr>
                <w:rStyle w:val="FootnoteAnchor"/>
                <w:rtl w:val="true"/>
              </w:rPr>
              <w:footnoteReference w:id="3"/>
            </w:r>
          </w:p>
        </w:tc>
        <w:tc>
          <w:tcPr>
            <w:tcW w:w="30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כמובן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זה רק קנין אם יש מקנה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שצריך שהמקנה ימסור</w:t>
            </w:r>
            <w:r>
              <w:rPr>
                <w:rtl w:val="true"/>
              </w:rPr>
              <w:t>.</w:t>
            </w:r>
          </w:p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זה רק קונה אם כבר פסק דמים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15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b/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הגבהה</w:t>
            </w:r>
            <w:r>
              <w:rPr>
                <w:b/>
                <w:bCs/>
                <w:rtl w:val="true"/>
              </w:rPr>
              <w:t>:</w:t>
            </w:r>
          </w:p>
        </w:tc>
        <w:tc>
          <w:tcPr>
            <w:tcW w:w="261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מגביהה את חפץ הקנוי</w:t>
            </w:r>
            <w:r>
              <w:rPr>
                <w:rtl w:val="true"/>
              </w:rPr>
              <w:t>.</w:t>
            </w:r>
            <w:r>
              <w:rPr>
                <w:rStyle w:val="FootnoteAnchor"/>
                <w:rtl w:val="true"/>
              </w:rPr>
              <w:footnoteReference w:id="4"/>
            </w:r>
          </w:p>
        </w:tc>
        <w:tc>
          <w:tcPr>
            <w:tcW w:w="2790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קונה</w:t>
            </w:r>
          </w:p>
        </w:tc>
        <w:tc>
          <w:tcPr>
            <w:tcW w:w="30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קונה אף בדברים שדרכם למשוך ולא להגביהה</w:t>
            </w:r>
            <w:r>
              <w:rPr>
                <w:rtl w:val="true"/>
              </w:rPr>
              <w:t>.</w:t>
            </w:r>
          </w:p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זה רק קונה אם כבר פסק דמים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15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b/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כליו של לוקח</w:t>
            </w:r>
            <w:r>
              <w:rPr>
                <w:b/>
                <w:bCs/>
                <w:rtl w:val="true"/>
              </w:rPr>
              <w:t>:</w:t>
            </w:r>
          </w:p>
        </w:tc>
        <w:tc>
          <w:tcPr>
            <w:tcW w:w="261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נותן חפץ הנלקח לתוך כלי של לוקח</w:t>
            </w:r>
            <w:r>
              <w:rPr>
                <w:rtl w:val="true"/>
              </w:rPr>
              <w:t>.</w:t>
            </w:r>
          </w:p>
        </w:tc>
        <w:tc>
          <w:tcPr>
            <w:tcW w:w="8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לא קונה</w:t>
            </w:r>
          </w:p>
        </w:tc>
        <w:tc>
          <w:tcPr>
            <w:tcW w:w="102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אם אמר לו מוכר לקנות בכליו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קונה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אם לא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לא פושט גמרא</w:t>
            </w:r>
            <w:r>
              <w:rPr>
                <w:rtl w:val="true"/>
              </w:rPr>
              <w:t>.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קונה</w:t>
            </w:r>
          </w:p>
        </w:tc>
        <w:tc>
          <w:tcPr>
            <w:tcW w:w="30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זה רק קונה אם כבר פסק דמים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15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b/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חצר</w:t>
            </w:r>
            <w:r>
              <w:rPr>
                <w:b/>
                <w:bCs/>
                <w:rtl w:val="true"/>
              </w:rPr>
              <w:t>:</w:t>
            </w:r>
          </w:p>
        </w:tc>
        <w:tc>
          <w:tcPr>
            <w:tcW w:w="261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חפץ בא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מונח</w:t>
            </w:r>
            <w:r>
              <w:rPr>
                <w:rStyle w:val="FootnoteAnchor"/>
                <w:rtl w:val="true"/>
              </w:rPr>
              <w:footnoteReference w:id="5"/>
            </w:r>
            <w:r>
              <w:rPr>
                <w:rtl w:val="true"/>
              </w:rPr>
              <w:t xml:space="preserve"> ברשות לוקח</w:t>
            </w:r>
            <w:r>
              <w:rPr>
                <w:rtl w:val="true"/>
              </w:rPr>
              <w:t>.</w:t>
            </w:r>
          </w:p>
        </w:tc>
        <w:tc>
          <w:tcPr>
            <w:tcW w:w="8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  <w:rtl w:val="true"/>
              </w:rPr>
              <w:t>-</w:t>
            </w:r>
          </w:p>
        </w:tc>
        <w:tc>
          <w:tcPr>
            <w:tcW w:w="102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  <w:rtl w:val="true"/>
              </w:rPr>
              <w:t>-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  <w:rtl w:val="true"/>
              </w:rPr>
              <w:t>-</w:t>
            </w:r>
          </w:p>
        </w:tc>
        <w:tc>
          <w:tcPr>
            <w:tcW w:w="30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 xml:space="preserve">חולקים אם צריך לבוא או להיות מונח שם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>על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ע שרמזנו לזה</w:t>
            </w:r>
            <w:r>
              <w:rPr>
                <w:rtl w:val="true"/>
              </w:rPr>
              <w:t xml:space="preserve">). </w:t>
            </w:r>
          </w:p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אם נשמר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אין צריך דעת לקנות</w:t>
            </w:r>
            <w:r>
              <w:rPr>
                <w:rtl w:val="true"/>
              </w:rPr>
              <w:t>.</w:t>
            </w:r>
          </w:p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זה רק קונה אם כבר פסק דמים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15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b/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שכירות מקום</w:t>
            </w:r>
            <w:r>
              <w:rPr>
                <w:rStyle w:val="FootnoteAnchor"/>
                <w:b/>
                <w:b/>
                <w:bCs/>
                <w:rtl w:val="true"/>
              </w:rPr>
              <w:footnoteReference w:id="6"/>
            </w:r>
            <w:r>
              <w:rPr>
                <w:b/>
                <w:bCs/>
                <w:rtl w:val="true"/>
              </w:rPr>
              <w:t>:</w:t>
            </w:r>
          </w:p>
        </w:tc>
        <w:tc>
          <w:tcPr>
            <w:tcW w:w="261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המוכר משכיר או משאיל מקומו ללוקח לקנות בו</w:t>
            </w:r>
            <w:r>
              <w:rPr>
                <w:rtl w:val="true"/>
              </w:rPr>
              <w:t>.</w:t>
            </w:r>
          </w:p>
        </w:tc>
        <w:tc>
          <w:tcPr>
            <w:tcW w:w="8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  <w:rtl w:val="true"/>
              </w:rPr>
              <w:t>-</w:t>
            </w:r>
          </w:p>
        </w:tc>
        <w:tc>
          <w:tcPr>
            <w:tcW w:w="102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קונה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  <w:rtl w:val="true"/>
              </w:rPr>
              <w:t>-</w:t>
            </w:r>
          </w:p>
        </w:tc>
        <w:tc>
          <w:tcPr>
            <w:tcW w:w="30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זה רק קונה אם כבר פסק דמים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15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b/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אגב</w:t>
            </w:r>
            <w:r>
              <w:rPr>
                <w:b/>
                <w:bCs/>
                <w:rtl w:val="true"/>
              </w:rPr>
              <w:t>:</w:t>
            </w:r>
          </w:p>
        </w:tc>
        <w:tc>
          <w:tcPr>
            <w:tcW w:w="261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מקנה אדם מטלטלים אגב קרקע</w:t>
            </w:r>
            <w:r>
              <w:rPr>
                <w:rtl w:val="true"/>
              </w:rPr>
              <w:t>.</w:t>
            </w:r>
          </w:p>
        </w:tc>
        <w:tc>
          <w:tcPr>
            <w:tcW w:w="2790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קונה</w:t>
            </w:r>
            <w:r>
              <w:rPr>
                <w:rStyle w:val="FootnoteAnchor"/>
                <w:rtl w:val="true"/>
              </w:rPr>
              <w:footnoteReference w:id="7"/>
            </w:r>
          </w:p>
        </w:tc>
        <w:tc>
          <w:tcPr>
            <w:tcW w:w="30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זה רק קונה אם כבר נתן דמים</w:t>
            </w:r>
            <w:r>
              <w:rPr>
                <w:rtl w:val="true"/>
              </w:rPr>
              <w:t>.</w:t>
            </w:r>
          </w:p>
        </w:tc>
      </w:tr>
    </w:tbl>
    <w:p>
      <w:pPr>
        <w:pStyle w:val="Normal"/>
        <w:bidi w:val="1"/>
        <w:jc w:val="left"/>
        <w:rPr>
          <w:color w:val="000000"/>
        </w:rPr>
      </w:pPr>
      <w:r>
        <w:rPr>
          <w:rtl w:val="true"/>
        </w:rPr>
      </w:r>
    </w:p>
    <w:sectPr>
      <w:footnotePr>
        <w:numFmt w:val="decimal"/>
      </w:foot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widowControl w:val="fals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מפני שמניחים שאי לא פסק</w:t>
      </w:r>
      <w:r>
        <w:rPr>
          <w:rtl w:val="true"/>
        </w:rPr>
        <w:t xml:space="preserve">, </w:t>
      </w:r>
      <w:r>
        <w:rPr>
          <w:rtl w:val="true"/>
        </w:rPr>
        <w:t>אין לו סמיכות דעת</w:t>
      </w:r>
      <w:r>
        <w:rPr>
          <w:rtl w:val="true"/>
        </w:rPr>
        <w:t>.</w:t>
      </w:r>
    </w:p>
  </w:footnote>
  <w:footnote w:id="3">
    <w:p>
      <w:pPr>
        <w:pStyle w:val="Footnote"/>
        <w:widowControl w:val="fals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כיון שדרכו למשוך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מסתמא בחפץ שאין דרכו למשוך</w:t>
      </w:r>
      <w:r>
        <w:rPr>
          <w:rtl w:val="true"/>
        </w:rPr>
        <w:t xml:space="preserve">, </w:t>
      </w:r>
      <w:r>
        <w:rPr>
          <w:rtl w:val="true"/>
        </w:rPr>
        <w:t>יקנה</w:t>
      </w:r>
      <w:r>
        <w:rPr>
          <w:rtl w:val="true"/>
        </w:rPr>
        <w:t>.</w:t>
      </w:r>
    </w:p>
  </w:footnote>
  <w:footnote w:id="4">
    <w:p>
      <w:pPr>
        <w:pStyle w:val="Footnote"/>
        <w:widowControl w:val="fals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חולקים ראשונים כמה צריך להגביהה אותו</w:t>
      </w:r>
      <w:r>
        <w:rPr>
          <w:rtl w:val="true"/>
        </w:rPr>
        <w:t>.</w:t>
      </w:r>
    </w:p>
  </w:footnote>
  <w:footnote w:id="5">
    <w:p>
      <w:pPr>
        <w:pStyle w:val="Footnote"/>
        <w:widowControl w:val="fals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חולקים ראשונים בזה</w:t>
      </w:r>
      <w:r>
        <w:rPr>
          <w:rtl w:val="true"/>
        </w:rPr>
        <w:t>.</w:t>
      </w:r>
    </w:p>
  </w:footnote>
  <w:footnote w:id="6">
    <w:p>
      <w:pPr>
        <w:pStyle w:val="Footnote"/>
        <w:widowControl w:val="fals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באמת</w:t>
      </w:r>
      <w:r>
        <w:rPr>
          <w:rtl w:val="true"/>
        </w:rPr>
        <w:t xml:space="preserve">, </w:t>
      </w:r>
      <w:r>
        <w:rPr>
          <w:rtl w:val="true"/>
        </w:rPr>
        <w:t>אין זה קנין בפני עצמו</w:t>
      </w:r>
      <w:r>
        <w:rPr>
          <w:rtl w:val="true"/>
        </w:rPr>
        <w:t xml:space="preserve">. </w:t>
      </w:r>
      <w:r>
        <w:rPr>
          <w:rtl w:val="true"/>
        </w:rPr>
        <w:t>חלקו בב</w:t>
      </w:r>
      <w:r>
        <w:rPr>
          <w:rtl w:val="true"/>
        </w:rPr>
        <w:t>"</w:t>
      </w:r>
      <w:r>
        <w:rPr>
          <w:rtl w:val="true"/>
        </w:rPr>
        <w:t>מ אם קונה מדין חצר או מדין אגב</w:t>
      </w:r>
      <w:r>
        <w:rPr>
          <w:rtl w:val="true"/>
        </w:rPr>
        <w:t xml:space="preserve">. </w:t>
      </w:r>
      <w:r>
        <w:rPr>
          <w:rtl w:val="true"/>
        </w:rPr>
        <w:t>עיין בקידושין שמניח גמרא שקונה מדין אגב</w:t>
      </w:r>
      <w:r>
        <w:rPr>
          <w:rtl w:val="true"/>
        </w:rPr>
        <w:t>.</w:t>
      </w:r>
    </w:p>
  </w:footnote>
  <w:footnote w:id="7">
    <w:p>
      <w:pPr>
        <w:pStyle w:val="Footnote"/>
        <w:widowControl w:val="fals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רצה לומר</w:t>
      </w:r>
      <w:r>
        <w:rPr>
          <w:rtl w:val="true"/>
        </w:rPr>
        <w:t xml:space="preserve">, </w:t>
      </w:r>
      <w:r>
        <w:rPr>
          <w:rtl w:val="true"/>
        </w:rPr>
        <w:t>החפץ הנקנה יכול להיות בכל מקום</w:t>
      </w:r>
      <w:r>
        <w:rPr>
          <w:rtl w:val="true"/>
        </w:rPr>
        <w:t xml:space="preserve">, </w:t>
      </w:r>
      <w:r>
        <w:rPr>
          <w:rtl w:val="true"/>
        </w:rPr>
        <w:t>ואינו צריך להיות צבורים על הקרקע שנותן</w:t>
      </w:r>
      <w:r>
        <w:rPr>
          <w:rtl w:val="true"/>
        </w:rPr>
        <w:t>.</w:t>
      </w:r>
    </w:p>
  </w:footnote>
</w:footnotes>
</file>

<file path=word/settings.xml><?xml version="1.0" encoding="utf-8"?>
<w:settings xmlns:w="http://schemas.openxmlformats.org/wordprocessingml/2006/main">
  <w:zoom w:percent="10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kern w:val="2"/>
        <w:sz w:val="24"/>
        <w:szCs w:val="24"/>
        <w:lang w:val="en-US" w:eastAsia="zh-CN" w:bidi="he-IL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Shofar"/>
      <w:color w:val="auto"/>
      <w:kern w:val="2"/>
      <w:sz w:val="24"/>
      <w:szCs w:val="24"/>
      <w:lang w:val="en-US" w:eastAsia="zh-CN" w:bidi="he-IL"/>
    </w:rPr>
  </w:style>
  <w:style w:type="character" w:styleId="FootnoteCharacters">
    <w:name w:val="Footnote Characters"/>
    <w:qFormat/>
    <w:rPr/>
  </w:style>
  <w:style w:type="character" w:styleId="FootnoteAnchor">
    <w:name w:val="Footnote Anchor"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</TotalTime>
  <Application>LibreOffice/7.3.2.2$Windows_X86_64 LibreOffice_project/49f2b1bff42cfccbd8f788c8dc32c1c309559be0</Application>
  <AppVersion>15.0000</AppVersion>
  <Pages>1</Pages>
  <Words>317</Words>
  <Characters>1250</Characters>
  <CharactersWithSpaces>1506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2022-11-27T12:03:49Z</dcterms:created>
  <dc:creator/>
  <dc:description/>
  <dc:language>en-US</dc:language>
  <cp:lastModifiedBy/>
  <dcterms:modified xsi:type="dcterms:W3CDTF">2022-11-27T12:31:58Z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