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color w:val="auto"/>
        </w:rPr>
      </w:pPr>
      <w:r>
        <w:rPr>
          <w:color w:val="auto"/>
          <w:rtl w:val="true"/>
        </w:rPr>
        <w:t>מצאנו שני סוגיות בענין יין שנעשה חומץ אחר שנמכר</w:t>
      </w:r>
      <w:r>
        <w:rPr>
          <w:color w:val="auto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בדף צו חולקים רב ושמואל</w:t>
      </w:r>
      <w:r>
        <w:rPr>
          <w:b/>
          <w:bCs/>
          <w:color w:val="auto"/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רב אומר ש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כל שלשה ימים הראשונים ברשות מוכרח</w:t>
      </w:r>
      <w:r>
        <w:rPr>
          <w:b/>
          <w:bCs/>
          <w:color w:val="auto"/>
          <w:rtl w:val="true"/>
        </w:rPr>
        <w:t xml:space="preserve">; </w:t>
      </w:r>
      <w:r>
        <w:rPr>
          <w:b/>
          <w:b/>
          <w:bCs/>
          <w:color w:val="auto"/>
          <w:rtl w:val="true"/>
        </w:rPr>
        <w:t>מכאן ואילך ברשות לוקח</w:t>
      </w:r>
      <w:r>
        <w:rPr>
          <w:b/>
          <w:bCs/>
          <w:color w:val="auto"/>
          <w:rtl w:val="true"/>
        </w:rPr>
        <w:t>.”</w:t>
      </w:r>
      <w:r>
        <w:rPr>
          <w:rStyle w:val="FootnoteAnchor"/>
          <w:b/>
          <w:bCs/>
          <w:color w:val="auto"/>
          <w:rtl w:val="true"/>
        </w:rPr>
        <w:footnoteReference w:id="2"/>
      </w:r>
    </w:p>
    <w:p>
      <w:pPr>
        <w:pStyle w:val="Normal"/>
        <w:numPr>
          <w:ilvl w:val="1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שמואל אומר ש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חמרא אכתפא דמאריה שוואר</w:t>
      </w:r>
      <w:r>
        <w:rPr>
          <w:b/>
          <w:bCs/>
          <w:color w:val="auto"/>
          <w:rtl w:val="true"/>
        </w:rPr>
        <w:t xml:space="preserve">.” </w:t>
      </w:r>
      <w:r>
        <w:rPr>
          <w:b/>
          <w:b/>
          <w:bCs/>
          <w:color w:val="auto"/>
          <w:rtl w:val="true"/>
        </w:rPr>
        <w:t>זה אומר שהוא לעולם ברשות לוקח</w:t>
      </w:r>
      <w:r>
        <w:rPr>
          <w:b/>
          <w:bCs/>
          <w:color w:val="auto"/>
          <w:rtl w:val="true"/>
        </w:rPr>
        <w:t>.</w:t>
      </w:r>
      <w:r>
        <w:rPr>
          <w:rStyle w:val="FootnoteAnchor"/>
          <w:b/>
          <w:bCs/>
          <w:color w:val="auto"/>
          <w:rtl w:val="true"/>
        </w:rPr>
        <w:footnoteReference w:id="3"/>
      </w:r>
    </w:p>
    <w:p>
      <w:pPr>
        <w:pStyle w:val="Normal"/>
        <w:numPr>
          <w:ilvl w:val="0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בדף צז משנה כ’ ש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המוכר יין לחברו והחמיץ אינו חייב באחריותו</w:t>
      </w:r>
      <w:r>
        <w:rPr>
          <w:b/>
          <w:bCs/>
          <w:color w:val="auto"/>
          <w:rtl w:val="true"/>
        </w:rPr>
        <w:t xml:space="preserve">.” </w:t>
      </w:r>
      <w:r>
        <w:rPr>
          <w:b/>
          <w:b/>
          <w:bCs/>
          <w:color w:val="auto"/>
          <w:rtl w:val="true"/>
        </w:rPr>
        <w:t>זה רק 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החמיץ</w:t>
      </w:r>
      <w:r>
        <w:rPr>
          <w:b/>
          <w:bCs/>
          <w:color w:val="auto"/>
          <w:rtl w:val="true"/>
        </w:rPr>
        <w:t xml:space="preserve">,” </w:t>
      </w:r>
      <w:r>
        <w:rPr>
          <w:b/>
          <w:b/>
          <w:bCs/>
          <w:color w:val="auto"/>
          <w:rtl w:val="true"/>
        </w:rPr>
        <w:t>ולא בנמצא חומץ”</w:t>
      </w:r>
      <w:r>
        <w:rPr>
          <w:b/>
          <w:bCs/>
          <w:color w:val="auto"/>
          <w:rtl w:val="true"/>
        </w:rPr>
        <w:t xml:space="preserve">; </w:t>
      </w:r>
      <w:r>
        <w:rPr>
          <w:b/>
          <w:b/>
          <w:bCs/>
          <w:color w:val="auto"/>
          <w:rtl w:val="true"/>
        </w:rPr>
        <w:t>בנמצא אומר משנה בדף פג</w:t>
      </w:r>
      <w:r>
        <w:rPr>
          <w:b/>
          <w:bCs/>
          <w:color w:val="auto"/>
          <w:rtl w:val="true"/>
        </w:rPr>
        <w:t xml:space="preserve">: </w:t>
      </w:r>
      <w:r>
        <w:rPr>
          <w:b/>
          <w:b/>
          <w:bCs/>
          <w:color w:val="auto"/>
          <w:rtl w:val="true"/>
        </w:rPr>
        <w:t>שהוא מק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ט</w:t>
      </w:r>
      <w:r>
        <w:rPr>
          <w:b/>
          <w:bCs/>
          <w:color w:val="auto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חולקים ר’ יוסי בן חנינא ורב חייא בר יוסף</w:t>
      </w:r>
      <w:r>
        <w:rPr>
          <w:b/>
          <w:bCs/>
          <w:color w:val="auto"/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ריב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ח פ’ שהמשנה הוא כשאמר הלוקח שרוצה יין לזמן רב</w:t>
      </w:r>
      <w:r>
        <w:rPr>
          <w:b/>
          <w:bCs/>
          <w:color w:val="auto"/>
          <w:rtl w:val="true"/>
        </w:rPr>
        <w:t xml:space="preserve">. </w:t>
      </w:r>
      <w:r>
        <w:rPr>
          <w:b/>
          <w:b/>
          <w:bCs/>
          <w:color w:val="auto"/>
          <w:rtl w:val="true"/>
        </w:rPr>
        <w:t>ע”ז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אמר ריב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ח שמשנה הוא רק כשהיין כשנתן הלוקח את היין בכליו</w:t>
      </w:r>
      <w:r>
        <w:rPr>
          <w:b/>
          <w:bCs/>
          <w:color w:val="auto"/>
          <w:rtl w:val="true"/>
        </w:rPr>
        <w:t xml:space="preserve">. </w:t>
      </w:r>
      <w:r>
        <w:rPr>
          <w:b/>
          <w:b/>
          <w:bCs/>
          <w:color w:val="auto"/>
          <w:rtl w:val="true"/>
        </w:rPr>
        <w:t>אבל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אם נשאר בכליו של מוכר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יכול לוקח לטעון שמוכר גרם ליין להחמיץ</w:t>
      </w:r>
      <w:r>
        <w:rPr>
          <w:b/>
          <w:bCs/>
          <w:color w:val="auto"/>
          <w:rtl w:val="true"/>
        </w:rPr>
        <w:t>.</w:t>
      </w:r>
      <w:r>
        <w:rPr>
          <w:rStyle w:val="FootnoteAnchor"/>
          <w:b/>
          <w:bCs/>
          <w:color w:val="auto"/>
          <w:rtl w:val="true"/>
        </w:rPr>
        <w:footnoteReference w:id="4"/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מדבריו נמצא ש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אם אמר הלוקח שרוצה אותו לזמן רב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בכליו של מוכר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חוזר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numPr>
          <w:ilvl w:val="2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בכליו של לוקח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לא חוזר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אם לא אמר הלוקח שרוצה אותו לזמן רב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בכליו של מוכר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לא חוזר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numPr>
          <w:ilvl w:val="2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בכליו של לוקח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לא חוזר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רחב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י חולק ואומר ש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חמרא מזל דמאריה גרם</w:t>
      </w:r>
      <w:r>
        <w:rPr>
          <w:b/>
          <w:bCs/>
          <w:color w:val="auto"/>
          <w:rtl w:val="true"/>
        </w:rPr>
        <w:t>.”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מדבריו נמצא שבכל הארבע ציורים שלעיל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לא חוזר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צריך לפרש שני הסוגיות ביחד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זה אומר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צריך לפרש איך רב ושמואל יפרשו את המשנה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  <w:color w:val="auto"/>
        </w:rPr>
      </w:pPr>
      <w:r>
        <w:rPr>
          <w:b/>
          <w:b/>
          <w:bCs/>
          <w:color w:val="auto"/>
          <w:rtl w:val="true"/>
        </w:rPr>
        <w:t>רב אומר שבתוך שלש ימים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חוזר</w:t>
      </w:r>
      <w:r>
        <w:rPr>
          <w:b/>
          <w:bCs/>
          <w:color w:val="auto"/>
          <w:rtl w:val="true"/>
        </w:rPr>
        <w:t>.</w:t>
      </w:r>
      <w:r>
        <w:rPr>
          <w:b w:val="false"/>
          <w:bCs w:val="false"/>
          <w:color w:val="auto"/>
          <w:rtl w:val="true"/>
        </w:rPr>
        <w:t xml:space="preserve"> </w:t>
      </w:r>
      <w:r>
        <w:rPr>
          <w:b w:val="false"/>
          <w:b w:val="false"/>
          <w:bCs w:val="false"/>
          <w:color w:val="auto"/>
          <w:rtl w:val="true"/>
        </w:rPr>
        <w:t>יכול לפרש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רשב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ם אומר שני פשטים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משנה הוא אחר שלש ימים</w:t>
      </w:r>
      <w:r>
        <w:rPr>
          <w:b/>
          <w:bCs/>
          <w:color w:val="auto"/>
          <w:rtl w:val="true"/>
        </w:rPr>
        <w:t>.</w:t>
      </w:r>
      <w:r>
        <w:rPr>
          <w:rStyle w:val="FootnoteAnchor"/>
          <w:b/>
          <w:bCs/>
          <w:color w:val="auto"/>
          <w:rtl w:val="true"/>
        </w:rPr>
        <w:footnoteReference w:id="5"/>
      </w:r>
      <w:r>
        <w:rPr>
          <w:b w:val="false"/>
          <w:bCs w:val="false"/>
          <w:color w:val="auto"/>
          <w:rtl w:val="true"/>
        </w:rPr>
        <w:t xml:space="preserve"> </w:t>
      </w:r>
      <w:r>
        <w:rPr>
          <w:b w:val="false"/>
          <w:b w:val="false"/>
          <w:bCs w:val="false"/>
          <w:color w:val="auto"/>
          <w:rtl w:val="true"/>
        </w:rPr>
        <w:t>אם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יכול רב לסבור כריב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 או כרחב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י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אפשר שדין רב הוא רק כשהיין נשאר בכליו של מוכר</w:t>
      </w:r>
      <w:r>
        <w:rPr>
          <w:rStyle w:val="FootnoteAnchor"/>
          <w:b/>
          <w:b/>
          <w:bCs/>
          <w:color w:val="auto"/>
          <w:rtl w:val="true"/>
        </w:rPr>
        <w:footnoteReference w:id="6"/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ומשנה הוא כשהוא בכליו של לוקח</w:t>
      </w:r>
      <w:r>
        <w:rPr>
          <w:b/>
          <w:bCs/>
          <w:color w:val="auto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מזה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יוצא חידוש לרב</w:t>
      </w:r>
      <w:r>
        <w:rPr>
          <w:b w:val="false"/>
          <w:bCs w:val="false"/>
          <w:color w:val="auto"/>
          <w:rtl w:val="true"/>
        </w:rPr>
        <w:t xml:space="preserve">- </w:t>
      </w:r>
      <w:r>
        <w:rPr>
          <w:b w:val="false"/>
          <w:b w:val="false"/>
          <w:bCs w:val="false"/>
          <w:color w:val="auto"/>
          <w:rtl w:val="true"/>
        </w:rPr>
        <w:t>אף שבדרך כלל יין לא נחמץ לפני שלש ימים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יכול להיות נחמץ קודם לכן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חוששים לזה שלא להוציא ממון מן המוחזק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 xml:space="preserve">אבל לא חוששים לזה לתרומה </w:t>
      </w:r>
      <w:r>
        <w:rPr>
          <w:b w:val="false"/>
          <w:bCs w:val="false"/>
          <w:color w:val="auto"/>
          <w:rtl w:val="true"/>
        </w:rPr>
        <w:t>(</w:t>
      </w:r>
      <w:r>
        <w:rPr>
          <w:b w:val="false"/>
          <w:b w:val="false"/>
          <w:bCs w:val="false"/>
          <w:color w:val="auto"/>
          <w:rtl w:val="true"/>
        </w:rPr>
        <w:t>כן אומר הברייתא שמביא בצו</w:t>
      </w:r>
      <w:r>
        <w:rPr>
          <w:rStyle w:val="FootnoteAnchor"/>
          <w:b w:val="false"/>
          <w:b w:val="false"/>
          <w:bCs w:val="false"/>
          <w:color w:val="auto"/>
          <w:rtl w:val="true"/>
        </w:rPr>
        <w:footnoteReference w:id="7"/>
      </w:r>
      <w:r>
        <w:rPr>
          <w:b w:val="false"/>
          <w:bCs w:val="false"/>
          <w:color w:val="auto"/>
          <w:rtl w:val="true"/>
        </w:rPr>
        <w:t>.).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רשב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ם מוסיף שלפי זה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יסבור רב כריב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ח</w:t>
      </w:r>
      <w:r>
        <w:rPr>
          <w:b/>
          <w:bCs/>
          <w:color w:val="auto"/>
          <w:rtl w:val="true"/>
        </w:rPr>
        <w:t>.</w:t>
      </w:r>
      <w:r>
        <w:rPr>
          <w:b w:val="false"/>
          <w:bCs w:val="false"/>
          <w:color w:val="auto"/>
          <w:rtl w:val="true"/>
        </w:rPr>
        <w:t xml:space="preserve"> </w:t>
      </w:r>
      <w:r>
        <w:rPr>
          <w:b w:val="false"/>
          <w:b w:val="false"/>
          <w:bCs w:val="false"/>
          <w:color w:val="auto"/>
          <w:rtl w:val="true"/>
        </w:rPr>
        <w:t>יש לדון בזה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שרב רק מחלק בשלש ימים ראשונים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לכאורה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 xml:space="preserve">מחלק אף ביותר מכן </w:t>
      </w:r>
      <w:r>
        <w:rPr>
          <w:b w:val="false"/>
          <w:bCs w:val="false"/>
          <w:color w:val="auto"/>
          <w:rtl w:val="true"/>
        </w:rPr>
        <w:t>(</w:t>
      </w:r>
      <w:r>
        <w:rPr>
          <w:b w:val="false"/>
          <w:b w:val="false"/>
          <w:bCs w:val="false"/>
          <w:color w:val="auto"/>
          <w:rtl w:val="true"/>
        </w:rPr>
        <w:t>שהרי צריך שלוקח אמר שרוצה יין לזמן רב</w:t>
      </w:r>
      <w:r>
        <w:rPr>
          <w:b w:val="false"/>
          <w:bCs w:val="false"/>
          <w:color w:val="auto"/>
          <w:rtl w:val="true"/>
        </w:rPr>
        <w:t>)</w:t>
      </w:r>
      <w:r>
        <w:rPr>
          <w:rStyle w:val="FootnoteAnchor"/>
          <w:b w:val="false"/>
          <w:bCs w:val="false"/>
          <w:color w:val="auto"/>
          <w:rtl w:val="true"/>
        </w:rPr>
        <w:footnoteReference w:id="8"/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אולי כוונת רש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י הוא לומר שרק סובר כמותו במקצת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לכאורה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היה אפשר לומר שריב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 ורחב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י חולקים לאחר שלש ימים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אז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אולי רב סובר כרחב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י</w:t>
      </w:r>
      <w:r>
        <w:rPr>
          <w:b w:val="false"/>
          <w:bCs w:val="false"/>
          <w:color w:val="auto"/>
          <w:rtl w:val="true"/>
        </w:rPr>
        <w:t>.</w:t>
      </w:r>
      <w:r>
        <w:rPr>
          <w:rStyle w:val="FootnoteAnchor"/>
          <w:b w:val="false"/>
          <w:bCs w:val="false"/>
          <w:color w:val="auto"/>
          <w:rtl w:val="true"/>
        </w:rPr>
        <w:footnoteReference w:id="9"/>
      </w:r>
    </w:p>
    <w:p>
      <w:pPr>
        <w:pStyle w:val="Normal"/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יש להוסיף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גם היה אפשר לומר שהמשנה לא דן באותו חומץ שבו דן רב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רב דן בחומץ ממש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ועליו אמר שהתחיל חמוץ שלו קודם שלשה ימים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משנה מדבר ביין שריחו כחומץ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לא התחיל להחמיץ שלש ימים קודם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  <w:color w:val="auto"/>
        </w:rPr>
      </w:pPr>
      <w:r>
        <w:rPr>
          <w:b/>
          <w:b/>
          <w:bCs/>
          <w:color w:val="auto"/>
          <w:rtl w:val="true"/>
        </w:rPr>
        <w:t>שמואל אומר שמזל של הלוקח גרם שיהיה חומץ</w:t>
      </w:r>
      <w:r>
        <w:rPr>
          <w:b/>
          <w:bCs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צריך לפרש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יודעים שאומר כן אף על לפני שלש ימים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שבא לחלוק על רב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יש לדון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אז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באיזה ציורים אמר כן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בכל ציור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אם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סובר כרחב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י</w:t>
      </w:r>
      <w:r>
        <w:rPr>
          <w:b w:val="false"/>
          <w:bCs w:val="false"/>
          <w:color w:val="auto"/>
          <w:rtl w:val="true"/>
        </w:rPr>
        <w:t>.</w:t>
      </w:r>
      <w:r>
        <w:rPr>
          <w:rStyle w:val="FootnoteAnchor"/>
          <w:b w:val="false"/>
          <w:bCs w:val="false"/>
          <w:color w:val="auto"/>
          <w:rtl w:val="true"/>
        </w:rPr>
        <w:footnoteReference w:id="10"/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/>
          <w:bCs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אולי אומר כן בכל ציורים חוץ מציור שהוא בכליו של מוכר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אם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יסבור כריב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</w:t>
      </w:r>
      <w:r>
        <w:rPr>
          <w:b w:val="false"/>
          <w:bCs w:val="false"/>
          <w:color w:val="auto"/>
          <w:rtl w:val="true"/>
        </w:rPr>
        <w:t>.</w:t>
      </w:r>
      <w:r>
        <w:rPr>
          <w:rStyle w:val="FootnoteAnchor"/>
          <w:b w:val="false"/>
          <w:bCs w:val="false"/>
          <w:color w:val="auto"/>
          <w:rtl w:val="true"/>
        </w:rPr>
        <w:footnoteReference w:id="11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b/>
          <w:b/>
          <w:bCs/>
          <w:color w:val="auto"/>
        </w:rPr>
      </w:pPr>
      <w:r>
        <w:rPr>
          <w:rStyle w:val="FootnoteCharacters"/>
        </w:rPr>
        <w:footnoteRef/>
      </w:r>
      <w:r>
        <w:rPr>
          <w:b/>
          <w:b/>
          <w:bCs/>
          <w:color w:val="auto"/>
          <w:rtl w:val="true"/>
        </w:rPr>
        <w:tab/>
        <w:t>רשב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ם מבאר שרב סובר שכל יין שמחמיץ התחיל כבר לפני שלש ימים</w:t>
      </w:r>
      <w:r>
        <w:rPr>
          <w:b/>
          <w:bCs/>
          <w:color w:val="auto"/>
          <w:rtl w:val="true"/>
        </w:rPr>
        <w:t xml:space="preserve">. </w:t>
      </w:r>
      <w:r>
        <w:rPr>
          <w:b/>
          <w:b/>
          <w:bCs/>
          <w:color w:val="auto"/>
          <w:rtl w:val="true"/>
        </w:rPr>
        <w:t>אז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כשמכר לו המוכר יין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מכר לו יין העומד להחמיץ</w:t>
      </w:r>
      <w:r>
        <w:rPr>
          <w:b/>
          <w:bCs/>
          <w:color w:val="auto"/>
          <w:rtl w:val="true"/>
        </w:rPr>
        <w:t xml:space="preserve">. </w:t>
      </w:r>
      <w:r>
        <w:rPr>
          <w:b/>
          <w:b/>
          <w:bCs/>
          <w:color w:val="auto"/>
          <w:rtl w:val="true"/>
        </w:rPr>
        <w:t>לכן</w:t>
      </w:r>
      <w:r>
        <w:rPr>
          <w:b/>
          <w:bCs/>
          <w:color w:val="auto"/>
          <w:rtl w:val="true"/>
        </w:rPr>
        <w:t xml:space="preserve">, </w:t>
      </w:r>
      <w:r>
        <w:rPr>
          <w:b/>
          <w:b/>
          <w:bCs/>
          <w:color w:val="auto"/>
          <w:rtl w:val="true"/>
        </w:rPr>
        <w:t>הוא מקח טעות</w:t>
      </w:r>
      <w:r>
        <w:rPr>
          <w:b/>
          <w:bCs/>
          <w:color w:val="auto"/>
          <w:rtl w:val="true"/>
        </w:rPr>
        <w:t>.</w:t>
      </w:r>
    </w:p>
  </w:footnote>
  <w:footnote w:id="3"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color w:val="auto"/>
          <w:rtl w:val="true"/>
        </w:rPr>
        <w:tab/>
        <w:t>אגב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נראה ארבע צדדים בשמואל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Footnote"/>
        <w:numPr>
          <w:ilvl w:val="0"/>
          <w:numId w:val="2"/>
        </w:numPr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לא סובר שיין מתחיל להחמיץ שלש ימים קודם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ואם תאמר אם כן איך מפרש המשנה שמביא לעיל משם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ויש לומר שסובר שיש שלש ימים בין חומץ לחומץ רע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 xml:space="preserve">ועל זה דן משנה </w:t>
      </w:r>
      <w:r>
        <w:rPr>
          <w:b w:val="false"/>
          <w:bCs w:val="false"/>
          <w:color w:val="auto"/>
          <w:rtl w:val="true"/>
        </w:rPr>
        <w:t>(</w:t>
      </w:r>
      <w:r>
        <w:rPr>
          <w:b w:val="false"/>
          <w:b w:val="false"/>
          <w:bCs w:val="false"/>
          <w:color w:val="auto"/>
          <w:rtl w:val="true"/>
        </w:rPr>
        <w:t>כמו דרומאי בשם 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ל</w:t>
      </w:r>
      <w:r>
        <w:rPr>
          <w:b w:val="false"/>
          <w:bCs w:val="false"/>
          <w:color w:val="auto"/>
          <w:rtl w:val="true"/>
        </w:rPr>
        <w:t xml:space="preserve">), </w:t>
      </w:r>
      <w:r>
        <w:rPr>
          <w:b w:val="false"/>
          <w:b w:val="false"/>
          <w:bCs w:val="false"/>
          <w:color w:val="auto"/>
          <w:rtl w:val="true"/>
        </w:rPr>
        <w:t>ועד אותו זמן אינו נחשב חומץ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כאן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רק נעשה חומץ רגילה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0"/>
        </w:numPr>
        <w:bidi w:val="1"/>
        <w:ind w:left="720" w:hanging="34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יש לדון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שלכאורה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מבואר מלשונו שהיה יכול לחזור בו אם לא שהיה מפני לתך שלו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ויש לומר שיכול לחזור בו אף שלענין תרומה הוא מין אחד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כמו שאומר גמרא לקמן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שאינו תלוי בהיותו שני דינים כמו בתרומה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אלא במה שבני אדם רוצים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ותחשב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 xml:space="preserve">אולי כשאומר 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חומץ</w:t>
      </w:r>
      <w:r>
        <w:rPr>
          <w:b w:val="false"/>
          <w:bCs w:val="false"/>
          <w:color w:val="auto"/>
          <w:rtl w:val="true"/>
        </w:rPr>
        <w:t xml:space="preserve">" </w:t>
      </w:r>
      <w:r>
        <w:rPr>
          <w:b w:val="false"/>
          <w:b w:val="false"/>
          <w:bCs w:val="false"/>
          <w:color w:val="auto"/>
          <w:rtl w:val="true"/>
        </w:rPr>
        <w:t>לא דן באותו דרגא של חומץ שאומר רב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שרב סובר שחומץ הוא לאחר שלשה ימים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ועל זה קאי המשנה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אם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שלש ימים קודם התחיל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אבל שמואל סובר שיין שריחו חלא הוא חומץ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ולכן לא מתחיל חומץ של המשנה שלש ימים קודם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ותחשב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אולי סובר שמואל שמזל של לוקח גרם שאותו יין החמיץ לפני שקנה אותו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אז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כיון שממנו בא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הוא חסר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0"/>
        </w:numPr>
        <w:bidi w:val="1"/>
        <w:ind w:left="720" w:hanging="34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כמו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יש לומר שמזלו גרם שיקנה אותו חבית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אז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אף שהיה חומץ ביד מוכר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ומפני מוכר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רצה ה’ בחסרון של לוקח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ויש לדון בזה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שרק יש קרא שאומר שמה שנעשה יין לחומץ הוא מן השמים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ואז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אף שיש לומר שאולי בקנין חומץ גם יש לומר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איך נאמר שהוא בעית לוקח יותר משל מוכר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ותחשב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 w:val="false"/>
          <w:bCs w:val="false"/>
          <w:color w:val="auto"/>
          <w:rtl w:val="true"/>
        </w:rPr>
        <w:t>אולי סבר שאף שמכר המוכר יין שעומד להחמיץ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היה אפשר לו לשתות אותו מיד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ואז אינו מקח טעות</w:t>
      </w:r>
      <w:r>
        <w:rPr>
          <w:b w:val="false"/>
          <w:bCs w:val="false"/>
          <w:color w:val="auto"/>
          <w:rtl w:val="true"/>
        </w:rPr>
        <w:t>.</w:t>
      </w:r>
    </w:p>
    <w:p>
      <w:pPr>
        <w:pStyle w:val="Footnote"/>
        <w:numPr>
          <w:ilvl w:val="0"/>
          <w:numId w:val="0"/>
        </w:numPr>
        <w:bidi w:val="1"/>
        <w:ind w:hanging="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rtl w:val="true"/>
        </w:rPr>
        <w:t xml:space="preserve">    </w:t>
      </w:r>
      <w:r>
        <w:rPr>
          <w:b w:val="false"/>
          <w:b w:val="false"/>
          <w:bCs w:val="false"/>
          <w:color w:val="auto"/>
          <w:rtl w:val="true"/>
        </w:rPr>
        <w:t>זה תלוי במה שיש לדון כאן ובכ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מ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והוא אם מה שאומר שמואל הוא סיבה לדין או מה הוא הדין היוצא</w:t>
      </w:r>
      <w:r>
        <w:rPr>
          <w:b w:val="false"/>
          <w:bCs w:val="false"/>
          <w:color w:val="auto"/>
          <w:rtl w:val="true"/>
        </w:rPr>
        <w:t xml:space="preserve">. </w:t>
      </w:r>
      <w:r>
        <w:rPr>
          <w:b w:val="false"/>
          <w:b w:val="false"/>
          <w:bCs w:val="false"/>
          <w:color w:val="auto"/>
          <w:rtl w:val="true"/>
        </w:rPr>
        <w:t>ותו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ת</w:t>
      </w:r>
      <w:r>
        <w:rPr>
          <w:b w:val="false"/>
          <w:bCs w:val="false"/>
          <w:color w:val="auto"/>
          <w:rtl w:val="true"/>
        </w:rPr>
        <w:t xml:space="preserve">. </w:t>
      </w:r>
    </w:p>
  </w:footnote>
  <w:footnote w:id="4">
    <w:p>
      <w:pPr>
        <w:pStyle w:val="Footnote"/>
        <w:bidi w:val="1"/>
        <w:jc w:val="left"/>
        <w:rPr>
          <w:b/>
          <w:b/>
          <w:bCs/>
          <w:color w:val="auto"/>
        </w:rPr>
      </w:pPr>
      <w:r>
        <w:rPr>
          <w:rStyle w:val="FootnoteCharacters"/>
        </w:rPr>
        <w:footnoteRef/>
      </w:r>
      <w:r>
        <w:rPr>
          <w:b/>
          <w:b/>
          <w:bCs/>
          <w:color w:val="auto"/>
          <w:rtl w:val="true"/>
        </w:rPr>
        <w:tab/>
        <w:t>רשב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ם מפרש שסובר שהיה היין כבר עומד להחמיץ מתחילתו</w:t>
      </w:r>
      <w:r>
        <w:rPr>
          <w:b/>
          <w:bCs/>
          <w:color w:val="auto"/>
          <w:rtl w:val="true"/>
        </w:rPr>
        <w:t>.</w:t>
      </w:r>
    </w:p>
  </w:footnote>
  <w:footnote w:id="5">
    <w:p>
      <w:pPr>
        <w:pStyle w:val="Footnote"/>
        <w:bidi w:val="1"/>
        <w:jc w:val="left"/>
        <w:rPr>
          <w:b/>
          <w:b/>
          <w:bCs/>
          <w:color w:val="auto"/>
        </w:rPr>
      </w:pPr>
      <w:r>
        <w:rPr>
          <w:rStyle w:val="FootnoteCharacters"/>
        </w:rPr>
        <w:footnoteRef/>
      </w:r>
      <w:r>
        <w:rPr>
          <w:b/>
          <w:b/>
          <w:bCs/>
          <w:color w:val="auto"/>
          <w:rtl w:val="true"/>
        </w:rPr>
        <w:tab/>
        <w:t>מסביר רשב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 xml:space="preserve">ם שבתוך שלשה ימים לא 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החמיץ</w:t>
      </w:r>
      <w:r>
        <w:rPr>
          <w:b/>
          <w:bCs/>
          <w:color w:val="auto"/>
          <w:rtl w:val="true"/>
        </w:rPr>
        <w:t xml:space="preserve">,” </w:t>
      </w:r>
      <w:r>
        <w:rPr>
          <w:b/>
          <w:b/>
          <w:bCs/>
          <w:color w:val="auto"/>
          <w:rtl w:val="true"/>
        </w:rPr>
        <w:t xml:space="preserve">אלא </w:t>
      </w:r>
      <w:r>
        <w:rPr>
          <w:b/>
          <w:bCs/>
          <w:color w:val="auto"/>
          <w:rtl w:val="true"/>
        </w:rPr>
        <w:t>"</w:t>
      </w:r>
      <w:r>
        <w:rPr>
          <w:b/>
          <w:b/>
          <w:bCs/>
          <w:color w:val="auto"/>
          <w:rtl w:val="true"/>
        </w:rPr>
        <w:t>נמצא חומץ</w:t>
      </w:r>
      <w:r>
        <w:rPr>
          <w:b/>
          <w:bCs/>
          <w:color w:val="auto"/>
          <w:rtl w:val="true"/>
        </w:rPr>
        <w:t>.”</w:t>
      </w:r>
    </w:p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rtl w:val="true"/>
        </w:rPr>
        <w:tab/>
      </w:r>
      <w:r>
        <w:rPr>
          <w:b w:val="false"/>
          <w:b w:val="false"/>
          <w:bCs w:val="false"/>
          <w:color w:val="auto"/>
          <w:rtl w:val="true"/>
        </w:rPr>
        <w:t>לולי רשב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ם היה להסביר שמשנה הוא רק בששהה זמן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כמו שמדייק ריב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ח שם</w:t>
      </w:r>
      <w:r>
        <w:rPr>
          <w:b w:val="false"/>
          <w:bCs w:val="false"/>
          <w:color w:val="auto"/>
          <w:rtl w:val="true"/>
        </w:rPr>
        <w:t>.</w:t>
      </w:r>
    </w:p>
  </w:footnote>
  <w:footnote w:id="6"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color w:val="auto"/>
          <w:rtl w:val="true"/>
        </w:rPr>
        <w:tab/>
        <w:t xml:space="preserve">יש לדון אם הנחה זה בדין של רב נכון לשני הפשטים </w:t>
      </w:r>
      <w:r>
        <w:rPr>
          <w:b w:val="false"/>
          <w:bCs w:val="false"/>
          <w:color w:val="auto"/>
          <w:rtl w:val="true"/>
        </w:rPr>
        <w:t>(</w:t>
      </w:r>
      <w:r>
        <w:rPr>
          <w:b w:val="false"/>
          <w:b w:val="false"/>
          <w:bCs w:val="false"/>
          <w:color w:val="auto"/>
          <w:rtl w:val="true"/>
        </w:rPr>
        <w:t>רצה לומר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יש לדון אם דן רשב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ם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כשאומר שני פשטים אלו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אם הנחה זה נכון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או רק אם יותר מסתבר להוקים המשנה לאחר שלשה ימים או בכליו של מוכר</w:t>
      </w:r>
      <w:r>
        <w:rPr>
          <w:b w:val="false"/>
          <w:bCs w:val="false"/>
          <w:color w:val="auto"/>
          <w:rtl w:val="true"/>
        </w:rPr>
        <w:t>).</w:t>
      </w:r>
    </w:p>
  </w:footnote>
  <w:footnote w:id="7"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color w:val="auto"/>
          <w:rtl w:val="true"/>
        </w:rPr>
        <w:tab/>
        <w:t>כמובן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מחודש לומר כן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שלכאורה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תרומה הוא דין דאו’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והיה לנו לחוש לצד זה</w:t>
      </w:r>
      <w:r>
        <w:rPr>
          <w:b w:val="false"/>
          <w:bCs w:val="false"/>
          <w:color w:val="auto"/>
          <w:rtl w:val="true"/>
        </w:rPr>
        <w:t>.</w:t>
      </w:r>
    </w:p>
  </w:footnote>
  <w:footnote w:id="8"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color w:val="auto"/>
          <w:rtl w:val="true"/>
        </w:rPr>
        <w:tab/>
        <w:t>ויש לדון מה נחשב זמן רב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שאולי בלי אמירה זה</w:t>
      </w:r>
      <w:r>
        <w:rPr>
          <w:b w:val="false"/>
          <w:bCs w:val="false"/>
          <w:color w:val="auto"/>
          <w:rtl w:val="true"/>
        </w:rPr>
        <w:t xml:space="preserve">, </w:t>
      </w:r>
      <w:r>
        <w:rPr>
          <w:b w:val="false"/>
          <w:b w:val="false"/>
          <w:bCs w:val="false"/>
          <w:color w:val="auto"/>
          <w:rtl w:val="true"/>
        </w:rPr>
        <w:t>היה לו לשתות את כולו מיד</w:t>
      </w:r>
      <w:r>
        <w:rPr>
          <w:b w:val="false"/>
          <w:bCs w:val="false"/>
          <w:color w:val="auto"/>
          <w:rtl w:val="true"/>
        </w:rPr>
        <w:t>.</w:t>
      </w:r>
    </w:p>
  </w:footnote>
  <w:footnote w:id="9">
    <w:p>
      <w:pPr>
        <w:pStyle w:val="Footnote"/>
        <w:bidi w:val="1"/>
        <w:jc w:val="left"/>
        <w:rPr>
          <w:b w:val="false"/>
          <w:b w:val="false"/>
          <w:bCs w:val="false"/>
          <w:color w:val="auto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color w:val="auto"/>
          <w:rtl w:val="true"/>
        </w:rPr>
        <w:tab/>
        <w:t>אף זה יכול להיות כרשב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ם לפי מה שפירשנו שרשב</w:t>
      </w:r>
      <w:r>
        <w:rPr>
          <w:b w:val="false"/>
          <w:bCs w:val="false"/>
          <w:color w:val="auto"/>
          <w:rtl w:val="true"/>
        </w:rPr>
        <w:t>"</w:t>
      </w:r>
      <w:r>
        <w:rPr>
          <w:b w:val="false"/>
          <w:b w:val="false"/>
          <w:bCs w:val="false"/>
          <w:color w:val="auto"/>
          <w:rtl w:val="true"/>
        </w:rPr>
        <w:t>ם רק אומר שסובר כמותו במה ששל שמחלק בין קנקנים של מוכר ושל לוקח בפירוש</w:t>
      </w:r>
      <w:r>
        <w:rPr>
          <w:b w:val="false"/>
          <w:bCs w:val="false"/>
          <w:color w:val="auto"/>
          <w:rtl w:val="true"/>
        </w:rPr>
        <w:t xml:space="preserve">. 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לא שנאמר כצד שכתבנו שרחב</w:t>
      </w:r>
      <w:r>
        <w:rPr>
          <w:rtl w:val="true"/>
        </w:rPr>
        <w:t>"</w:t>
      </w:r>
      <w:r>
        <w:rPr>
          <w:rtl w:val="true"/>
        </w:rPr>
        <w:t>י סובר כרב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תלוי בסברות שכתבנו לשמואל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NumberingSymbols">
    <w:name w:val="Numbering Symbol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LibreOffice/7.3.2.2$Windows_X86_64 LibreOffice_project/49f2b1bff42cfccbd8f788c8dc32c1c309559be0</Application>
  <AppVersion>15.0000</AppVersion>
  <Pages>2</Pages>
  <Words>835</Words>
  <Characters>3299</Characters>
  <CharactersWithSpaces>4068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2022-11-27T10:59:27Z</dcterms:created>
  <dc:creator/>
  <dc:description/>
  <dc:language>en-US</dc:language>
  <cp:lastModifiedBy/>
  <dcterms:modified xsi:type="dcterms:W3CDTF">2022-11-27T11:56:42Z</dcterms:modified>
  <cp:revision>30</cp:revision>
  <dc:subject/>
  <dc:title/>
</cp:coreProperties>
</file>