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 xml:space="preserve">גמ’ בבכורות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יג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מביא בריי’ שקשה להבין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הבריי’ מדבר בישראל שקונה עבודה זרה מגוי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עבודה זרה אסורה בהנאה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ואם קנה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אסור למכור אותו לגוי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במשנה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הדיון הוא אם לא קנה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יכול לחזור בו ולקבל את מעותיו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קנה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לא יכול לחזור 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 זה רק נעשה על ידי מכירה 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ונמצא שנהנה מע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המשנה</w:t>
      </w:r>
      <w:r>
        <w:rPr>
          <w:rtl w:val="true"/>
          <w:lang w:bidi="he-IL"/>
        </w:rPr>
        <w:t>: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הלוקח גרוטאות מן העובד כוכבים ומצא בהן עבודת כוכבים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  <w:lang w:bidi="he-IL"/>
        </w:rPr>
        <w:t xml:space="preserve">אם עד שלא נתן מעות משך יחזיר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נקרא לזה רישא</w:t>
      </w:r>
      <w:r>
        <w:rPr>
          <w:rtl w:val="true"/>
          <w:lang w:bidi="he-IL"/>
        </w:rPr>
        <w:t>)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  <w:lang w:bidi="he-IL"/>
        </w:rPr>
        <w:t xml:space="preserve">ואם משנתן מעות משך יוליך הנאה לים המלח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נקרא לזה סיפא</w:t>
      </w:r>
      <w:r>
        <w:rPr>
          <w:rtl w:val="true"/>
          <w:lang w:bidi="he-IL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  <w:lang w:bidi="he-IL"/>
        </w:rPr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  <w:lang w:bidi="he-IL"/>
        </w:rPr>
        <w:t>הביאורים</w:t>
      </w:r>
      <w:r>
        <w:rPr>
          <w:rtl w:val="true"/>
          <w:lang w:bidi="he-IL"/>
        </w:rPr>
        <w:t>: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יש שלש ביאורים לבריי’ זה</w:t>
      </w:r>
      <w:r>
        <w:rPr>
          <w:rtl w:val="true"/>
          <w:lang w:bidi="he-IL"/>
        </w:rPr>
        <w:t>: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ביאור אביי</w:t>
      </w:r>
      <w:r>
        <w:rPr>
          <w:rtl w:val="true"/>
          <w:lang w:bidi="he-IL"/>
        </w:rPr>
        <w:t>: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קונה מגוי במשיכה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יכול להיות שני סיבות לזה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סיבה ראשונה הוא שכן הוא הדין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שקונים מישראל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מן התורה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בכסף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עמיתך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למעט גוי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לומר שמגוי רק קונים במשיכה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סיבה שנית הוא שדנים בציור שקבלו עליהם לדון בדיני ישראל</w:t>
      </w:r>
      <w:r>
        <w:rPr>
          <w:rStyle w:val="FootnoteAnchor"/>
          <w:rtl w:val="true"/>
          <w:lang w:bidi="he-IL"/>
        </w:rPr>
        <w:footnoteReference w:id="2"/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3"/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נפרש רישא וסיפא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אם עד שלא נתן מעות משך יחזיר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שהוא מקח טעות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אם משנתן מעות משך לא יחזיר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שכיון שנתן מעות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לו לעיין על זה אם מקפיד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4"/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ביאור רבא</w:t>
      </w:r>
      <w:r>
        <w:rPr>
          <w:rtl w:val="true"/>
          <w:lang w:bidi="he-IL"/>
        </w:rPr>
        <w:t>: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קונה מגוי במשיכה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יכול להיות שני סיבות לזה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סיבה ראשונה הוא שכן הוא הדין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שקונים מישראל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מן התורה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בכסף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עמיתך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למעט גוי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לומר שמגוי רק קונים במשיכה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סיבה שנית הוא שדנים בציור שקבלו עליהם לדון שמשיכה קונה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נפרש רישא וסיפא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אם עד שלא נתן מעות משך יחזיר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שהוא מקח טעות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אם משנתן מעות משך לא יחזיר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שהוא מקח טעות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שבנתינת הכסף עם משיכה</w:t>
      </w:r>
      <w:r>
        <w:rPr>
          <w:rStyle w:val="FootnoteAnchor"/>
          <w:rtl w:val="true"/>
          <w:lang w:bidi="he-IL"/>
        </w:rPr>
        <w:footnoteReference w:id="5"/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נ’ כקונה 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ביאור רב אשי</w:t>
      </w:r>
      <w:r>
        <w:rPr>
          <w:rtl w:val="true"/>
          <w:lang w:bidi="he-IL"/>
        </w:rPr>
        <w:t>: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לא קונה מגוי במשיכה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יכול להיות שני סיבות לזה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סיבה ראשונה הוא שכן הוא הדין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אולי המקור לזה הוא שקונים מישראל במשיכה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יד ביד</w:t>
      </w:r>
      <w:r>
        <w:rPr>
          <w:rtl w:val="true"/>
          <w:lang w:bidi="he-IL"/>
        </w:rPr>
        <w:t xml:space="preserve">"), </w:t>
      </w:r>
      <w:r>
        <w:rPr>
          <w:rtl w:val="true"/>
          <w:lang w:bidi="he-IL"/>
        </w:rPr>
        <w:t>וכ’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לעמיתך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למעט קנין מגוי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ואולי המקור לזה הוא רק שאין מקור לקנות במשיכה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שאף שישראל קונה בכסף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לעמיתך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זה בא למעט גוי מאונאה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סיבה שנית הוא שקבלו על עצמם לדון כאילו משיכה לא קונה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נפרש רישא וסיפא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אם עד שלא נתן מעות משך יחזיר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שלא עשה בו קנין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אם משנתן מעות משך לא יחזיר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שקנה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למה אומר שמשך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שהוא אגב רישא</w:t>
      </w:r>
      <w:r>
        <w:rPr>
          <w:rtl w:val="true"/>
          <w:lang w:bidi="he-IL"/>
        </w:rPr>
        <w:t>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נמצא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שקבלה זו עושה שקנין תלוי במשיכה</w:t>
      </w:r>
      <w:r>
        <w:rPr>
          <w:rtl w:val="true"/>
          <w:lang w:bidi="he-IL"/>
        </w:rPr>
        <w:t>.</w:t>
      </w:r>
    </w:p>
  </w:footnote>
  <w:footnote w:id="3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גמ’ אומר שקבלו על עצמם לדון בדיני ישראל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אף אם נאמר שמשיכה לא קונה מדאו’ בישראל או בגוי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נוכל להוקים את המשנה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שקונה מדרבנן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נ’ שאף בלי זה היה אפשר להוקים את המשנה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שיקבלו על עצמם שמשיכה קונה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שאין דין של אף אחד כן</w:t>
      </w:r>
      <w:r>
        <w:rPr>
          <w:rtl w:val="true"/>
          <w:lang w:bidi="he-IL"/>
        </w:rPr>
        <w:t>.</w:t>
      </w:r>
    </w:p>
  </w:footnote>
  <w:footnote w:id="4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מוכיח שענין של מקח טעות אינו שאין חלות המיוסד על טעות חל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הוא שתקן תורה שלטובת לוקח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יבוא לו רע שלא היה יכול למנוע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לדחות שממה שלא בדק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שלא מקפיד</w:t>
      </w:r>
      <w:r>
        <w:rPr>
          <w:rtl w:val="true"/>
          <w:lang w:bidi="he-IL"/>
        </w:rPr>
        <w:t xml:space="preserve">. </w:t>
      </w:r>
    </w:p>
  </w:footnote>
  <w:footnote w:id="5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גמ’ לא מזכיר נקודה זו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נראה שצריך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שאם לא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למה מזכיר משיכה בסיפא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בין אם משך בין אם לא משך לא קנה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מקח טעות היתה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והכל תלוי במה יחשוב הרואה</w:t>
      </w:r>
      <w:r>
        <w:rPr>
          <w:rtl w:val="true"/>
          <w:lang w:bidi="he-IL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Narkisim"/>
      <w:color w:val="auto"/>
      <w:kern w:val="2"/>
      <w:sz w:val="24"/>
      <w:szCs w:val="22"/>
      <w:lang w:val="en-GB" w:eastAsia="zh-CN" w:bidi="hi-IN"/>
    </w:rPr>
  </w:style>
  <w:style w:type="character" w:styleId="LineNumbering">
    <w:name w:val="Line Number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LibreOffice/7.5.3.2$Windows_X86_64 LibreOffice_project/9f56dff12ba03b9acd7730a5a481eea045e468f3</Application>
  <AppVersion>15.0000</AppVersion>
  <Pages>1</Pages>
  <Words>468</Words>
  <Characters>1894</Characters>
  <CharactersWithSpaces>2333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2024-05-26T18:12:39Z</dcterms:created>
  <dc:creator/>
  <dc:description/>
  <dc:language>en-GB</dc:language>
  <cp:lastModifiedBy/>
  <dcterms:modified xsi:type="dcterms:W3CDTF">2024-05-26T18:34:12Z</dcterms:modified>
  <cp:revision>11</cp:revision>
  <dc:subject/>
  <dc:title/>
</cp:coreProperties>
</file>