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sz w:val="16"/>
          <w:szCs w:val="16"/>
        </w:rPr>
      </w:pPr>
      <w:r>
        <w:rPr>
          <w:sz w:val="16"/>
          <w:szCs w:val="16"/>
          <w:rtl w:val="true"/>
        </w:rPr>
      </w:r>
    </w:p>
    <w:tbl>
      <w:tblPr>
        <w:bidiVisual w:val="true"/>
        <w:tblW w:w="9975" w:type="dxa"/>
        <w:jc w:val="left"/>
        <w:tblInd w:w="-2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88"/>
        <w:gridCol w:w="1631"/>
        <w:gridCol w:w="1"/>
        <w:gridCol w:w="2506"/>
        <w:gridCol w:w="1094"/>
        <w:gridCol w:w="1081"/>
        <w:gridCol w:w="611"/>
        <w:gridCol w:w="547"/>
        <w:gridCol w:w="1614"/>
      </w:tblGrid>
      <w:tr>
        <w:trPr/>
        <w:tc>
          <w:tcPr>
            <w:tcW w:w="2519" w:type="dxa"/>
            <w:gridSpan w:val="2"/>
            <w:tcBorders>
              <w:top w:val="thickThinLargeGap" w:sz="2" w:space="0" w:color="000000"/>
              <w:left w:val="thickThinLargeGap" w:sz="2" w:space="0" w:color="000000"/>
              <w:bottom w:val="thickThinLargeGap" w:sz="2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מקדשי אדם שדה מקנה</w:t>
            </w:r>
            <w:r>
              <w:rPr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7454" w:type="dxa"/>
            <w:gridSpan w:val="7"/>
            <w:tcBorders>
              <w:top w:val="thickThinLargeGap" w:sz="2" w:space="0" w:color="000000"/>
              <w:left w:val="thickThinLargeGap" w:sz="2" w:space="0" w:color="000000"/>
              <w:bottom w:val="thickThinLargeGap" w:sz="2" w:space="0" w:color="000000"/>
              <w:right w:val="thickThinLargeGap" w:sz="2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מקדיש אדם שדה אחוזה</w:t>
            </w:r>
            <w:r>
              <w:rPr>
                <w:sz w:val="16"/>
                <w:szCs w:val="16"/>
                <w:rtl w:val="true"/>
                <w:lang w:bidi="he-IL"/>
              </w:rPr>
              <w:t>:</w:t>
            </w:r>
          </w:p>
        </w:tc>
      </w:tr>
      <w:tr>
        <w:trPr/>
        <w:tc>
          <w:tcPr>
            <w:tcW w:w="888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רבנן אומרים שפודים אותו בשוויו</w:t>
            </w:r>
            <w:r>
              <w:rPr>
                <w:sz w:val="16"/>
                <w:szCs w:val="16"/>
                <w:rtl w:val="true"/>
                <w:lang w:bidi="he-IL"/>
              </w:rPr>
              <w:t>.</w:t>
            </w:r>
          </w:p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Cs w:val="16"/>
                <w:rtl w:val="true"/>
                <w:lang w:bidi="he-IL"/>
              </w:rPr>
            </w:r>
          </w:p>
        </w:tc>
        <w:tc>
          <w:tcPr>
            <w:tcW w:w="1631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רבי אליעזר אומר שדינו כשדה אחוזה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.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יש שני חילוקים</w:t>
            </w:r>
            <w:r>
              <w:rPr>
                <w:sz w:val="16"/>
                <w:szCs w:val="16"/>
                <w:rtl w:val="true"/>
                <w:lang w:bidi="he-IL"/>
              </w:rPr>
              <w:t>:</w:t>
            </w:r>
          </w:p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א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.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אין בעל נותן חומש</w:t>
            </w:r>
            <w:r>
              <w:rPr>
                <w:sz w:val="16"/>
                <w:szCs w:val="16"/>
                <w:rtl w:val="true"/>
                <w:lang w:bidi="he-IL"/>
              </w:rPr>
              <w:t>.</w:t>
            </w:r>
          </w:p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ב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.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יוצא לבעל ראשון ביובל</w:t>
            </w:r>
            <w:r>
              <w:rPr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250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בשאר שנים</w:t>
            </w:r>
            <w:r>
              <w:rPr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3333" w:type="dxa"/>
            <w:gridSpan w:val="4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בשנת היובל</w:t>
            </w:r>
            <w:r>
              <w:rPr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16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שנים שנה קרוב ליובל</w:t>
            </w:r>
            <w:r>
              <w:rPr>
                <w:sz w:val="16"/>
                <w:szCs w:val="16"/>
                <w:rtl w:val="true"/>
                <w:lang w:bidi="he-IL"/>
              </w:rPr>
              <w:t>:</w:t>
            </w:r>
          </w:p>
        </w:tc>
      </w:tr>
      <w:tr>
        <w:trPr/>
        <w:tc>
          <w:tcPr>
            <w:tcW w:w="888" w:type="dxa"/>
            <w:vMerge w:val="continue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true"/>
              </w:rPr>
            </w:r>
          </w:p>
        </w:tc>
        <w:tc>
          <w:tcPr>
            <w:tcW w:w="1631" w:type="dxa"/>
            <w:vMerge w:val="continue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7" w:type="dxa"/>
            <w:gridSpan w:val="2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קדוש</w:t>
            </w:r>
          </w:p>
        </w:tc>
        <w:tc>
          <w:tcPr>
            <w:tcW w:w="2786" w:type="dxa"/>
            <w:gridSpan w:val="3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רבי שמעון</w:t>
            </w:r>
            <w:r>
              <w:rPr>
                <w:rStyle w:val="FootnoteAnchor"/>
                <w:sz w:val="16"/>
                <w:sz w:val="16"/>
                <w:szCs w:val="16"/>
                <w:rtl w:val="true"/>
                <w:lang w:bidi="he-IL"/>
              </w:rPr>
              <w:footnoteReference w:id="2"/>
            </w:r>
            <w:r>
              <w:rPr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54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רבי יהודה</w:t>
            </w:r>
            <w:r>
              <w:rPr>
                <w:rStyle w:val="FootnoteAnchor"/>
                <w:sz w:val="16"/>
                <w:sz w:val="16"/>
                <w:szCs w:val="16"/>
                <w:rtl w:val="true"/>
                <w:lang w:bidi="he-IL"/>
              </w:rPr>
              <w:footnoteReference w:id="3"/>
            </w:r>
            <w:r>
              <w:rPr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16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קדוש ואין גרוע</w:t>
            </w:r>
            <w:r>
              <w:rPr>
                <w:rStyle w:val="FootnoteAnchor"/>
                <w:sz w:val="16"/>
                <w:sz w:val="16"/>
                <w:szCs w:val="16"/>
                <w:rtl w:val="true"/>
                <w:lang w:bidi="he-IL"/>
              </w:rPr>
              <w:footnoteReference w:id="4"/>
            </w:r>
            <w:r>
              <w:rPr>
                <w:sz w:val="16"/>
                <w:szCs w:val="16"/>
                <w:rtl w:val="true"/>
                <w:lang w:bidi="he-IL"/>
              </w:rPr>
              <w:t>.</w:t>
            </w:r>
          </w:p>
        </w:tc>
      </w:tr>
      <w:tr>
        <w:trPr/>
        <w:tc>
          <w:tcPr>
            <w:tcW w:w="888" w:type="dxa"/>
            <w:vMerge w:val="continue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true"/>
              </w:rPr>
            </w:r>
          </w:p>
        </w:tc>
        <w:tc>
          <w:tcPr>
            <w:tcW w:w="1631" w:type="dxa"/>
            <w:vMerge w:val="continue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7" w:type="dxa"/>
            <w:gridSpan w:val="2"/>
            <w:vMerge w:val="continue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true"/>
              </w:rPr>
            </w:r>
          </w:p>
        </w:tc>
        <w:tc>
          <w:tcPr>
            <w:tcW w:w="109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רבנן</w:t>
            </w:r>
            <w:r>
              <w:rPr>
                <w:rStyle w:val="FootnoteAnchor"/>
                <w:sz w:val="16"/>
                <w:sz w:val="16"/>
                <w:szCs w:val="16"/>
                <w:rtl w:val="true"/>
                <w:lang w:bidi="he-IL"/>
              </w:rPr>
              <w:footnoteReference w:id="5"/>
            </w:r>
            <w:r>
              <w:rPr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1692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רבי</w:t>
            </w:r>
            <w:r>
              <w:rPr>
                <w:rStyle w:val="FootnoteAnchor"/>
                <w:sz w:val="16"/>
                <w:sz w:val="16"/>
                <w:szCs w:val="16"/>
                <w:rtl w:val="true"/>
                <w:lang w:bidi="he-IL"/>
              </w:rPr>
              <w:footnoteReference w:id="6"/>
            </w:r>
            <w:r>
              <w:rPr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547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קדוש</w:t>
            </w:r>
          </w:p>
        </w:tc>
        <w:tc>
          <w:tcPr>
            <w:tcW w:w="1614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true"/>
              </w:rPr>
            </w:r>
          </w:p>
        </w:tc>
      </w:tr>
      <w:tr>
        <w:trPr>
          <w:trHeight w:val="94" w:hRule="atLeast"/>
        </w:trPr>
        <w:tc>
          <w:tcPr>
            <w:tcW w:w="888" w:type="dxa"/>
            <w:vMerge w:val="continue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true"/>
              </w:rPr>
            </w:r>
          </w:p>
        </w:tc>
        <w:tc>
          <w:tcPr>
            <w:tcW w:w="1631" w:type="dxa"/>
            <w:vMerge w:val="continue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7" w:type="dxa"/>
            <w:gridSpan w:val="2"/>
            <w:vMerge w:val="continue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true"/>
              </w:rPr>
            </w:r>
          </w:p>
        </w:tc>
        <w:tc>
          <w:tcPr>
            <w:tcW w:w="1094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אינו קדוש</w:t>
            </w:r>
          </w:p>
        </w:tc>
        <w:tc>
          <w:tcPr>
            <w:tcW w:w="10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שמואל</w:t>
            </w:r>
            <w:r>
              <w:rPr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61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רב</w:t>
            </w:r>
            <w:r>
              <w:rPr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547" w:type="dxa"/>
            <w:vMerge w:val="continue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Cs w:val="16"/>
                <w:rtl w:val="true"/>
                <w:lang w:bidi="he-IL"/>
              </w:rPr>
            </w:r>
          </w:p>
        </w:tc>
        <w:tc>
          <w:tcPr>
            <w:tcW w:w="1614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Cs w:val="16"/>
                <w:rtl w:val="true"/>
                <w:lang w:bidi="he-IL"/>
              </w:rPr>
            </w:r>
          </w:p>
        </w:tc>
      </w:tr>
      <w:tr>
        <w:trPr/>
        <w:tc>
          <w:tcPr>
            <w:tcW w:w="2519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true"/>
              </w:rPr>
            </w:r>
          </w:p>
        </w:tc>
        <w:tc>
          <w:tcPr>
            <w:tcW w:w="1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true"/>
              </w:rPr>
            </w:r>
          </w:p>
        </w:tc>
        <w:tc>
          <w:tcPr>
            <w:tcW w:w="2506" w:type="dxa"/>
            <w:vMerge w:val="continue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true"/>
              </w:rPr>
            </w:r>
          </w:p>
        </w:tc>
        <w:tc>
          <w:tcPr>
            <w:tcW w:w="1094" w:type="dxa"/>
            <w:vMerge w:val="continue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true"/>
              </w:rPr>
            </w:r>
          </w:p>
        </w:tc>
        <w:tc>
          <w:tcPr>
            <w:tcW w:w="10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אינו קדוש</w:t>
            </w:r>
            <w:r>
              <w:rPr>
                <w:rStyle w:val="FootnoteAnchor"/>
                <w:sz w:val="16"/>
                <w:sz w:val="16"/>
                <w:szCs w:val="16"/>
                <w:rtl w:val="true"/>
                <w:lang w:bidi="he-IL"/>
              </w:rPr>
              <w:footnoteReference w:id="7"/>
            </w:r>
          </w:p>
        </w:tc>
        <w:tc>
          <w:tcPr>
            <w:tcW w:w="61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קדוש</w:t>
            </w:r>
            <w:r>
              <w:rPr>
                <w:rStyle w:val="FootnoteAnchor"/>
                <w:sz w:val="16"/>
                <w:sz w:val="16"/>
                <w:szCs w:val="16"/>
                <w:rtl w:val="true"/>
                <w:lang w:bidi="he-IL"/>
              </w:rPr>
              <w:footnoteReference w:id="8"/>
            </w:r>
          </w:p>
        </w:tc>
        <w:tc>
          <w:tcPr>
            <w:tcW w:w="547" w:type="dxa"/>
            <w:vMerge w:val="continue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true"/>
              </w:rPr>
            </w:r>
          </w:p>
        </w:tc>
        <w:tc>
          <w:tcPr>
            <w:tcW w:w="1614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true"/>
              </w:rPr>
            </w:r>
          </w:p>
        </w:tc>
      </w:tr>
    </w:tbl>
    <w:p>
      <w:pPr>
        <w:pStyle w:val="TextBody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bidiVisual w:val="true"/>
        <w:tblW w:w="9975" w:type="dxa"/>
        <w:jc w:val="left"/>
        <w:tblInd w:w="-2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61"/>
        <w:gridCol w:w="1446"/>
        <w:gridCol w:w="1983"/>
        <w:gridCol w:w="621"/>
        <w:gridCol w:w="728"/>
        <w:gridCol w:w="804"/>
        <w:gridCol w:w="1534"/>
        <w:gridCol w:w="896"/>
      </w:tblGrid>
      <w:tr>
        <w:trPr/>
        <w:tc>
          <w:tcPr>
            <w:tcW w:w="1961" w:type="dxa"/>
            <w:tcBorders>
              <w:top w:val="thickThinLargeGap" w:sz="2" w:space="0" w:color="000000"/>
              <w:left w:val="thickThinLargeGap" w:sz="2" w:space="0" w:color="000000"/>
              <w:bottom w:val="thickThinLargeGap" w:sz="2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פודה כהן</w:t>
            </w:r>
          </w:p>
        </w:tc>
        <w:tc>
          <w:tcPr>
            <w:tcW w:w="1446" w:type="dxa"/>
            <w:tcBorders>
              <w:top w:val="thickThinLargeGap" w:sz="2" w:space="0" w:color="000000"/>
              <w:left w:val="thickThinLargeGap" w:sz="2" w:space="0" w:color="000000"/>
              <w:bottom w:val="thickThinLargeGap" w:sz="2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פודה אחר</w:t>
            </w:r>
          </w:p>
        </w:tc>
        <w:tc>
          <w:tcPr>
            <w:tcW w:w="3332" w:type="dxa"/>
            <w:gridSpan w:val="3"/>
            <w:tcBorders>
              <w:top w:val="thickThinLargeGap" w:sz="2" w:space="0" w:color="000000"/>
              <w:left w:val="thickThinLargeGap" w:sz="2" w:space="0" w:color="000000"/>
              <w:bottom w:val="thickThinLargeGap" w:sz="2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אין פודה</w:t>
            </w:r>
          </w:p>
        </w:tc>
        <w:tc>
          <w:tcPr>
            <w:tcW w:w="804" w:type="dxa"/>
            <w:tcBorders>
              <w:top w:val="thickThinLargeGap" w:sz="2" w:space="0" w:color="000000"/>
              <w:left w:val="thickThinLargeGap" w:sz="2" w:space="0" w:color="000000"/>
              <w:bottom w:val="thickThinLargeGap" w:sz="2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פודה אחיו</w:t>
            </w:r>
          </w:p>
        </w:tc>
        <w:tc>
          <w:tcPr>
            <w:tcW w:w="1534" w:type="dxa"/>
            <w:tcBorders>
              <w:top w:val="thickThinLargeGap" w:sz="2" w:space="0" w:color="000000"/>
              <w:left w:val="thickThinLargeGap" w:sz="2" w:space="0" w:color="000000"/>
              <w:bottom w:val="thickThinLargeGap" w:sz="2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פודה בנו</w:t>
            </w:r>
          </w:p>
        </w:tc>
        <w:tc>
          <w:tcPr>
            <w:tcW w:w="896" w:type="dxa"/>
            <w:tcBorders>
              <w:top w:val="thickThinLargeGap" w:sz="2" w:space="0" w:color="000000"/>
              <w:left w:val="thickThinLargeGap" w:sz="2" w:space="0" w:color="000000"/>
              <w:bottom w:val="thickThinLargeGap" w:sz="2" w:space="0" w:color="000000"/>
              <w:right w:val="thickThinLargeGap" w:sz="2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פודה מקדיש</w:t>
            </w:r>
          </w:p>
        </w:tc>
      </w:tr>
      <w:tr>
        <w:trPr/>
        <w:tc>
          <w:tcPr>
            <w:tcW w:w="196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דינו כאחר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,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שאף שהוא כהן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,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וניתן לכהנים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,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אינו יכול לזכות בו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,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 xml:space="preserve">אלא יוצא לכל כהני המשמר </w:t>
            </w:r>
            <w:r>
              <w:rPr>
                <w:sz w:val="16"/>
                <w:szCs w:val="16"/>
                <w:rtl w:val="true"/>
                <w:lang w:bidi="he-IL"/>
              </w:rPr>
              <w:t>(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דכתיב</w:t>
            </w:r>
            <w:r>
              <w:rPr>
                <w:sz w:val="16"/>
                <w:szCs w:val="16"/>
                <w:rtl w:val="true"/>
                <w:lang w:bidi="he-IL"/>
              </w:rPr>
              <w:t>, “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אחוזתו</w:t>
            </w:r>
            <w:r>
              <w:rPr>
                <w:sz w:val="16"/>
                <w:szCs w:val="16"/>
                <w:rtl w:val="true"/>
                <w:lang w:bidi="he-IL"/>
              </w:rPr>
              <w:t>")</w:t>
            </w:r>
          </w:p>
        </w:tc>
        <w:tc>
          <w:tcPr>
            <w:tcW w:w="144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שלו הוא עד היובל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.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אחר היובל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,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יוצא לכהנים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,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ותלוי במחלקת רבי יהודה ורבי שמעון</w:t>
            </w:r>
            <w:r>
              <w:rPr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1983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רבי אליעזר</w:t>
            </w:r>
            <w:r>
              <w:rPr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62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רבי יהודה</w:t>
            </w:r>
            <w:r>
              <w:rPr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72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 xml:space="preserve">רבי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שמעון</w:t>
            </w:r>
            <w:r>
              <w:rPr>
                <w:sz w:val="16"/>
                <w:szCs w:val="16"/>
                <w:rtl w:val="true"/>
                <w:lang w:bidi="he-IL"/>
              </w:rPr>
              <w:t>:</w:t>
            </w:r>
          </w:p>
        </w:tc>
        <w:tc>
          <w:tcPr>
            <w:tcW w:w="80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דינו כאחר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,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 xml:space="preserve">דכתיב </w:t>
            </w:r>
            <w:r>
              <w:rPr>
                <w:sz w:val="16"/>
                <w:szCs w:val="16"/>
                <w:rtl w:val="true"/>
                <w:lang w:bidi="he-IL"/>
              </w:rPr>
              <w:t>"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איש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"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לרבותו</w:t>
            </w:r>
            <w:r>
              <w:rPr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153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שלו הוא עד היובל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.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אחר יובל נעשה של אביו</w:t>
            </w:r>
            <w:r>
              <w:rPr>
                <w:rStyle w:val="FootnoteAnchor"/>
                <w:sz w:val="16"/>
                <w:sz w:val="16"/>
                <w:szCs w:val="16"/>
                <w:rtl w:val="true"/>
                <w:lang w:bidi="he-IL"/>
              </w:rPr>
              <w:footnoteReference w:id="9"/>
            </w:r>
            <w:r>
              <w:rPr>
                <w:sz w:val="16"/>
                <w:szCs w:val="16"/>
                <w:rtl w:val="true"/>
                <w:lang w:bidi="he-IL"/>
              </w:rPr>
              <w:t xml:space="preserve">.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 xml:space="preserve">זה נלמד מדכתיב </w:t>
            </w:r>
            <w:r>
              <w:rPr>
                <w:sz w:val="16"/>
                <w:szCs w:val="16"/>
                <w:rtl w:val="true"/>
                <w:lang w:bidi="he-IL"/>
              </w:rPr>
              <w:t>"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אחר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"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שממעט בן</w:t>
            </w:r>
            <w:r>
              <w:rPr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8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צריך לשלם חומש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,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ו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נעשה שלו</w:t>
            </w:r>
            <w:r>
              <w:rPr>
                <w:sz w:val="16"/>
                <w:szCs w:val="16"/>
                <w:rtl w:val="true"/>
                <w:lang w:bidi="he-IL"/>
              </w:rPr>
              <w:t>.</w:t>
            </w:r>
          </w:p>
        </w:tc>
      </w:tr>
      <w:tr>
        <w:trPr/>
        <w:tc>
          <w:tcPr>
            <w:tcW w:w="196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true"/>
              </w:rPr>
            </w:r>
          </w:p>
        </w:tc>
        <w:tc>
          <w:tcPr>
            <w:tcW w:w="1446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Cs w:val="16"/>
                <w:rtl w:val="true"/>
                <w:lang w:bidi="he-IL"/>
              </w:rPr>
            </w:r>
          </w:p>
        </w:tc>
        <w:tc>
          <w:tcPr>
            <w:tcW w:w="1983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אינו יוצא מהקדש עד שפודהו אחר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.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אם פודהו בעל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,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 xml:space="preserve">יש דיון </w:t>
            </w:r>
            <w:r>
              <w:rPr>
                <w:sz w:val="16"/>
                <w:szCs w:val="16"/>
                <w:rtl w:val="true"/>
                <w:lang w:bidi="he-IL"/>
              </w:rPr>
              <w:t>(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שני ברייתות</w:t>
            </w:r>
            <w:r>
              <w:rPr>
                <w:sz w:val="16"/>
                <w:szCs w:val="16"/>
                <w:rtl w:val="true"/>
                <w:lang w:bidi="he-IL"/>
              </w:rPr>
              <w:t xml:space="preserve">) </w:t>
            </w:r>
            <w:r>
              <w:rPr>
                <w:sz w:val="16"/>
                <w:sz w:val="16"/>
                <w:szCs w:val="16"/>
                <w:rtl w:val="true"/>
                <w:lang w:bidi="he-IL"/>
              </w:rPr>
              <w:t>אם הוא לכהנים או לבעלים</w:t>
            </w:r>
            <w:r>
              <w:rPr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62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יוצא לכהנים בדמים</w:t>
            </w:r>
            <w:r>
              <w:rPr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72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  <w:lang w:bidi="he-IL"/>
              </w:rPr>
            </w:pPr>
            <w:r>
              <w:rPr>
                <w:sz w:val="16"/>
                <w:sz w:val="16"/>
                <w:szCs w:val="16"/>
                <w:rtl w:val="true"/>
                <w:lang w:bidi="he-IL"/>
              </w:rPr>
              <w:t>יוצא לכהנים בחנם</w:t>
            </w:r>
            <w:r>
              <w:rPr>
                <w:sz w:val="16"/>
                <w:szCs w:val="16"/>
                <w:rtl w:val="true"/>
                <w:lang w:bidi="he-IL"/>
              </w:rPr>
              <w:t>.</w:t>
            </w:r>
          </w:p>
        </w:tc>
        <w:tc>
          <w:tcPr>
            <w:tcW w:w="80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true"/>
              </w:rPr>
            </w:r>
          </w:p>
        </w:tc>
        <w:tc>
          <w:tcPr>
            <w:tcW w:w="1534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true"/>
              </w:rPr>
            </w:r>
          </w:p>
        </w:tc>
        <w:tc>
          <w:tcPr>
            <w:tcW w:w="8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true"/>
              </w:rPr>
            </w:r>
          </w:p>
        </w:tc>
      </w:tr>
    </w:tbl>
    <w:p>
      <w:pPr>
        <w:pStyle w:val="Normal"/>
        <w:bidi w:val="1"/>
        <w:jc w:val="left"/>
        <w:rPr>
          <w:sz w:val="20"/>
          <w:szCs w:val="20"/>
        </w:rPr>
      </w:pPr>
      <w:r>
        <w:rPr>
          <w:rtl w:val="true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1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הוא שיטתו בטבלה שניה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שכוהנים יורדים ולא משלמים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יש לומר קל וחומר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ומה נקדש כבר יוצא… </w:t>
      </w:r>
      <w:r>
        <w:rPr>
          <w:rtl w:val="true"/>
          <w:lang w:bidi="he-IL"/>
        </w:rPr>
        <w:t>"</w:t>
      </w:r>
    </w:p>
  </w:footnote>
  <w:footnote w:id="3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הוא שיטתו בטבלה שניה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שכוהנים יורדים ומשלמים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לומר אותו קל וחומר</w:t>
      </w:r>
      <w:r>
        <w:rPr>
          <w:rtl w:val="true"/>
          <w:lang w:bidi="he-IL"/>
        </w:rPr>
        <w:t>.</w:t>
      </w:r>
    </w:p>
  </w:footnote>
  <w:footnote w:id="4">
    <w:p>
      <w:pPr>
        <w:pStyle w:val="Footnote"/>
        <w:widowControl w:val="fals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צריך לבאר מהו גירוע</w:t>
      </w:r>
      <w:r>
        <w:rPr>
          <w:rtl w:val="true"/>
          <w:lang w:bidi="he-IL"/>
        </w:rPr>
        <w:t xml:space="preserve">: </w:t>
      </w:r>
      <w:r>
        <w:rPr>
          <w:rtl w:val="true"/>
          <w:lang w:bidi="he-IL"/>
        </w:rPr>
        <w:t>אם אדם מקדיש שדה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 לפדותו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פודהו בשוויו כשאר הקדש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 xml:space="preserve">גזרת הכתוב הוא שפודה בסכום קצוב של חמישים סלע לזרע חומר שעורים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שדה שבו יכול לזרוע כור של שעורים בינונים במפולת יד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זהו הסכום שבו נגאל בלי גרוע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דין של גרוע הוא שבכל שנה מיובל ששוהה לפדותו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מנכים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שלש אפשריות במה מנכים</w:t>
      </w:r>
      <w:r>
        <w:rPr>
          <w:rtl w:val="true"/>
          <w:lang w:bidi="he-IL"/>
        </w:rPr>
        <w:t>:</w:t>
      </w:r>
    </w:p>
    <w:p>
      <w:pPr>
        <w:pStyle w:val="Footnote"/>
        <w:widowControl w:val="false"/>
        <w:numPr>
          <w:ilvl w:val="0"/>
          <w:numId w:val="2"/>
        </w:numPr>
        <w:bidi w:val="1"/>
        <w:jc w:val="left"/>
        <w:rPr/>
      </w:pPr>
      <w:r>
        <w:rPr>
          <w:rtl w:val="true"/>
          <w:lang w:bidi="he-IL"/>
        </w:rPr>
        <w:t xml:space="preserve">אם יש חמשים שנה מזמן שיכול להקדיש עד יובל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אם יכול להקדיש בשנת יובל וסובר שיובל לא עולה למנין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 xml:space="preserve">אז יגרע חמשים שקלים פחות פונדיון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שפונדיון אחד הוא פרוטרוט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נחלק לחמשים שנה</w:t>
      </w:r>
      <w:r>
        <w:rPr>
          <w:rtl w:val="true"/>
          <w:lang w:bidi="he-IL"/>
        </w:rPr>
        <w:t>.</w:t>
      </w:r>
    </w:p>
    <w:p>
      <w:pPr>
        <w:pStyle w:val="Footnote"/>
        <w:widowControl w:val="false"/>
        <w:numPr>
          <w:ilvl w:val="0"/>
          <w:numId w:val="2"/>
        </w:numPr>
        <w:bidi w:val="1"/>
        <w:jc w:val="left"/>
        <w:rPr/>
      </w:pPr>
      <w:r>
        <w:rPr>
          <w:rtl w:val="true"/>
          <w:lang w:bidi="he-IL"/>
        </w:rPr>
        <w:t xml:space="preserve">אם יש ארבעים ותשע שנים שיכול להקדיש עד היובל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שאינו יכול להקדיש בשנת יובל וסובר שיובל לא עולה למנין או שיכול להקדיש בשנת יובל וסובר ששנת יובל עולה למנין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יגרע חמשים שקלים פחות פונדיון נחלקים לחמשים שנה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נגרע שקל ופונדיון לשנה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כן אומר משנה</w:t>
      </w:r>
      <w:r>
        <w:rPr>
          <w:rtl w:val="true"/>
          <w:lang w:bidi="he-IL"/>
        </w:rPr>
        <w:t>.</w:t>
      </w:r>
    </w:p>
    <w:p>
      <w:pPr>
        <w:pStyle w:val="Footnote"/>
        <w:widowControl w:val="false"/>
        <w:numPr>
          <w:ilvl w:val="0"/>
          <w:numId w:val="2"/>
        </w:numPr>
        <w:bidi w:val="1"/>
        <w:jc w:val="left"/>
        <w:rPr/>
      </w:pPr>
      <w:r>
        <w:rPr>
          <w:rtl w:val="true"/>
          <w:lang w:bidi="he-IL"/>
        </w:rPr>
        <w:t xml:space="preserve">אם יש ארבעים ושמנה שנים שיכול להקדיש עד היובל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שאינו יכול להקדיש בשנת יובל וסובר שיובל עולה למנין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אז יגרע חמשים שקלים פחות פונדיון נחלק לארבעים ושמונה שנה</w:t>
      </w:r>
      <w:r>
        <w:rPr>
          <w:rtl w:val="true"/>
          <w:lang w:bidi="he-IL"/>
        </w:rPr>
        <w:t>.</w:t>
      </w:r>
    </w:p>
    <w:p>
      <w:pPr>
        <w:pStyle w:val="Footnote"/>
        <w:widowControl w:val="false"/>
        <w:numPr>
          <w:ilvl w:val="0"/>
          <w:numId w:val="0"/>
        </w:numPr>
        <w:bidi w:val="1"/>
        <w:ind w:left="0" w:hanging="0"/>
        <w:jc w:val="left"/>
        <w:rPr/>
      </w:pPr>
      <w:r>
        <w:rPr>
          <w:rtl w:val="true"/>
          <w:lang w:bidi="he-IL"/>
        </w:rPr>
        <w:t>יש להעיר שחדשים לא נמנים אלא לטובת הקדש</w:t>
      </w:r>
      <w:r>
        <w:rPr>
          <w:rtl w:val="true"/>
          <w:lang w:bidi="he-IL"/>
        </w:rPr>
        <w:t>.</w:t>
      </w:r>
    </w:p>
    <w:p>
      <w:pPr>
        <w:pStyle w:val="Footnote"/>
        <w:widowControl w:val="false"/>
        <w:numPr>
          <w:ilvl w:val="0"/>
          <w:numId w:val="0"/>
        </w:numPr>
        <w:bidi w:val="1"/>
        <w:ind w:left="0" w:hanging="0"/>
        <w:jc w:val="left"/>
        <w:rPr/>
      </w:pP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גם יש להעיר שאף שאותו ממון שמשלם הוא כפי שנה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משלם מקצתו בכל שנה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אלא צריך לשלם כולו כאחד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 xml:space="preserve">דכתיב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את הכסף</w:t>
      </w:r>
      <w:r>
        <w:rPr>
          <w:rtl w:val="true"/>
          <w:lang w:bidi="he-IL"/>
        </w:rPr>
        <w:t>").</w:t>
      </w:r>
    </w:p>
  </w:footnote>
  <w:footnote w:id="5">
    <w:p>
      <w:pPr>
        <w:pStyle w:val="Footnote"/>
        <w:bidi w:val="1"/>
        <w:ind w:hanging="0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 xml:space="preserve">    </w:t>
      </w:r>
      <w:r>
        <w:rPr>
          <w:rtl w:val="true"/>
          <w:lang w:bidi="he-IL"/>
        </w:rPr>
        <w:t xml:space="preserve">סוברים שאיו דבר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מ… 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עד… 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בכלל</w:t>
      </w:r>
      <w:r>
        <w:rPr>
          <w:rtl w:val="true"/>
          <w:lang w:bidi="he-IL"/>
        </w:rPr>
        <w:t>.</w:t>
      </w:r>
    </w:p>
  </w:footnote>
  <w:footnote w:id="6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סובר שדבר של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מ… 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עד… 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בכלל</w:t>
      </w:r>
      <w:r>
        <w:rPr>
          <w:rtl w:val="true"/>
          <w:lang w:bidi="he-IL"/>
        </w:rPr>
        <w:t xml:space="preserve">. </w:t>
      </w:r>
    </w:p>
  </w:footnote>
  <w:footnote w:id="7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לא דורש 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מ… 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 xml:space="preserve">כיון שאין אחריו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עד… </w:t>
      </w:r>
      <w:r>
        <w:rPr>
          <w:rtl w:val="true"/>
          <w:lang w:bidi="he-IL"/>
        </w:rPr>
        <w:t>"</w:t>
      </w:r>
    </w:p>
  </w:footnote>
  <w:footnote w:id="8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לא דורש קל וחומר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שסובר שכהנים זוכים משלחן גבוה</w:t>
      </w:r>
      <w:r>
        <w:rPr>
          <w:rtl w:val="true"/>
          <w:lang w:bidi="he-IL"/>
        </w:rPr>
        <w:t>.</w:t>
      </w:r>
    </w:p>
  </w:footnote>
  <w:footnote w:id="9">
    <w:p>
      <w:pPr>
        <w:pStyle w:val="Footnote"/>
        <w:widowControl w:val="fals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איני יודע אם צריך לשלם חומש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וצריך לחזור ולעיין</w:t>
      </w:r>
      <w:r>
        <w:rPr>
          <w:rtl w:val="true"/>
          <w:lang w:bidi="he-IL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NumberingSymbols">
    <w:name w:val="Numbering Symbols"/>
    <w:qFormat/>
    <w:rPr/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LibreOffice/7.3.2.2$Windows_X86_64 LibreOffice_project/49f2b1bff42cfccbd8f788c8dc32c1c309559be0</Application>
  <AppVersion>15.0000</AppVersion>
  <Pages>1</Pages>
  <Words>435</Words>
  <Characters>1851</Characters>
  <CharactersWithSpaces>2237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2022-06-20T22:02:24Z</dcterms:created>
  <dc:creator/>
  <dc:description/>
  <dc:language>en-US</dc:language>
  <cp:lastModifiedBy/>
  <dcterms:modified xsi:type="dcterms:W3CDTF">2022-06-22T09:31:02Z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