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50E6" w:rsidRDefault="00833FFB">
      <w:pPr>
        <w:pStyle w:val="Heading1"/>
      </w:pPr>
      <w:bookmarkStart w:id="0" w:name="__RefHeading___Toc578786_2916429603"/>
      <w:bookmarkEnd w:id="0"/>
      <w:r>
        <w:rPr>
          <w:rtl/>
        </w:rPr>
        <w:t>מי מעריך</w:t>
      </w:r>
    </w:p>
    <w:p w:rsidR="009E50E6" w:rsidRDefault="00833FFB">
      <w:r>
        <w:rPr>
          <w:rFonts w:ascii="Shofar" w:hAnsi="Shofar"/>
          <w:rtl/>
        </w:rPr>
        <w:t>אם אדם נותן דמים של חפץ להקדש</w:t>
      </w:r>
      <w:r>
        <w:rPr>
          <w:rFonts w:ascii="Shofar" w:hAnsi="Shofar"/>
          <w:rtl/>
        </w:rPr>
        <w:t xml:space="preserve">, </w:t>
      </w:r>
      <w:r>
        <w:rPr>
          <w:rFonts w:ascii="Shofar" w:hAnsi="Shofar"/>
          <w:rtl/>
        </w:rPr>
        <w:t>יש שני אופנים לעשות כן</w:t>
      </w:r>
      <w:r>
        <w:rPr>
          <w:rFonts w:ascii="Shofar" w:hAnsi="Shofar"/>
          <w:rtl/>
        </w:rPr>
        <w:t xml:space="preserve">: </w:t>
      </w:r>
      <w:r>
        <w:rPr>
          <w:rFonts w:ascii="Shofar" w:hAnsi="Shofar"/>
          <w:rtl/>
        </w:rPr>
        <w:t xml:space="preserve">יש </w:t>
      </w:r>
      <w:r>
        <w:rPr>
          <w:rFonts w:ascii="Shofar" w:hAnsi="Shofar"/>
          <w:b/>
          <w:bCs/>
          <w:rtl/>
        </w:rPr>
        <w:t>ערכין</w:t>
      </w:r>
      <w:r>
        <w:rPr>
          <w:rFonts w:ascii="Shofar" w:hAnsi="Shofar"/>
          <w:rtl/>
        </w:rPr>
        <w:t xml:space="preserve"> ויש </w:t>
      </w:r>
      <w:r>
        <w:rPr>
          <w:rFonts w:ascii="Shofar" w:hAnsi="Shofar"/>
          <w:b/>
          <w:bCs/>
          <w:rtl/>
        </w:rPr>
        <w:t>דמים</w:t>
      </w:r>
      <w:r>
        <w:rPr>
          <w:rFonts w:ascii="Shofar" w:hAnsi="Shofar"/>
          <w:rtl/>
        </w:rPr>
        <w:t xml:space="preserve">. </w:t>
      </w:r>
      <w:r>
        <w:rPr>
          <w:rFonts w:ascii="Shofar" w:hAnsi="Shofar"/>
          <w:rtl/>
        </w:rPr>
        <w:t>החילוק הפשוט הוא שערכין יש לו דמים קצובים לכל אדם</w:t>
      </w:r>
      <w:r>
        <w:rPr>
          <w:rFonts w:ascii="Shofar" w:hAnsi="Shofar"/>
          <w:rtl/>
        </w:rPr>
        <w:t xml:space="preserve">, </w:t>
      </w:r>
      <w:r>
        <w:rPr>
          <w:rFonts w:ascii="Shofar" w:hAnsi="Shofar"/>
          <w:rtl/>
        </w:rPr>
        <w:t>שתלויים רק בגילו וזכרותו</w:t>
      </w:r>
      <w:r>
        <w:rPr>
          <w:rFonts w:ascii="Shofar" w:hAnsi="Shofar"/>
          <w:rtl/>
        </w:rPr>
        <w:t xml:space="preserve">. </w:t>
      </w:r>
      <w:r>
        <w:rPr>
          <w:rFonts w:ascii="Shofar" w:hAnsi="Shofar"/>
          <w:rtl/>
        </w:rPr>
        <w:t>דמים אין בו דמים קצובים</w:t>
      </w:r>
      <w:r>
        <w:rPr>
          <w:rFonts w:ascii="Shofar" w:hAnsi="Shofar"/>
          <w:rtl/>
        </w:rPr>
        <w:t xml:space="preserve">, </w:t>
      </w:r>
      <w:r>
        <w:rPr>
          <w:rFonts w:ascii="Shofar" w:hAnsi="Shofar"/>
          <w:rtl/>
        </w:rPr>
        <w:t>אלא שמים את החפץ שדמיו הוקדשו</w:t>
      </w:r>
      <w:r>
        <w:rPr>
          <w:rFonts w:ascii="Shofar" w:hAnsi="Shofar"/>
          <w:rtl/>
        </w:rPr>
        <w:t>.</w:t>
      </w:r>
      <w:r>
        <w:rPr>
          <w:rStyle w:val="FootnoteAnchor"/>
          <w:rFonts w:ascii="Shofar" w:hAnsi="Shofar"/>
          <w:rtl/>
        </w:rPr>
        <w:footnoteReference w:id="1"/>
      </w:r>
    </w:p>
    <w:p w:rsidR="009E50E6" w:rsidRDefault="00833FFB">
      <w:pPr>
        <w:pStyle w:val="Heading2"/>
        <w:rPr>
          <w:sz w:val="24"/>
        </w:rPr>
      </w:pPr>
      <w:bookmarkStart w:id="1" w:name="__RefHeading___Toc579165_2916429603"/>
      <w:bookmarkEnd w:id="1"/>
      <w:r>
        <w:rPr>
          <w:rFonts w:ascii="Shofar" w:hAnsi="Shofar"/>
          <w:b w:val="0"/>
          <w:bCs w:val="0"/>
          <w:sz w:val="24"/>
          <w:rtl/>
        </w:rPr>
        <w:t>הכל מעריכים חוץ מ</w:t>
      </w:r>
      <w:r>
        <w:rPr>
          <w:rFonts w:ascii="Shofar" w:hAnsi="Shofar"/>
          <w:sz w:val="24"/>
          <w:rtl/>
        </w:rPr>
        <w:t>ארבע</w:t>
      </w:r>
      <w:r>
        <w:rPr>
          <w:rFonts w:ascii="Shofar" w:hAnsi="Shofar"/>
          <w:b w:val="0"/>
          <w:bCs w:val="0"/>
          <w:sz w:val="24"/>
          <w:rtl/>
        </w:rPr>
        <w:t xml:space="preserve"> בני אדם</w:t>
      </w:r>
      <w:r>
        <w:rPr>
          <w:rFonts w:ascii="Shofar" w:hAnsi="Shofar"/>
          <w:b w:val="0"/>
          <w:bCs w:val="0"/>
          <w:sz w:val="24"/>
          <w:rtl/>
        </w:rPr>
        <w:t>:</w:t>
      </w:r>
    </w:p>
    <w:p w:rsidR="009E50E6" w:rsidRDefault="00833FFB">
      <w:pPr>
        <w:rPr>
          <w:b/>
          <w:bCs/>
        </w:rPr>
      </w:pPr>
      <w:r>
        <w:rPr>
          <w:rFonts w:ascii="Shofar" w:hAnsi="Shofar"/>
          <w:b/>
          <w:bCs/>
          <w:rtl/>
        </w:rPr>
        <w:t xml:space="preserve">שלש </w:t>
      </w:r>
      <w:r>
        <w:rPr>
          <w:rFonts w:ascii="Shofar" w:hAnsi="Shofar"/>
          <w:rtl/>
        </w:rPr>
        <w:t>מהם</w:t>
      </w:r>
      <w:r>
        <w:rPr>
          <w:rFonts w:ascii="Shofar" w:hAnsi="Shofar"/>
          <w:rtl/>
        </w:rPr>
        <w:t xml:space="preserve"> הם דברי הכל</w:t>
      </w:r>
      <w:r>
        <w:rPr>
          <w:rFonts w:ascii="Shofar" w:hAnsi="Shofar"/>
          <w:rtl/>
        </w:rPr>
        <w:t>:</w:t>
      </w:r>
    </w:p>
    <w:p w:rsidR="009E50E6" w:rsidRDefault="00833FFB">
      <w:pPr>
        <w:numPr>
          <w:ilvl w:val="0"/>
          <w:numId w:val="3"/>
        </w:numPr>
      </w:pPr>
      <w:r>
        <w:rPr>
          <w:rFonts w:ascii="Shofar" w:hAnsi="Shofar"/>
          <w:rtl/>
        </w:rPr>
        <w:t>חרש</w:t>
      </w:r>
      <w:r>
        <w:rPr>
          <w:rStyle w:val="FootnoteAnchor"/>
          <w:rFonts w:ascii="Shofar" w:hAnsi="Shofar"/>
          <w:rtl/>
        </w:rPr>
        <w:footnoteReference w:id="2"/>
      </w:r>
      <w:r>
        <w:rPr>
          <w:rFonts w:ascii="Shofar" w:hAnsi="Shofar"/>
          <w:rtl/>
        </w:rPr>
        <w:t xml:space="preserve">. </w:t>
      </w:r>
      <w:r>
        <w:rPr>
          <w:rFonts w:ascii="Shofar" w:hAnsi="Shofar"/>
          <w:rtl/>
        </w:rPr>
        <w:t>לא יכול להעריך כיון שאינו בר דעת</w:t>
      </w:r>
      <w:r>
        <w:rPr>
          <w:rFonts w:ascii="Shofar" w:hAnsi="Shofar"/>
          <w:rtl/>
        </w:rPr>
        <w:t xml:space="preserve">, </w:t>
      </w:r>
      <w:r>
        <w:rPr>
          <w:rFonts w:ascii="Shofar" w:hAnsi="Shofar"/>
          <w:rtl/>
        </w:rPr>
        <w:t>ואי אפשר לחייב את עצמו</w:t>
      </w:r>
      <w:r>
        <w:rPr>
          <w:rFonts w:ascii="Shofar" w:hAnsi="Shofar"/>
          <w:rtl/>
        </w:rPr>
        <w:t>.</w:t>
      </w:r>
      <w:r>
        <w:rPr>
          <w:rStyle w:val="FootnoteAnchor"/>
          <w:rFonts w:ascii="Shofar" w:hAnsi="Shofar"/>
          <w:rtl/>
        </w:rPr>
        <w:footnoteReference w:id="3"/>
      </w:r>
      <w:r>
        <w:rPr>
          <w:rFonts w:ascii="Shofar" w:hAnsi="Shofar"/>
          <w:rtl/>
        </w:rPr>
        <w:t xml:space="preserve"> </w:t>
      </w:r>
      <w:r>
        <w:rPr>
          <w:rFonts w:ascii="Shofar" w:hAnsi="Shofar"/>
          <w:b/>
          <w:bCs/>
          <w:rtl/>
        </w:rPr>
        <w:t>(</w:t>
      </w:r>
      <w:r>
        <w:rPr>
          <w:rFonts w:ascii="Shofar" w:hAnsi="Shofar"/>
          <w:b/>
          <w:bCs/>
          <w:rtl/>
        </w:rPr>
        <w:t>ב</w:t>
      </w:r>
      <w:r>
        <w:rPr>
          <w:rFonts w:ascii="Shofar" w:hAnsi="Shofar"/>
          <w:b/>
          <w:bCs/>
          <w:rtl/>
        </w:rPr>
        <w:t>.)</w:t>
      </w:r>
    </w:p>
    <w:p w:rsidR="009E50E6" w:rsidRDefault="00833FFB">
      <w:pPr>
        <w:numPr>
          <w:ilvl w:val="0"/>
          <w:numId w:val="3"/>
        </w:numPr>
      </w:pPr>
      <w:r>
        <w:rPr>
          <w:rFonts w:ascii="Shofar" w:hAnsi="Shofar"/>
          <w:rtl/>
        </w:rPr>
        <w:t>שוטה</w:t>
      </w:r>
      <w:r>
        <w:rPr>
          <w:rFonts w:ascii="Shofar" w:hAnsi="Shofar"/>
          <w:rtl/>
        </w:rPr>
        <w:t xml:space="preserve">. </w:t>
      </w:r>
      <w:r>
        <w:rPr>
          <w:rFonts w:ascii="Shofar" w:hAnsi="Shofar"/>
          <w:rtl/>
        </w:rPr>
        <w:t>לא יכול להעריך כיון שאינו בר דעת</w:t>
      </w:r>
      <w:r>
        <w:rPr>
          <w:rFonts w:ascii="Shofar" w:hAnsi="Shofar"/>
          <w:rtl/>
        </w:rPr>
        <w:t xml:space="preserve">, </w:t>
      </w:r>
      <w:r>
        <w:rPr>
          <w:rFonts w:ascii="Shofar" w:hAnsi="Shofar"/>
          <w:rtl/>
        </w:rPr>
        <w:t>ואי אפשר לחייב את עצמו</w:t>
      </w:r>
      <w:r>
        <w:rPr>
          <w:rFonts w:ascii="Shofar" w:hAnsi="Shofar"/>
          <w:rtl/>
        </w:rPr>
        <w:t>.</w:t>
      </w:r>
      <w:r>
        <w:rPr>
          <w:rFonts w:ascii="Shofar" w:hAnsi="Shofar"/>
          <w:b/>
          <w:bCs/>
          <w:rtl/>
        </w:rPr>
        <w:t>(</w:t>
      </w:r>
      <w:r>
        <w:rPr>
          <w:rFonts w:ascii="Shofar" w:hAnsi="Shofar"/>
          <w:b/>
          <w:bCs/>
          <w:rtl/>
        </w:rPr>
        <w:t>ב</w:t>
      </w:r>
      <w:r>
        <w:rPr>
          <w:rFonts w:ascii="Shofar" w:hAnsi="Shofar"/>
          <w:b/>
          <w:bCs/>
          <w:rtl/>
        </w:rPr>
        <w:t>.)</w:t>
      </w:r>
    </w:p>
    <w:p w:rsidR="009E50E6" w:rsidRDefault="00833FFB">
      <w:pPr>
        <w:numPr>
          <w:ilvl w:val="0"/>
          <w:numId w:val="3"/>
        </w:numPr>
      </w:pPr>
      <w:r>
        <w:rPr>
          <w:rFonts w:ascii="Shofar" w:hAnsi="Shofar"/>
          <w:rtl/>
        </w:rPr>
        <w:t>קטן</w:t>
      </w:r>
      <w:r>
        <w:rPr>
          <w:rFonts w:ascii="Shofar" w:hAnsi="Shofar"/>
          <w:rtl/>
        </w:rPr>
        <w:t xml:space="preserve">. </w:t>
      </w:r>
      <w:r>
        <w:rPr>
          <w:rFonts w:ascii="Shofar" w:hAnsi="Shofar"/>
          <w:rtl/>
        </w:rPr>
        <w:t>לא יכול להעריך כיון שאינו בר דעת</w:t>
      </w:r>
      <w:r>
        <w:rPr>
          <w:rFonts w:ascii="Shofar" w:hAnsi="Shofar"/>
          <w:rtl/>
        </w:rPr>
        <w:t xml:space="preserve">, </w:t>
      </w:r>
      <w:r>
        <w:rPr>
          <w:rFonts w:ascii="Shofar" w:hAnsi="Shofar"/>
          <w:rtl/>
        </w:rPr>
        <w:t>ואי אפשר לחייב את עצמו</w:t>
      </w:r>
      <w:r>
        <w:rPr>
          <w:rFonts w:ascii="Shofar" w:hAnsi="Shofar"/>
          <w:rtl/>
        </w:rPr>
        <w:t xml:space="preserve">. </w:t>
      </w:r>
      <w:r>
        <w:rPr>
          <w:rFonts w:ascii="Shofar" w:hAnsi="Shofar"/>
          <w:rtl/>
        </w:rPr>
        <w:t>יש לו דין קטן בשני אופנים</w:t>
      </w:r>
      <w:r>
        <w:rPr>
          <w:rFonts w:ascii="Shofar" w:hAnsi="Shofar"/>
          <w:rtl/>
        </w:rPr>
        <w:t>.</w:t>
      </w:r>
    </w:p>
    <w:p w:rsidR="009E50E6" w:rsidRDefault="00833FFB">
      <w:pPr>
        <w:ind w:left="720"/>
      </w:pPr>
      <w:r>
        <w:rPr>
          <w:rFonts w:ascii="Shofar" w:hAnsi="Shofar"/>
          <w:rtl/>
        </w:rPr>
        <w:t>ראשון</w:t>
      </w:r>
      <w:r>
        <w:rPr>
          <w:rFonts w:ascii="Shofar" w:hAnsi="Shofar"/>
          <w:rtl/>
        </w:rPr>
        <w:t xml:space="preserve">, </w:t>
      </w:r>
      <w:r>
        <w:rPr>
          <w:rFonts w:ascii="Shofar" w:hAnsi="Shofar"/>
          <w:rtl/>
        </w:rPr>
        <w:t xml:space="preserve">צריכים </w:t>
      </w:r>
      <w:r>
        <w:rPr>
          <w:rFonts w:ascii="Shofar" w:hAnsi="Shofar"/>
          <w:rtl/>
        </w:rPr>
        <w:t>לבאר שיש שלש מיני בני אדם לענין גדלות</w:t>
      </w:r>
      <w:r>
        <w:rPr>
          <w:rStyle w:val="FootnoteAnchor"/>
          <w:rFonts w:ascii="Shofar" w:hAnsi="Shofar"/>
          <w:rtl/>
        </w:rPr>
        <w:footnoteReference w:id="4"/>
      </w:r>
      <w:r>
        <w:rPr>
          <w:rFonts w:ascii="Shofar" w:hAnsi="Shofar"/>
          <w:rtl/>
        </w:rPr>
        <w:t>:</w:t>
      </w:r>
    </w:p>
    <w:p w:rsidR="009E50E6" w:rsidRDefault="00833FFB">
      <w:pPr>
        <w:numPr>
          <w:ilvl w:val="1"/>
          <w:numId w:val="3"/>
        </w:numPr>
      </w:pPr>
      <w:r>
        <w:rPr>
          <w:rFonts w:ascii="Shofar" w:hAnsi="Shofar"/>
          <w:rtl/>
        </w:rPr>
        <w:t>יש גדול</w:t>
      </w:r>
      <w:r>
        <w:rPr>
          <w:rFonts w:ascii="Shofar" w:hAnsi="Shofar"/>
          <w:rtl/>
        </w:rPr>
        <w:t xml:space="preserve">. </w:t>
      </w:r>
      <w:r>
        <w:rPr>
          <w:rFonts w:ascii="Shofar" w:hAnsi="Shofar"/>
          <w:rtl/>
        </w:rPr>
        <w:t>בזכר</w:t>
      </w:r>
      <w:r>
        <w:rPr>
          <w:rFonts w:ascii="Shofar" w:hAnsi="Shofar"/>
          <w:rtl/>
        </w:rPr>
        <w:t xml:space="preserve">, </w:t>
      </w:r>
      <w:r>
        <w:rPr>
          <w:rFonts w:ascii="Shofar" w:hAnsi="Shofar"/>
          <w:rtl/>
        </w:rPr>
        <w:t>זה יותר מבן שלש עשרה</w:t>
      </w:r>
      <w:r>
        <w:rPr>
          <w:rFonts w:ascii="Shofar" w:hAnsi="Shofar"/>
          <w:rtl/>
        </w:rPr>
        <w:t>.</w:t>
      </w:r>
      <w:r>
        <w:rPr>
          <w:rStyle w:val="FootnoteAnchor"/>
          <w:rFonts w:ascii="Shofar" w:hAnsi="Shofar"/>
          <w:rtl/>
        </w:rPr>
        <w:footnoteReference w:id="5"/>
      </w:r>
      <w:r>
        <w:rPr>
          <w:rFonts w:ascii="Shofar" w:hAnsi="Shofar"/>
          <w:rtl/>
        </w:rPr>
        <w:t xml:space="preserve"> </w:t>
      </w:r>
    </w:p>
    <w:p w:rsidR="009E50E6" w:rsidRDefault="00833FFB">
      <w:pPr>
        <w:ind w:left="1080"/>
      </w:pPr>
      <w:r>
        <w:rPr>
          <w:rFonts w:ascii="Shofar" w:hAnsi="Shofar"/>
          <w:rtl/>
        </w:rPr>
        <w:t>דינו</w:t>
      </w:r>
      <w:r>
        <w:rPr>
          <w:rFonts w:ascii="Shofar" w:hAnsi="Shofar"/>
          <w:rtl/>
        </w:rPr>
        <w:t xml:space="preserve">: </w:t>
      </w:r>
      <w:r>
        <w:rPr>
          <w:rFonts w:ascii="Shofar" w:hAnsi="Shofar"/>
          <w:rtl/>
        </w:rPr>
        <w:t>כל נדרים שאומר חלים</w:t>
      </w:r>
      <w:r>
        <w:rPr>
          <w:rFonts w:ascii="Shofar" w:hAnsi="Shofar"/>
          <w:rtl/>
        </w:rPr>
        <w:t xml:space="preserve">. </w:t>
      </w:r>
      <w:r>
        <w:rPr>
          <w:rFonts w:ascii="Shofar" w:hAnsi="Shofar"/>
          <w:rtl/>
        </w:rPr>
        <w:t>חלים אף אם לא מכיר למי נודר</w:t>
      </w:r>
      <w:r>
        <w:rPr>
          <w:rFonts w:ascii="Shofar" w:hAnsi="Shofar"/>
          <w:rtl/>
        </w:rPr>
        <w:t xml:space="preserve">. </w:t>
      </w:r>
      <w:r>
        <w:rPr>
          <w:rFonts w:ascii="Shofar" w:hAnsi="Shofar"/>
          <w:rtl/>
        </w:rPr>
        <w:t>דיניו דאורייתא</w:t>
      </w:r>
      <w:r>
        <w:rPr>
          <w:rFonts w:ascii="Shofar" w:hAnsi="Shofar"/>
          <w:rtl/>
        </w:rPr>
        <w:t>.</w:t>
      </w:r>
    </w:p>
    <w:p w:rsidR="009E50E6" w:rsidRDefault="00833FFB">
      <w:pPr>
        <w:numPr>
          <w:ilvl w:val="1"/>
          <w:numId w:val="3"/>
        </w:numPr>
      </w:pPr>
      <w:r>
        <w:rPr>
          <w:rFonts w:ascii="Shofar" w:hAnsi="Shofar"/>
          <w:rtl/>
        </w:rPr>
        <w:t>יש מופלא סמוך לאיש</w:t>
      </w:r>
      <w:r>
        <w:rPr>
          <w:rFonts w:ascii="Shofar" w:hAnsi="Shofar"/>
          <w:rtl/>
        </w:rPr>
        <w:t xml:space="preserve">. </w:t>
      </w:r>
      <w:r>
        <w:rPr>
          <w:rFonts w:ascii="Shofar" w:hAnsi="Shofar"/>
          <w:rtl/>
        </w:rPr>
        <w:t>זה שנה אחת קודם שנעשה גדול</w:t>
      </w:r>
      <w:r>
        <w:rPr>
          <w:rFonts w:ascii="Shofar" w:hAnsi="Shofar"/>
          <w:rtl/>
        </w:rPr>
        <w:t>.</w:t>
      </w:r>
    </w:p>
    <w:p w:rsidR="009E50E6" w:rsidRPr="00112C7B" w:rsidRDefault="00833FFB">
      <w:pPr>
        <w:ind w:left="1080"/>
      </w:pPr>
      <w:r>
        <w:rPr>
          <w:rFonts w:ascii="Shofar" w:hAnsi="Shofar"/>
          <w:rtl/>
        </w:rPr>
        <w:t>דינו</w:t>
      </w:r>
      <w:r>
        <w:rPr>
          <w:rFonts w:ascii="Shofar" w:hAnsi="Shofar"/>
          <w:rtl/>
        </w:rPr>
        <w:t xml:space="preserve">: </w:t>
      </w:r>
      <w:r>
        <w:rPr>
          <w:rFonts w:ascii="Shofar" w:hAnsi="Shofar"/>
          <w:rtl/>
        </w:rPr>
        <w:t>כל נדרים שאומר חלים</w:t>
      </w:r>
      <w:r>
        <w:rPr>
          <w:rFonts w:ascii="Shofar" w:hAnsi="Shofar"/>
          <w:rtl/>
        </w:rPr>
        <w:t xml:space="preserve">. </w:t>
      </w:r>
      <w:r>
        <w:rPr>
          <w:rFonts w:ascii="Shofar" w:hAnsi="Shofar"/>
          <w:rtl/>
        </w:rPr>
        <w:t>חלים רק אם מכיר לשם מי נודר</w:t>
      </w:r>
      <w:r>
        <w:rPr>
          <w:rFonts w:ascii="Shofar" w:hAnsi="Shofar"/>
          <w:rtl/>
        </w:rPr>
        <w:t xml:space="preserve">. </w:t>
      </w:r>
      <w:r>
        <w:rPr>
          <w:rFonts w:ascii="Shofar" w:hAnsi="Shofar"/>
          <w:rtl/>
        </w:rPr>
        <w:t>ח</w:t>
      </w:r>
      <w:r>
        <w:rPr>
          <w:rFonts w:ascii="Shofar" w:hAnsi="Shofar"/>
          <w:rtl/>
        </w:rPr>
        <w:t>ולקים אם דינוי דאו’ או דרבנן</w:t>
      </w:r>
      <w:r>
        <w:rPr>
          <w:rFonts w:ascii="Shofar" w:hAnsi="Shofar"/>
          <w:rtl/>
        </w:rPr>
        <w:t>.</w:t>
      </w:r>
      <w:r w:rsidR="00773E68">
        <w:rPr>
          <w:rFonts w:ascii="Shofar" w:hAnsi="Shofar" w:hint="cs"/>
          <w:rtl/>
        </w:rPr>
        <w:t xml:space="preserve"> אף אם דינו דרבנן, חול' אם מופלא גוי דרבנן או דאו'.</w:t>
      </w:r>
      <w:r w:rsidR="00112C7B">
        <w:rPr>
          <w:rFonts w:ascii="Shofar" w:hAnsi="Shofar" w:hint="cs"/>
          <w:rtl/>
        </w:rPr>
        <w:t xml:space="preserve"> (כמובן, זה רק אפשר אם גוי יכול להעריך.) דורשים את זה מ"איש." </w:t>
      </w:r>
      <w:r w:rsidR="00112C7B">
        <w:rPr>
          <w:rFonts w:ascii="Shofar" w:hAnsi="Shofar" w:hint="cs"/>
          <w:b/>
          <w:bCs/>
          <w:rtl/>
        </w:rPr>
        <w:t>(נזיר סב)</w:t>
      </w:r>
      <w:bookmarkStart w:id="2" w:name="_GoBack"/>
      <w:bookmarkEnd w:id="2"/>
    </w:p>
    <w:p w:rsidR="009E50E6" w:rsidRDefault="00833FFB">
      <w:pPr>
        <w:numPr>
          <w:ilvl w:val="1"/>
          <w:numId w:val="3"/>
        </w:numPr>
      </w:pPr>
      <w:r>
        <w:rPr>
          <w:rFonts w:ascii="Shofar" w:hAnsi="Shofar"/>
          <w:rtl/>
        </w:rPr>
        <w:t>יש קטן</w:t>
      </w:r>
      <w:r>
        <w:rPr>
          <w:rFonts w:ascii="Shofar" w:hAnsi="Shofar"/>
          <w:rtl/>
        </w:rPr>
        <w:t xml:space="preserve">. </w:t>
      </w:r>
      <w:r>
        <w:rPr>
          <w:rFonts w:ascii="Shofar" w:hAnsi="Shofar"/>
          <w:rtl/>
        </w:rPr>
        <w:t>זה פחות ממופלא</w:t>
      </w:r>
      <w:r>
        <w:rPr>
          <w:rFonts w:ascii="Shofar" w:hAnsi="Shofar"/>
          <w:rtl/>
        </w:rPr>
        <w:t>.</w:t>
      </w:r>
      <w:r>
        <w:rPr>
          <w:rStyle w:val="FootnoteAnchor"/>
          <w:rFonts w:ascii="Shofar" w:hAnsi="Shofar"/>
          <w:rtl/>
        </w:rPr>
        <w:footnoteReference w:id="6"/>
      </w:r>
    </w:p>
    <w:p w:rsidR="009E50E6" w:rsidRDefault="00833FFB">
      <w:pPr>
        <w:ind w:left="1080"/>
      </w:pPr>
      <w:r>
        <w:rPr>
          <w:rFonts w:ascii="Shofar" w:hAnsi="Shofar"/>
          <w:rtl/>
        </w:rPr>
        <w:t>דינו</w:t>
      </w:r>
      <w:r>
        <w:rPr>
          <w:rFonts w:ascii="Shofar" w:hAnsi="Shofar"/>
          <w:rtl/>
        </w:rPr>
        <w:t xml:space="preserve">: </w:t>
      </w:r>
      <w:r>
        <w:rPr>
          <w:rFonts w:ascii="Shofar" w:hAnsi="Shofar"/>
          <w:rtl/>
        </w:rPr>
        <w:t>אין נדרים שאמר חלים</w:t>
      </w:r>
      <w:r>
        <w:rPr>
          <w:rFonts w:ascii="Shofar" w:hAnsi="Shofar"/>
          <w:rtl/>
        </w:rPr>
        <w:t xml:space="preserve">. </w:t>
      </w:r>
      <w:r>
        <w:rPr>
          <w:rFonts w:ascii="Shofar" w:hAnsi="Shofar"/>
          <w:b/>
          <w:bCs/>
          <w:rtl/>
        </w:rPr>
        <w:t>(</w:t>
      </w:r>
      <w:r>
        <w:rPr>
          <w:rFonts w:ascii="Shofar" w:hAnsi="Shofar"/>
          <w:b/>
          <w:bCs/>
          <w:rtl/>
        </w:rPr>
        <w:t>ב</w:t>
      </w:r>
      <w:r>
        <w:rPr>
          <w:rFonts w:ascii="Shofar" w:hAnsi="Shofar"/>
          <w:b/>
          <w:bCs/>
          <w:rtl/>
        </w:rPr>
        <w:t xml:space="preserve">.) </w:t>
      </w:r>
      <w:r>
        <w:rPr>
          <w:rFonts w:ascii="Shofar" w:hAnsi="Shofar"/>
          <w:rtl/>
        </w:rPr>
        <w:t>(</w:t>
      </w:r>
      <w:r>
        <w:rPr>
          <w:rFonts w:ascii="Shofar" w:hAnsi="Shofar"/>
          <w:rtl/>
        </w:rPr>
        <w:t>כל זה מ</w:t>
      </w:r>
      <w:r>
        <w:rPr>
          <w:rFonts w:ascii="Shofar" w:hAnsi="Shofar"/>
          <w:b/>
          <w:bCs/>
          <w:rtl/>
        </w:rPr>
        <w:t>נדה מה</w:t>
      </w:r>
      <w:r>
        <w:rPr>
          <w:rFonts w:ascii="Shofar" w:hAnsi="Shofar"/>
          <w:b/>
          <w:bCs/>
          <w:rtl/>
        </w:rPr>
        <w:t>:</w:t>
      </w:r>
      <w:r>
        <w:rPr>
          <w:rFonts w:ascii="Shofar" w:hAnsi="Shofar"/>
          <w:rtl/>
        </w:rPr>
        <w:t>)</w:t>
      </w:r>
    </w:p>
    <w:p w:rsidR="009E50E6" w:rsidRDefault="00833FFB">
      <w:pPr>
        <w:rPr>
          <w:b/>
          <w:bCs/>
        </w:rPr>
      </w:pPr>
      <w:r>
        <w:rPr>
          <w:rFonts w:ascii="Shofar" w:hAnsi="Shofar"/>
          <w:b/>
          <w:bCs/>
          <w:rtl/>
        </w:rPr>
        <w:t>אחד</w:t>
      </w:r>
      <w:r>
        <w:rPr>
          <w:rFonts w:ascii="Shofar" w:hAnsi="Shofar"/>
          <w:rtl/>
        </w:rPr>
        <w:t xml:space="preserve"> הוא מחלקת</w:t>
      </w:r>
      <w:r>
        <w:rPr>
          <w:rFonts w:ascii="Shofar" w:hAnsi="Shofar"/>
          <w:rtl/>
        </w:rPr>
        <w:t>:</w:t>
      </w:r>
    </w:p>
    <w:p w:rsidR="009E50E6" w:rsidRDefault="00833FFB">
      <w:pPr>
        <w:numPr>
          <w:ilvl w:val="0"/>
          <w:numId w:val="30"/>
        </w:numPr>
      </w:pPr>
      <w:r>
        <w:rPr>
          <w:rFonts w:ascii="Shofar" w:hAnsi="Shofar"/>
          <w:rtl/>
        </w:rPr>
        <w:t>גוי לרבי מאיר</w:t>
      </w:r>
      <w:r>
        <w:rPr>
          <w:rFonts w:ascii="Shofar" w:hAnsi="Shofar"/>
          <w:rtl/>
        </w:rPr>
        <w:t xml:space="preserve">. </w:t>
      </w:r>
      <w:r>
        <w:rPr>
          <w:rFonts w:ascii="Shofar" w:hAnsi="Shofar"/>
          <w:rtl/>
        </w:rPr>
        <w:t>חולקים רבי יהודה ורבי מאיר אם יכולים להעריך או לא יכול</w:t>
      </w:r>
      <w:r>
        <w:rPr>
          <w:rFonts w:ascii="Shofar" w:hAnsi="Shofar"/>
          <w:rtl/>
        </w:rPr>
        <w:t>. (</w:t>
      </w:r>
      <w:r>
        <w:rPr>
          <w:rFonts w:ascii="Shofar" w:hAnsi="Shofar"/>
          <w:rtl/>
        </w:rPr>
        <w:t>עיין לקמן</w:t>
      </w:r>
      <w:r>
        <w:rPr>
          <w:rFonts w:ascii="Shofar" w:hAnsi="Shofar"/>
          <w:rtl/>
        </w:rPr>
        <w:t xml:space="preserve">). </w:t>
      </w:r>
      <w:r>
        <w:rPr>
          <w:rFonts w:ascii="Shofar" w:hAnsi="Shofar"/>
          <w:b/>
          <w:bCs/>
          <w:rtl/>
        </w:rPr>
        <w:t>(</w:t>
      </w:r>
      <w:r>
        <w:rPr>
          <w:rFonts w:ascii="Shofar" w:hAnsi="Shofar"/>
          <w:b/>
          <w:bCs/>
          <w:rtl/>
        </w:rPr>
        <w:t>ה</w:t>
      </w:r>
      <w:r>
        <w:rPr>
          <w:rFonts w:ascii="Shofar" w:hAnsi="Shofar"/>
          <w:b/>
          <w:bCs/>
          <w:rtl/>
        </w:rPr>
        <w:t>:)</w:t>
      </w:r>
    </w:p>
    <w:p w:rsidR="009E50E6" w:rsidRDefault="00833FFB">
      <w:pPr>
        <w:pStyle w:val="Heading2"/>
      </w:pPr>
      <w:bookmarkStart w:id="3" w:name="__RefHeading___Toc579167_2916429603"/>
      <w:bookmarkEnd w:id="3"/>
      <w:r>
        <w:rPr>
          <w:rFonts w:ascii="Shofar" w:hAnsi="Shofar"/>
          <w:b w:val="0"/>
          <w:bCs w:val="0"/>
          <w:rtl/>
        </w:rPr>
        <w:t xml:space="preserve">יש עוד </w:t>
      </w:r>
      <w:r>
        <w:rPr>
          <w:rFonts w:ascii="Shofar" w:hAnsi="Shofar"/>
          <w:rtl/>
        </w:rPr>
        <w:t>חמש</w:t>
      </w:r>
      <w:r>
        <w:rPr>
          <w:rFonts w:ascii="Shofar" w:hAnsi="Shofar"/>
          <w:b w:val="0"/>
          <w:bCs w:val="0"/>
          <w:rtl/>
        </w:rPr>
        <w:t xml:space="preserve"> שיכולים להעריך</w:t>
      </w:r>
      <w:r>
        <w:rPr>
          <w:rFonts w:ascii="Shofar" w:hAnsi="Shofar"/>
          <w:b w:val="0"/>
          <w:bCs w:val="0"/>
          <w:rtl/>
        </w:rPr>
        <w:t xml:space="preserve">, </w:t>
      </w:r>
      <w:r>
        <w:rPr>
          <w:rFonts w:ascii="Shofar" w:hAnsi="Shofar"/>
          <w:b w:val="0"/>
          <w:bCs w:val="0"/>
          <w:rtl/>
        </w:rPr>
        <w:t xml:space="preserve">אבל לא פשוט לגמ’ </w:t>
      </w:r>
      <w:r>
        <w:rPr>
          <w:rFonts w:ascii="Shofar" w:hAnsi="Shofar"/>
          <w:b w:val="0"/>
          <w:bCs w:val="0"/>
          <w:rtl/>
        </w:rPr>
        <w:t>שיכולים</w:t>
      </w:r>
      <w:r>
        <w:rPr>
          <w:rFonts w:ascii="Shofar" w:hAnsi="Shofar"/>
          <w:b w:val="0"/>
          <w:bCs w:val="0"/>
          <w:rtl/>
        </w:rPr>
        <w:t>:</w:t>
      </w:r>
    </w:p>
    <w:p w:rsidR="009E50E6" w:rsidRDefault="00833FFB">
      <w:pPr>
        <w:rPr>
          <w:b/>
          <w:bCs/>
        </w:rPr>
      </w:pPr>
      <w:r>
        <w:rPr>
          <w:rFonts w:ascii="Shofar" w:hAnsi="Shofar"/>
          <w:b/>
          <w:bCs/>
          <w:rtl/>
        </w:rPr>
        <w:t>שלש</w:t>
      </w:r>
      <w:r>
        <w:rPr>
          <w:rFonts w:ascii="Shofar" w:hAnsi="Shofar"/>
          <w:rtl/>
        </w:rPr>
        <w:t xml:space="preserve"> מהם הם לדברי הכל</w:t>
      </w:r>
      <w:r>
        <w:rPr>
          <w:rStyle w:val="FootnoteAnchor"/>
          <w:rFonts w:ascii="Shofar" w:hAnsi="Shofar"/>
          <w:rtl/>
        </w:rPr>
        <w:footnoteReference w:id="7"/>
      </w:r>
      <w:r>
        <w:rPr>
          <w:rFonts w:ascii="Shofar" w:hAnsi="Shofar"/>
          <w:rtl/>
        </w:rPr>
        <w:t>:</w:t>
      </w:r>
    </w:p>
    <w:p w:rsidR="009E50E6" w:rsidRDefault="00833FFB">
      <w:pPr>
        <w:numPr>
          <w:ilvl w:val="0"/>
          <w:numId w:val="6"/>
        </w:numPr>
      </w:pPr>
      <w:r>
        <w:rPr>
          <w:rFonts w:ascii="Shofar" w:hAnsi="Shofar"/>
          <w:rtl/>
        </w:rPr>
        <w:t xml:space="preserve">מופלא סמוך לאיש </w:t>
      </w:r>
      <w:r>
        <w:rPr>
          <w:rFonts w:ascii="Shofar" w:hAnsi="Shofar"/>
          <w:rtl/>
        </w:rPr>
        <w:t>(</w:t>
      </w:r>
      <w:r>
        <w:rPr>
          <w:rFonts w:ascii="Shofar" w:hAnsi="Shofar"/>
          <w:rtl/>
        </w:rPr>
        <w:t>עיין לעיל שבארנו את דינו</w:t>
      </w:r>
      <w:r>
        <w:rPr>
          <w:rFonts w:ascii="Shofar" w:hAnsi="Shofar"/>
          <w:rtl/>
        </w:rPr>
        <w:t>):</w:t>
      </w:r>
    </w:p>
    <w:p w:rsidR="009E50E6" w:rsidRDefault="00833FFB">
      <w:pPr>
        <w:ind w:left="720"/>
      </w:pPr>
      <w:r>
        <w:rPr>
          <w:rFonts w:ascii="Shofar" w:hAnsi="Shofar"/>
          <w:rtl/>
        </w:rPr>
        <w:t>ההו</w:t>
      </w:r>
      <w:r>
        <w:rPr>
          <w:rFonts w:ascii="Shofar" w:hAnsi="Shofar"/>
          <w:rtl/>
        </w:rPr>
        <w:t>"</w:t>
      </w:r>
      <w:r>
        <w:rPr>
          <w:rFonts w:ascii="Shofar" w:hAnsi="Shofar"/>
          <w:rtl/>
        </w:rPr>
        <w:t>א</w:t>
      </w:r>
      <w:r>
        <w:rPr>
          <w:rFonts w:ascii="Shofar" w:hAnsi="Shofar"/>
          <w:rtl/>
        </w:rPr>
        <w:t xml:space="preserve">: </w:t>
      </w:r>
      <w:r>
        <w:rPr>
          <w:rFonts w:ascii="Shofar" w:hAnsi="Shofar"/>
          <w:rtl/>
        </w:rPr>
        <w:t>קטן הוא</w:t>
      </w:r>
      <w:r>
        <w:rPr>
          <w:rFonts w:ascii="Shofar" w:hAnsi="Shofar"/>
          <w:rtl/>
        </w:rPr>
        <w:t xml:space="preserve">, </w:t>
      </w:r>
      <w:r>
        <w:rPr>
          <w:rFonts w:ascii="Shofar" w:hAnsi="Shofar"/>
          <w:rtl/>
        </w:rPr>
        <w:t>ולא יכול להעריך</w:t>
      </w:r>
      <w:r>
        <w:rPr>
          <w:rFonts w:ascii="Shofar" w:hAnsi="Shofar"/>
          <w:rtl/>
        </w:rPr>
        <w:t xml:space="preserve">. </w:t>
      </w:r>
      <w:r>
        <w:rPr>
          <w:rFonts w:ascii="Shofar" w:hAnsi="Shofar"/>
          <w:b/>
          <w:bCs/>
          <w:rtl/>
        </w:rPr>
        <w:t>(</w:t>
      </w:r>
      <w:r>
        <w:rPr>
          <w:rFonts w:ascii="Shofar" w:hAnsi="Shofar"/>
          <w:b/>
          <w:bCs/>
          <w:rtl/>
        </w:rPr>
        <w:t>ב</w:t>
      </w:r>
      <w:r>
        <w:rPr>
          <w:rFonts w:ascii="Shofar" w:hAnsi="Shofar"/>
          <w:b/>
          <w:bCs/>
          <w:rtl/>
        </w:rPr>
        <w:t>.)</w:t>
      </w:r>
    </w:p>
    <w:p w:rsidR="009E50E6" w:rsidRDefault="00833FFB">
      <w:pPr>
        <w:ind w:left="720"/>
      </w:pPr>
      <w:r>
        <w:rPr>
          <w:rFonts w:ascii="Shofar" w:hAnsi="Shofar"/>
          <w:rtl/>
        </w:rPr>
        <w:t>המסקנא</w:t>
      </w:r>
      <w:r>
        <w:rPr>
          <w:rFonts w:ascii="Shofar" w:hAnsi="Shofar"/>
          <w:rtl/>
        </w:rPr>
        <w:t xml:space="preserve">: </w:t>
      </w:r>
      <w:r>
        <w:rPr>
          <w:rFonts w:ascii="Shofar" w:hAnsi="Shofar"/>
          <w:rtl/>
        </w:rPr>
        <w:t>חולקים מהו המסקנא</w:t>
      </w:r>
      <w:r>
        <w:rPr>
          <w:rFonts w:ascii="Shofar" w:hAnsi="Shofar"/>
          <w:rtl/>
        </w:rPr>
        <w:t>:</w:t>
      </w:r>
    </w:p>
    <w:p w:rsidR="009E50E6" w:rsidRDefault="00833FFB">
      <w:pPr>
        <w:numPr>
          <w:ilvl w:val="1"/>
          <w:numId w:val="6"/>
        </w:numPr>
      </w:pPr>
      <w:r>
        <w:rPr>
          <w:rFonts w:ascii="Shofar" w:hAnsi="Shofar"/>
          <w:rtl/>
        </w:rPr>
        <w:t>יש אומרים שהמסקנא הוא שדורשים מ</w:t>
      </w:r>
      <w:r>
        <w:rPr>
          <w:rFonts w:ascii="Shofar" w:hAnsi="Shofar"/>
          <w:rtl/>
        </w:rPr>
        <w:t>"</w:t>
      </w:r>
      <w:r>
        <w:rPr>
          <w:rFonts w:ascii="Shofar" w:hAnsi="Shofar"/>
          <w:rtl/>
        </w:rPr>
        <w:t>איש</w:t>
      </w:r>
      <w:r>
        <w:rPr>
          <w:rFonts w:ascii="Shofar" w:hAnsi="Shofar"/>
          <w:rtl/>
        </w:rPr>
        <w:t xml:space="preserve">" </w:t>
      </w:r>
      <w:r>
        <w:rPr>
          <w:rFonts w:ascii="Shofar" w:hAnsi="Shofar"/>
          <w:rtl/>
        </w:rPr>
        <w:t>שמופלא נודר</w:t>
      </w:r>
      <w:r>
        <w:rPr>
          <w:rFonts w:ascii="Shofar" w:hAnsi="Shofar"/>
          <w:rtl/>
        </w:rPr>
        <w:t>.</w:t>
      </w:r>
      <w:r>
        <w:rPr>
          <w:rStyle w:val="FootnoteAnchor"/>
          <w:rFonts w:ascii="Shofar" w:hAnsi="Shofar"/>
          <w:rtl/>
        </w:rPr>
        <w:footnoteReference w:id="8"/>
      </w:r>
    </w:p>
    <w:p w:rsidR="009E50E6" w:rsidRDefault="00833FFB">
      <w:pPr>
        <w:numPr>
          <w:ilvl w:val="1"/>
          <w:numId w:val="6"/>
        </w:numPr>
      </w:pPr>
      <w:r>
        <w:rPr>
          <w:rFonts w:ascii="Shofar" w:hAnsi="Shofar"/>
          <w:rtl/>
        </w:rPr>
        <w:t>יש אומרים שהמסנקא הוא שמדרבנן יכול להעריך</w:t>
      </w:r>
      <w:r>
        <w:rPr>
          <w:rFonts w:ascii="Shofar" w:hAnsi="Shofar"/>
          <w:rtl/>
        </w:rPr>
        <w:t>. (</w:t>
      </w:r>
      <w:r>
        <w:rPr>
          <w:rFonts w:ascii="Shofar" w:hAnsi="Shofar"/>
          <w:rtl/>
        </w:rPr>
        <w:t xml:space="preserve">נדה </w:t>
      </w:r>
      <w:r>
        <w:rPr>
          <w:rFonts w:ascii="Shofar" w:hAnsi="Shofar"/>
          <w:b/>
          <w:bCs/>
          <w:rtl/>
        </w:rPr>
        <w:t>מו</w:t>
      </w:r>
      <w:r>
        <w:rPr>
          <w:rFonts w:ascii="Shofar" w:hAnsi="Shofar"/>
          <w:b/>
          <w:bCs/>
          <w:rtl/>
        </w:rPr>
        <w:t>:</w:t>
      </w:r>
      <w:r>
        <w:rPr>
          <w:rFonts w:ascii="Shofar" w:hAnsi="Shofar"/>
          <w:rtl/>
        </w:rPr>
        <w:t>)</w:t>
      </w:r>
    </w:p>
    <w:p w:rsidR="009E50E6" w:rsidRDefault="00833FFB">
      <w:pPr>
        <w:numPr>
          <w:ilvl w:val="0"/>
          <w:numId w:val="6"/>
        </w:numPr>
      </w:pPr>
      <w:r>
        <w:rPr>
          <w:rFonts w:ascii="Shofar" w:hAnsi="Shofar"/>
          <w:rtl/>
        </w:rPr>
        <w:lastRenderedPageBreak/>
        <w:t xml:space="preserve">כהנים לבן בוכרי </w:t>
      </w:r>
      <w:r>
        <w:rPr>
          <w:rFonts w:ascii="Shofar" w:hAnsi="Shofar"/>
          <w:rtl/>
        </w:rPr>
        <w:t>(</w:t>
      </w:r>
      <w:r>
        <w:rPr>
          <w:rFonts w:ascii="Shofar" w:hAnsi="Shofar"/>
          <w:rtl/>
        </w:rPr>
        <w:t>לרבה ורבא</w:t>
      </w:r>
      <w:r>
        <w:rPr>
          <w:rFonts w:ascii="Shofar" w:hAnsi="Shofar"/>
          <w:rtl/>
        </w:rPr>
        <w:t>):</w:t>
      </w:r>
    </w:p>
    <w:p w:rsidR="009E50E6" w:rsidRDefault="00833FFB">
      <w:pPr>
        <w:ind w:left="720"/>
      </w:pPr>
      <w:r>
        <w:rPr>
          <w:rFonts w:ascii="Shofar" w:hAnsi="Shofar"/>
          <w:rtl/>
        </w:rPr>
        <w:t>יש שני הו</w:t>
      </w:r>
      <w:r>
        <w:rPr>
          <w:rFonts w:ascii="Shofar" w:hAnsi="Shofar"/>
          <w:rtl/>
        </w:rPr>
        <w:t>"</w:t>
      </w:r>
      <w:r>
        <w:rPr>
          <w:rFonts w:ascii="Shofar" w:hAnsi="Shofar"/>
          <w:rtl/>
        </w:rPr>
        <w:t>א</w:t>
      </w:r>
      <w:r>
        <w:rPr>
          <w:rFonts w:ascii="Shofar" w:hAnsi="Shofar"/>
          <w:rtl/>
        </w:rPr>
        <w:t>:</w:t>
      </w:r>
    </w:p>
    <w:p w:rsidR="009E50E6" w:rsidRDefault="00833FFB">
      <w:pPr>
        <w:numPr>
          <w:ilvl w:val="1"/>
          <w:numId w:val="6"/>
        </w:numPr>
      </w:pPr>
      <w:r>
        <w:rPr>
          <w:rFonts w:ascii="Shofar" w:hAnsi="Shofar"/>
          <w:rtl/>
        </w:rPr>
        <w:t>הו</w:t>
      </w:r>
      <w:r>
        <w:rPr>
          <w:rFonts w:ascii="Shofar" w:hAnsi="Shofar"/>
          <w:rtl/>
        </w:rPr>
        <w:t>"</w:t>
      </w:r>
      <w:r>
        <w:rPr>
          <w:rFonts w:ascii="Shofar" w:hAnsi="Shofar"/>
          <w:rtl/>
        </w:rPr>
        <w:t>א</w:t>
      </w:r>
      <w:r>
        <w:rPr>
          <w:rFonts w:ascii="Shofar" w:hAnsi="Shofar"/>
          <w:rtl/>
        </w:rPr>
        <w:t xml:space="preserve">: </w:t>
      </w:r>
      <w:r>
        <w:rPr>
          <w:rFonts w:ascii="Shofar" w:hAnsi="Shofar"/>
          <w:rtl/>
        </w:rPr>
        <w:t>בן בוכרי דורש מ</w:t>
      </w:r>
      <w:r>
        <w:rPr>
          <w:rFonts w:ascii="Shofar" w:hAnsi="Shofar"/>
          <w:rtl/>
        </w:rPr>
        <w:t>"</w:t>
      </w:r>
      <w:r>
        <w:rPr>
          <w:rFonts w:ascii="Shofar" w:hAnsi="Shofar"/>
          <w:rtl/>
        </w:rPr>
        <w:t>כל העובר על הפקודים</w:t>
      </w:r>
      <w:r>
        <w:rPr>
          <w:rFonts w:ascii="Shofar" w:hAnsi="Shofar"/>
          <w:rtl/>
        </w:rPr>
        <w:t xml:space="preserve">" </w:t>
      </w:r>
      <w:r>
        <w:rPr>
          <w:rFonts w:ascii="Shofar" w:hAnsi="Shofar"/>
          <w:rtl/>
        </w:rPr>
        <w:t>לפטור כוהנים מלתת מחצית השקל</w:t>
      </w:r>
      <w:r>
        <w:rPr>
          <w:rFonts w:ascii="Shofar" w:hAnsi="Shofar"/>
          <w:rtl/>
        </w:rPr>
        <w:t xml:space="preserve">. </w:t>
      </w:r>
      <w:r>
        <w:rPr>
          <w:rFonts w:ascii="Shofar" w:hAnsi="Shofar"/>
          <w:rtl/>
        </w:rPr>
        <w:t>כתיב</w:t>
      </w:r>
      <w:r>
        <w:rPr>
          <w:rFonts w:ascii="Shofar" w:hAnsi="Shofar"/>
          <w:rtl/>
        </w:rPr>
        <w:t>, “</w:t>
      </w:r>
      <w:r>
        <w:rPr>
          <w:rFonts w:ascii="Shofar" w:hAnsi="Shofar"/>
          <w:rtl/>
        </w:rPr>
        <w:t>וכל ערכך… בשקל הקדש</w:t>
      </w:r>
      <w:r>
        <w:rPr>
          <w:rFonts w:ascii="Shofar" w:hAnsi="Shofar"/>
          <w:rtl/>
        </w:rPr>
        <w:t xml:space="preserve">.” </w:t>
      </w:r>
      <w:r>
        <w:rPr>
          <w:rFonts w:ascii="Shofar" w:hAnsi="Shofar"/>
          <w:rtl/>
        </w:rPr>
        <w:t>הו</w:t>
      </w:r>
      <w:r>
        <w:rPr>
          <w:rFonts w:ascii="Shofar" w:hAnsi="Shofar"/>
          <w:rtl/>
        </w:rPr>
        <w:t>"</w:t>
      </w:r>
      <w:r>
        <w:rPr>
          <w:rFonts w:ascii="Shofar" w:hAnsi="Shofar"/>
          <w:rtl/>
        </w:rPr>
        <w:t>א שמי שפטור משקל לא מעריך</w:t>
      </w:r>
      <w:r>
        <w:rPr>
          <w:rFonts w:ascii="Shofar" w:hAnsi="Shofar"/>
          <w:rtl/>
        </w:rPr>
        <w:t>.</w:t>
      </w:r>
    </w:p>
    <w:p w:rsidR="009E50E6" w:rsidRDefault="00833FFB">
      <w:pPr>
        <w:ind w:left="1080"/>
      </w:pPr>
      <w:r>
        <w:rPr>
          <w:rFonts w:ascii="Shofar" w:hAnsi="Shofar"/>
          <w:rtl/>
        </w:rPr>
        <w:t>המסקנא</w:t>
      </w:r>
      <w:r>
        <w:rPr>
          <w:rFonts w:ascii="Shofar" w:hAnsi="Shofar"/>
          <w:rtl/>
        </w:rPr>
        <w:t>: “</w:t>
      </w:r>
      <w:r>
        <w:rPr>
          <w:rFonts w:ascii="Shofar" w:hAnsi="Shofar"/>
          <w:rtl/>
        </w:rPr>
        <w:t>כל ערכך</w:t>
      </w:r>
      <w:r>
        <w:rPr>
          <w:rFonts w:ascii="Shofar" w:hAnsi="Shofar"/>
          <w:rtl/>
        </w:rPr>
        <w:t xml:space="preserve">" </w:t>
      </w:r>
      <w:r>
        <w:rPr>
          <w:rFonts w:ascii="Shofar" w:hAnsi="Shofar"/>
          <w:rtl/>
        </w:rPr>
        <w:t xml:space="preserve">מלמד דין אחר </w:t>
      </w:r>
      <w:r>
        <w:rPr>
          <w:rFonts w:ascii="Shofar" w:hAnsi="Shofar"/>
          <w:rtl/>
        </w:rPr>
        <w:t>(</w:t>
      </w:r>
      <w:r>
        <w:rPr>
          <w:rFonts w:ascii="Shofar" w:hAnsi="Shofar"/>
          <w:rtl/>
        </w:rPr>
        <w:t>השג יד לא יפחות משקל</w:t>
      </w:r>
      <w:r>
        <w:rPr>
          <w:rFonts w:ascii="Shofar" w:hAnsi="Shofar"/>
          <w:rtl/>
        </w:rPr>
        <w:t>).</w:t>
      </w:r>
      <w:r>
        <w:rPr>
          <w:rStyle w:val="FootnoteAnchor"/>
          <w:rFonts w:ascii="Shofar" w:hAnsi="Shofar"/>
          <w:rtl/>
        </w:rPr>
        <w:footnoteReference w:id="9"/>
      </w:r>
      <w:r>
        <w:rPr>
          <w:rFonts w:ascii="Shofar" w:hAnsi="Shofar"/>
          <w:rtl/>
        </w:rPr>
        <w:t xml:space="preserve"> (</w:t>
      </w:r>
      <w:r>
        <w:rPr>
          <w:rFonts w:ascii="Shofar" w:hAnsi="Shofar"/>
          <w:rtl/>
        </w:rPr>
        <w:t>מפני זה אומר אביי שפשוט ו</w:t>
      </w:r>
      <w:r>
        <w:rPr>
          <w:rFonts w:ascii="Shofar" w:hAnsi="Shofar"/>
          <w:rtl/>
        </w:rPr>
        <w:t>אין הו</w:t>
      </w:r>
      <w:r>
        <w:rPr>
          <w:rFonts w:ascii="Shofar" w:hAnsi="Shofar"/>
          <w:rtl/>
        </w:rPr>
        <w:t>"</w:t>
      </w:r>
      <w:r>
        <w:rPr>
          <w:rFonts w:ascii="Shofar" w:hAnsi="Shofar"/>
          <w:rtl/>
        </w:rPr>
        <w:t>א כזה</w:t>
      </w:r>
      <w:r>
        <w:rPr>
          <w:rFonts w:ascii="Shofar" w:hAnsi="Shofar"/>
          <w:rtl/>
        </w:rPr>
        <w:t>.)</w:t>
      </w:r>
    </w:p>
    <w:p w:rsidR="009E50E6" w:rsidRDefault="00833FFB">
      <w:pPr>
        <w:numPr>
          <w:ilvl w:val="1"/>
          <w:numId w:val="6"/>
        </w:numPr>
      </w:pPr>
      <w:r>
        <w:rPr>
          <w:rFonts w:ascii="Shofar" w:hAnsi="Shofar"/>
          <w:rtl/>
        </w:rPr>
        <w:t>הו</w:t>
      </w:r>
      <w:r>
        <w:rPr>
          <w:rFonts w:ascii="Shofar" w:hAnsi="Shofar"/>
          <w:rtl/>
        </w:rPr>
        <w:t>"</w:t>
      </w:r>
      <w:r>
        <w:rPr>
          <w:rFonts w:ascii="Shofar" w:hAnsi="Shofar"/>
          <w:rtl/>
        </w:rPr>
        <w:t>א</w:t>
      </w:r>
      <w:r>
        <w:rPr>
          <w:rFonts w:ascii="Shofar" w:hAnsi="Shofar"/>
          <w:rtl/>
        </w:rPr>
        <w:t xml:space="preserve">: </w:t>
      </w:r>
      <w:r>
        <w:rPr>
          <w:rFonts w:ascii="Shofar" w:hAnsi="Shofar"/>
          <w:rtl/>
        </w:rPr>
        <w:t>כתיב</w:t>
      </w:r>
      <w:r>
        <w:rPr>
          <w:rFonts w:ascii="Shofar" w:hAnsi="Shofar"/>
          <w:rtl/>
        </w:rPr>
        <w:t>, “</w:t>
      </w:r>
      <w:r>
        <w:rPr>
          <w:rFonts w:ascii="Shofar" w:hAnsi="Shofar"/>
          <w:rtl/>
        </w:rPr>
        <w:t>והעמידו לפני כהן</w:t>
      </w:r>
      <w:r>
        <w:rPr>
          <w:rFonts w:ascii="Shofar" w:hAnsi="Shofar"/>
          <w:rtl/>
        </w:rPr>
        <w:t xml:space="preserve">.” </w:t>
      </w:r>
      <w:r>
        <w:rPr>
          <w:rFonts w:ascii="Shofar" w:hAnsi="Shofar"/>
          <w:rtl/>
        </w:rPr>
        <w:t>הו</w:t>
      </w:r>
      <w:r>
        <w:rPr>
          <w:rFonts w:ascii="Shofar" w:hAnsi="Shofar"/>
          <w:rtl/>
        </w:rPr>
        <w:t>"</w:t>
      </w:r>
      <w:r>
        <w:rPr>
          <w:rFonts w:ascii="Shofar" w:hAnsi="Shofar"/>
          <w:rtl/>
        </w:rPr>
        <w:t>א שרק מי שעמד לפניו הוא כהן</w:t>
      </w:r>
      <w:r>
        <w:rPr>
          <w:rFonts w:ascii="Shofar" w:hAnsi="Shofar"/>
          <w:rtl/>
        </w:rPr>
        <w:t xml:space="preserve">, </w:t>
      </w:r>
      <w:r>
        <w:rPr>
          <w:rFonts w:ascii="Shofar" w:hAnsi="Shofar"/>
          <w:rtl/>
        </w:rPr>
        <w:t>ולא אחר כוהן</w:t>
      </w:r>
      <w:r>
        <w:rPr>
          <w:rFonts w:ascii="Shofar" w:hAnsi="Shofar"/>
          <w:rtl/>
        </w:rPr>
        <w:t xml:space="preserve">. </w:t>
      </w:r>
      <w:r>
        <w:rPr>
          <w:rFonts w:ascii="Shofar" w:hAnsi="Shofar"/>
          <w:rtl/>
        </w:rPr>
        <w:t>אז</w:t>
      </w:r>
      <w:r>
        <w:rPr>
          <w:rFonts w:ascii="Shofar" w:hAnsi="Shofar"/>
          <w:rtl/>
        </w:rPr>
        <w:t xml:space="preserve">, </w:t>
      </w:r>
      <w:r>
        <w:rPr>
          <w:rFonts w:ascii="Shofar" w:hAnsi="Shofar"/>
          <w:rtl/>
        </w:rPr>
        <w:t>אין הכהן בכלל השג יד</w:t>
      </w:r>
      <w:r>
        <w:rPr>
          <w:rFonts w:ascii="Shofar" w:hAnsi="Shofar"/>
          <w:rtl/>
        </w:rPr>
        <w:t xml:space="preserve">, </w:t>
      </w:r>
      <w:r>
        <w:rPr>
          <w:rFonts w:ascii="Shofar" w:hAnsi="Shofar"/>
          <w:rtl/>
        </w:rPr>
        <w:t>ואז אינו בכלל ערכין</w:t>
      </w:r>
      <w:r>
        <w:rPr>
          <w:rFonts w:ascii="Shofar" w:hAnsi="Shofar"/>
          <w:rtl/>
        </w:rPr>
        <w:t>.</w:t>
      </w:r>
      <w:r>
        <w:rPr>
          <w:rStyle w:val="FootnoteAnchor"/>
          <w:rFonts w:ascii="Shofar" w:hAnsi="Shofar"/>
          <w:rtl/>
        </w:rPr>
        <w:footnoteReference w:id="10"/>
      </w:r>
    </w:p>
    <w:p w:rsidR="009E50E6" w:rsidRDefault="00833FFB">
      <w:pPr>
        <w:ind w:left="1080"/>
      </w:pPr>
      <w:r>
        <w:rPr>
          <w:rFonts w:ascii="Shofar" w:hAnsi="Shofar"/>
          <w:rtl/>
        </w:rPr>
        <w:t>מסקנא</w:t>
      </w:r>
      <w:r>
        <w:rPr>
          <w:rFonts w:ascii="Shofar" w:hAnsi="Shofar"/>
          <w:rtl/>
        </w:rPr>
        <w:t xml:space="preserve">: </w:t>
      </w:r>
      <w:r>
        <w:rPr>
          <w:rFonts w:ascii="Shofar" w:hAnsi="Shofar"/>
          <w:rtl/>
        </w:rPr>
        <w:t>אין דורשים מאותו קרא</w:t>
      </w:r>
      <w:r>
        <w:rPr>
          <w:rFonts w:ascii="Shofar" w:hAnsi="Shofar"/>
          <w:rtl/>
        </w:rPr>
        <w:t>.</w:t>
      </w:r>
      <w:r>
        <w:rPr>
          <w:rStyle w:val="FootnoteAnchor"/>
          <w:rFonts w:ascii="Shofar" w:hAnsi="Shofar"/>
          <w:rtl/>
        </w:rPr>
        <w:footnoteReference w:id="11"/>
      </w:r>
      <w:r>
        <w:rPr>
          <w:rStyle w:val="FootnoteAnchor"/>
          <w:rFonts w:ascii="Shofar" w:hAnsi="Shofar"/>
          <w:rtl/>
        </w:rPr>
        <w:footnoteReference w:id="12"/>
      </w:r>
    </w:p>
    <w:p w:rsidR="009E50E6" w:rsidRDefault="00833FFB">
      <w:pPr>
        <w:numPr>
          <w:ilvl w:val="0"/>
          <w:numId w:val="6"/>
        </w:numPr>
      </w:pPr>
      <w:r>
        <w:rPr>
          <w:rFonts w:ascii="Shofar" w:hAnsi="Shofar"/>
          <w:rtl/>
        </w:rPr>
        <w:t>אשה</w:t>
      </w:r>
      <w:r>
        <w:rPr>
          <w:rFonts w:ascii="Shofar" w:hAnsi="Shofar"/>
          <w:rtl/>
        </w:rPr>
        <w:t>:</w:t>
      </w:r>
    </w:p>
    <w:p w:rsidR="009E50E6" w:rsidRDefault="00833FFB">
      <w:pPr>
        <w:ind w:left="720"/>
      </w:pPr>
      <w:r>
        <w:rPr>
          <w:rFonts w:ascii="Shofar" w:hAnsi="Shofar"/>
          <w:rtl/>
        </w:rPr>
        <w:t>הו</w:t>
      </w:r>
      <w:r>
        <w:rPr>
          <w:rFonts w:ascii="Shofar" w:hAnsi="Shofar"/>
          <w:rtl/>
        </w:rPr>
        <w:t>"</w:t>
      </w:r>
      <w:r>
        <w:rPr>
          <w:rFonts w:ascii="Shofar" w:hAnsi="Shofar"/>
          <w:rtl/>
        </w:rPr>
        <w:t>א</w:t>
      </w:r>
      <w:r>
        <w:rPr>
          <w:rFonts w:ascii="Shofar" w:hAnsi="Shofar"/>
          <w:rtl/>
        </w:rPr>
        <w:t xml:space="preserve">: </w:t>
      </w:r>
      <w:r>
        <w:rPr>
          <w:rFonts w:ascii="Shofar" w:hAnsi="Shofar"/>
          <w:rtl/>
        </w:rPr>
        <w:t>כ’</w:t>
      </w:r>
      <w:r>
        <w:rPr>
          <w:rFonts w:ascii="Shofar" w:hAnsi="Shofar"/>
          <w:rtl/>
        </w:rPr>
        <w:t>, “</w:t>
      </w:r>
      <w:r>
        <w:rPr>
          <w:rFonts w:ascii="Shofar" w:hAnsi="Shofar"/>
          <w:rtl/>
        </w:rPr>
        <w:t>איש כי יפליא…</w:t>
      </w:r>
      <w:r>
        <w:rPr>
          <w:rFonts w:ascii="Shofar" w:hAnsi="Shofar"/>
          <w:rtl/>
        </w:rPr>
        <w:t xml:space="preserve">.” </w:t>
      </w:r>
      <w:r>
        <w:rPr>
          <w:rFonts w:ascii="Shofar" w:hAnsi="Shofar"/>
          <w:rtl/>
        </w:rPr>
        <w:t>משמע שרק איש</w:t>
      </w:r>
      <w:r>
        <w:rPr>
          <w:rFonts w:ascii="Shofar" w:hAnsi="Shofar"/>
          <w:rtl/>
        </w:rPr>
        <w:t xml:space="preserve">, </w:t>
      </w:r>
      <w:r>
        <w:rPr>
          <w:rFonts w:ascii="Shofar" w:hAnsi="Shofar"/>
          <w:rtl/>
        </w:rPr>
        <w:t>ולא אשה</w:t>
      </w:r>
      <w:r>
        <w:rPr>
          <w:rFonts w:ascii="Shofar" w:hAnsi="Shofar"/>
          <w:rtl/>
        </w:rPr>
        <w:t xml:space="preserve">, </w:t>
      </w:r>
      <w:r>
        <w:rPr>
          <w:rFonts w:ascii="Shofar" w:hAnsi="Shofar"/>
          <w:rtl/>
        </w:rPr>
        <w:t>מעריך</w:t>
      </w:r>
      <w:r>
        <w:rPr>
          <w:rFonts w:ascii="Shofar" w:hAnsi="Shofar"/>
          <w:rtl/>
        </w:rPr>
        <w:t>.</w:t>
      </w:r>
    </w:p>
    <w:p w:rsidR="009E50E6" w:rsidRDefault="00833FFB">
      <w:pPr>
        <w:ind w:left="720"/>
      </w:pPr>
      <w:r>
        <w:rPr>
          <w:rFonts w:ascii="Shofar" w:hAnsi="Shofar"/>
          <w:rtl/>
        </w:rPr>
        <w:t>המסקנא</w:t>
      </w:r>
      <w:r>
        <w:rPr>
          <w:rFonts w:ascii="Shofar" w:hAnsi="Shofar"/>
          <w:rtl/>
        </w:rPr>
        <w:t xml:space="preserve">: </w:t>
      </w:r>
      <w:r>
        <w:rPr>
          <w:rFonts w:ascii="Shofar" w:hAnsi="Shofar"/>
          <w:rtl/>
        </w:rPr>
        <w:t xml:space="preserve">כתיב </w:t>
      </w:r>
      <w:r>
        <w:rPr>
          <w:rFonts w:ascii="Shofar" w:hAnsi="Shofar"/>
          <w:rtl/>
        </w:rPr>
        <w:t>"</w:t>
      </w:r>
      <w:r>
        <w:rPr>
          <w:rFonts w:ascii="Shofar" w:hAnsi="Shofar"/>
          <w:rtl/>
        </w:rPr>
        <w:t>נפש</w:t>
      </w:r>
      <w:r>
        <w:rPr>
          <w:rFonts w:ascii="Shofar" w:hAnsi="Shofar"/>
          <w:rtl/>
        </w:rPr>
        <w:t xml:space="preserve">,” </w:t>
      </w:r>
      <w:r>
        <w:rPr>
          <w:rFonts w:ascii="Shofar" w:hAnsi="Shofar"/>
          <w:rtl/>
        </w:rPr>
        <w:t>לרבות אשה</w:t>
      </w:r>
      <w:r>
        <w:rPr>
          <w:rFonts w:ascii="Shofar" w:hAnsi="Shofar"/>
          <w:rtl/>
        </w:rPr>
        <w:t>.</w:t>
      </w:r>
      <w:r>
        <w:rPr>
          <w:rStyle w:val="FootnoteAnchor"/>
          <w:rFonts w:ascii="Shofar" w:hAnsi="Shofar"/>
          <w:rtl/>
        </w:rPr>
        <w:footnoteReference w:id="13"/>
      </w:r>
      <w:r>
        <w:rPr>
          <w:rFonts w:ascii="Shofar" w:hAnsi="Shofar"/>
          <w:rtl/>
        </w:rPr>
        <w:t xml:space="preserve"> </w:t>
      </w:r>
      <w:r>
        <w:rPr>
          <w:rFonts w:ascii="Shofar" w:hAnsi="Shofar"/>
          <w:b/>
          <w:bCs/>
          <w:rtl/>
        </w:rPr>
        <w:t>(</w:t>
      </w:r>
      <w:r>
        <w:rPr>
          <w:rFonts w:ascii="Shofar" w:hAnsi="Shofar"/>
          <w:b/>
          <w:bCs/>
          <w:rtl/>
        </w:rPr>
        <w:t>ד</w:t>
      </w:r>
      <w:r>
        <w:rPr>
          <w:rFonts w:ascii="Shofar" w:hAnsi="Shofar"/>
          <w:b/>
          <w:bCs/>
          <w:rtl/>
        </w:rPr>
        <w:t>:)</w:t>
      </w:r>
    </w:p>
    <w:p w:rsidR="009E50E6" w:rsidRDefault="00833FFB">
      <w:pPr>
        <w:rPr>
          <w:b/>
          <w:bCs/>
        </w:rPr>
      </w:pPr>
      <w:r>
        <w:rPr>
          <w:rFonts w:ascii="Shofar" w:hAnsi="Shofar"/>
          <w:b/>
          <w:bCs/>
          <w:rtl/>
        </w:rPr>
        <w:t>שנים</w:t>
      </w:r>
      <w:r>
        <w:rPr>
          <w:rFonts w:ascii="Shofar" w:hAnsi="Shofar"/>
          <w:rtl/>
        </w:rPr>
        <w:t xml:space="preserve"> הם מחלקת</w:t>
      </w:r>
      <w:r>
        <w:rPr>
          <w:rStyle w:val="FootnoteAnchor"/>
          <w:rFonts w:ascii="Shofar" w:hAnsi="Shofar"/>
          <w:rtl/>
        </w:rPr>
        <w:footnoteReference w:id="14"/>
      </w:r>
      <w:r>
        <w:rPr>
          <w:rFonts w:ascii="Shofar" w:hAnsi="Shofar"/>
          <w:rtl/>
        </w:rPr>
        <w:t>:</w:t>
      </w:r>
    </w:p>
    <w:p w:rsidR="009E50E6" w:rsidRDefault="00833FFB">
      <w:pPr>
        <w:numPr>
          <w:ilvl w:val="0"/>
          <w:numId w:val="31"/>
        </w:numPr>
      </w:pPr>
      <w:r>
        <w:rPr>
          <w:rFonts w:ascii="Shofar" w:hAnsi="Shofar"/>
          <w:rtl/>
        </w:rPr>
        <w:t xml:space="preserve">כהנים ולויים </w:t>
      </w:r>
      <w:r>
        <w:rPr>
          <w:rFonts w:ascii="Shofar" w:hAnsi="Shofar"/>
          <w:rtl/>
        </w:rPr>
        <w:t>(</w:t>
      </w:r>
      <w:r>
        <w:rPr>
          <w:rFonts w:ascii="Shofar" w:hAnsi="Shofar"/>
          <w:rtl/>
        </w:rPr>
        <w:t>לאביי</w:t>
      </w:r>
      <w:r>
        <w:rPr>
          <w:rFonts w:ascii="Shofar" w:hAnsi="Shofar"/>
          <w:rtl/>
        </w:rPr>
        <w:t>):</w:t>
      </w:r>
    </w:p>
    <w:p w:rsidR="009E50E6" w:rsidRDefault="00833FFB">
      <w:pPr>
        <w:ind w:left="720"/>
      </w:pPr>
      <w:r>
        <w:rPr>
          <w:rFonts w:ascii="Shofar" w:hAnsi="Shofar"/>
          <w:rtl/>
        </w:rPr>
        <w:t>ההו</w:t>
      </w:r>
      <w:r>
        <w:rPr>
          <w:rFonts w:ascii="Shofar" w:hAnsi="Shofar"/>
          <w:rtl/>
        </w:rPr>
        <w:t>"</w:t>
      </w:r>
      <w:r>
        <w:rPr>
          <w:rFonts w:ascii="Shofar" w:hAnsi="Shofar"/>
          <w:rtl/>
        </w:rPr>
        <w:t>א</w:t>
      </w:r>
      <w:r>
        <w:rPr>
          <w:rFonts w:ascii="Shofar" w:hAnsi="Shofar"/>
          <w:rtl/>
        </w:rPr>
        <w:t xml:space="preserve">: </w:t>
      </w:r>
      <w:r>
        <w:rPr>
          <w:rFonts w:ascii="Shofar" w:hAnsi="Shofar"/>
          <w:rtl/>
        </w:rPr>
        <w:t>כ’</w:t>
      </w:r>
      <w:r>
        <w:rPr>
          <w:rFonts w:ascii="Shofar" w:hAnsi="Shofar"/>
          <w:rtl/>
        </w:rPr>
        <w:t>, “</w:t>
      </w:r>
      <w:r>
        <w:rPr>
          <w:rFonts w:ascii="Shofar" w:hAnsi="Shofar"/>
          <w:rtl/>
        </w:rPr>
        <w:t>ופדויו מבן חדש תפדה בערכך</w:t>
      </w:r>
      <w:r>
        <w:rPr>
          <w:rFonts w:ascii="Shofar" w:hAnsi="Shofar"/>
          <w:rtl/>
        </w:rPr>
        <w:t xml:space="preserve">.” </w:t>
      </w:r>
      <w:r>
        <w:rPr>
          <w:rFonts w:ascii="Shofar" w:hAnsi="Shofar"/>
          <w:rtl/>
        </w:rPr>
        <w:t>הו</w:t>
      </w:r>
      <w:r>
        <w:rPr>
          <w:rFonts w:ascii="Shofar" w:hAnsi="Shofar"/>
          <w:rtl/>
        </w:rPr>
        <w:t>"</w:t>
      </w:r>
      <w:r>
        <w:rPr>
          <w:rFonts w:ascii="Shofar" w:hAnsi="Shofar"/>
          <w:rtl/>
        </w:rPr>
        <w:t>א שמי שאינו בכלל פדיון הבן אינו בכלל ערכין</w:t>
      </w:r>
      <w:r>
        <w:rPr>
          <w:rFonts w:ascii="Shofar" w:hAnsi="Shofar"/>
          <w:rtl/>
        </w:rPr>
        <w:t>.</w:t>
      </w:r>
      <w:r>
        <w:rPr>
          <w:rStyle w:val="FootnoteAnchor"/>
          <w:rFonts w:ascii="Shofar" w:hAnsi="Shofar"/>
          <w:rtl/>
        </w:rPr>
        <w:footnoteReference w:id="15"/>
      </w:r>
    </w:p>
    <w:p w:rsidR="009E50E6" w:rsidRDefault="00833FFB">
      <w:pPr>
        <w:ind w:left="720"/>
      </w:pPr>
      <w:r>
        <w:rPr>
          <w:rFonts w:ascii="Shofar" w:hAnsi="Shofar"/>
          <w:rtl/>
        </w:rPr>
        <w:t>המסקנא</w:t>
      </w:r>
      <w:r>
        <w:rPr>
          <w:rFonts w:ascii="Shofar" w:hAnsi="Shofar"/>
          <w:rtl/>
        </w:rPr>
        <w:t xml:space="preserve">: </w:t>
      </w:r>
      <w:r>
        <w:rPr>
          <w:rFonts w:ascii="Shofar" w:hAnsi="Shofar"/>
          <w:rtl/>
        </w:rPr>
        <w:t>אין דורשים כן מאותו קרא</w:t>
      </w:r>
      <w:r>
        <w:rPr>
          <w:rFonts w:ascii="Shofar" w:hAnsi="Shofar"/>
          <w:rtl/>
        </w:rPr>
        <w:t>.</w:t>
      </w:r>
      <w:r>
        <w:rPr>
          <w:rStyle w:val="FootnoteAnchor"/>
          <w:rFonts w:ascii="Shofar" w:hAnsi="Shofar"/>
          <w:rtl/>
        </w:rPr>
        <w:footnoteReference w:id="16"/>
      </w:r>
      <w:r>
        <w:rPr>
          <w:rFonts w:ascii="Shofar" w:hAnsi="Shofar"/>
          <w:rtl/>
        </w:rPr>
        <w:t xml:space="preserve"> (</w:t>
      </w:r>
      <w:r>
        <w:rPr>
          <w:rFonts w:ascii="Shofar" w:hAnsi="Shofar"/>
          <w:rtl/>
        </w:rPr>
        <w:t>מפני זה אומר רבא שפשוט ואין הו</w:t>
      </w:r>
      <w:r>
        <w:rPr>
          <w:rFonts w:ascii="Shofar" w:hAnsi="Shofar"/>
          <w:rtl/>
        </w:rPr>
        <w:t>"</w:t>
      </w:r>
      <w:r>
        <w:rPr>
          <w:rFonts w:ascii="Shofar" w:hAnsi="Shofar"/>
          <w:rtl/>
        </w:rPr>
        <w:t>א כזה</w:t>
      </w:r>
      <w:r>
        <w:rPr>
          <w:rFonts w:ascii="Shofar" w:hAnsi="Shofar"/>
          <w:rtl/>
        </w:rPr>
        <w:t xml:space="preserve">.) </w:t>
      </w:r>
      <w:r>
        <w:rPr>
          <w:rFonts w:ascii="Shofar" w:hAnsi="Shofar"/>
          <w:b/>
          <w:bCs/>
          <w:rtl/>
        </w:rPr>
        <w:t>(</w:t>
      </w:r>
      <w:r>
        <w:rPr>
          <w:rFonts w:ascii="Shofar" w:hAnsi="Shofar"/>
          <w:b/>
          <w:bCs/>
          <w:rtl/>
        </w:rPr>
        <w:t>ד</w:t>
      </w:r>
      <w:r>
        <w:rPr>
          <w:rFonts w:ascii="Shofar" w:hAnsi="Shofar"/>
          <w:b/>
          <w:bCs/>
          <w:rtl/>
        </w:rPr>
        <w:t>.)</w:t>
      </w:r>
    </w:p>
    <w:p w:rsidR="009E50E6" w:rsidRDefault="00833FFB">
      <w:pPr>
        <w:numPr>
          <w:ilvl w:val="0"/>
          <w:numId w:val="32"/>
        </w:numPr>
      </w:pPr>
      <w:r>
        <w:rPr>
          <w:rFonts w:ascii="Shofar" w:hAnsi="Shofar"/>
          <w:rtl/>
        </w:rPr>
        <w:t>גוי לרבי יהודה</w:t>
      </w:r>
      <w:r>
        <w:rPr>
          <w:rFonts w:ascii="Shofar" w:hAnsi="Shofar"/>
          <w:rtl/>
        </w:rPr>
        <w:t xml:space="preserve">. </w:t>
      </w:r>
      <w:r>
        <w:rPr>
          <w:rFonts w:ascii="Shofar" w:hAnsi="Shofar"/>
          <w:rtl/>
        </w:rPr>
        <w:t xml:space="preserve">חולקים רבי יהודה </w:t>
      </w:r>
      <w:r>
        <w:rPr>
          <w:rFonts w:ascii="Shofar" w:hAnsi="Shofar"/>
          <w:rtl/>
        </w:rPr>
        <w:t>ורבי מאיר אם יכולים להעריך או לא</w:t>
      </w:r>
      <w:r>
        <w:rPr>
          <w:rFonts w:ascii="Shofar" w:hAnsi="Shofar"/>
          <w:rtl/>
        </w:rPr>
        <w:t>. (</w:t>
      </w:r>
      <w:r>
        <w:rPr>
          <w:rFonts w:ascii="Shofar" w:hAnsi="Shofar"/>
          <w:rtl/>
        </w:rPr>
        <w:t>עיין לקמן</w:t>
      </w:r>
      <w:r>
        <w:rPr>
          <w:rFonts w:ascii="Shofar" w:hAnsi="Shofar"/>
          <w:rtl/>
        </w:rPr>
        <w:t>) (</w:t>
      </w:r>
      <w:r>
        <w:rPr>
          <w:rFonts w:ascii="Shofar" w:hAnsi="Shofar"/>
          <w:b/>
          <w:bCs/>
          <w:rtl/>
        </w:rPr>
        <w:t>ה</w:t>
      </w:r>
      <w:r>
        <w:rPr>
          <w:rFonts w:ascii="Shofar" w:hAnsi="Shofar"/>
          <w:b/>
          <w:bCs/>
          <w:rtl/>
        </w:rPr>
        <w:t>:)</w:t>
      </w:r>
    </w:p>
    <w:p w:rsidR="009E50E6" w:rsidRDefault="00833FFB">
      <w:bookmarkStart w:id="4" w:name="__RefHeading___Toc579169_2916429603"/>
      <w:bookmarkEnd w:id="4"/>
      <w:r>
        <w:rPr>
          <w:rtl/>
        </w:rPr>
        <w:t>שאר בני אדם פשוט שמעריכים.</w:t>
      </w:r>
    </w:p>
    <w:p w:rsidR="009E50E6" w:rsidRDefault="00833FFB">
      <w:pPr>
        <w:pStyle w:val="Heading1"/>
      </w:pPr>
      <w:r>
        <w:rPr>
          <w:rtl/>
        </w:rPr>
        <w:t>מי נערך</w:t>
      </w:r>
    </w:p>
    <w:p w:rsidR="009E50E6" w:rsidRDefault="00833FFB">
      <w:r>
        <w:rPr>
          <w:rtl/>
        </w:rPr>
        <w:t>הכל נערכים חוץ מ</w:t>
      </w:r>
      <w:r>
        <w:rPr>
          <w:b/>
          <w:bCs/>
          <w:rtl/>
        </w:rPr>
        <w:t>שש</w:t>
      </w:r>
      <w:r>
        <w:rPr>
          <w:rtl/>
        </w:rPr>
        <w:t xml:space="preserve"> בני אדם:</w:t>
      </w:r>
    </w:p>
    <w:p w:rsidR="009E50E6" w:rsidRDefault="00833FFB">
      <w:pPr>
        <w:numPr>
          <w:ilvl w:val="0"/>
          <w:numId w:val="10"/>
        </w:numPr>
      </w:pPr>
      <w:r>
        <w:rPr>
          <w:rtl/>
        </w:rPr>
        <w:t xml:space="preserve">מי שאינו ודאי זכר או ודאי נקבה. לא נערך כזכר כיון שכ’, “הזכר,” ולא נערך כנקבה דכ’, “ואם נקבה.” </w:t>
      </w:r>
      <w:r>
        <w:rPr>
          <w:b/>
          <w:bCs/>
          <w:rtl/>
        </w:rPr>
        <w:t>(</w:t>
      </w:r>
      <w:r>
        <w:rPr>
          <w:b/>
          <w:bCs/>
          <w:rtl/>
        </w:rPr>
        <w:t>ד</w:t>
      </w:r>
      <w:r>
        <w:rPr>
          <w:b/>
          <w:bCs/>
          <w:rtl/>
        </w:rPr>
        <w:t xml:space="preserve">:) </w:t>
      </w:r>
      <w:r>
        <w:rPr>
          <w:rtl/>
        </w:rPr>
        <w:t>בכלל זה יש שנים:</w:t>
      </w:r>
    </w:p>
    <w:p w:rsidR="009E50E6" w:rsidRDefault="00833FFB">
      <w:pPr>
        <w:numPr>
          <w:ilvl w:val="1"/>
          <w:numId w:val="10"/>
        </w:numPr>
      </w:pPr>
      <w:r>
        <w:rPr>
          <w:rtl/>
        </w:rPr>
        <w:t xml:space="preserve">טומטום. </w:t>
      </w:r>
      <w:r>
        <w:rPr>
          <w:b/>
          <w:bCs/>
          <w:rtl/>
        </w:rPr>
        <w:t>(</w:t>
      </w:r>
      <w:r>
        <w:rPr>
          <w:b/>
          <w:bCs/>
          <w:rtl/>
        </w:rPr>
        <w:t>ב</w:t>
      </w:r>
      <w:r>
        <w:rPr>
          <w:b/>
          <w:bCs/>
          <w:rtl/>
        </w:rPr>
        <w:t>.)</w:t>
      </w:r>
    </w:p>
    <w:p w:rsidR="009E50E6" w:rsidRDefault="00833FFB">
      <w:pPr>
        <w:numPr>
          <w:ilvl w:val="1"/>
          <w:numId w:val="10"/>
        </w:numPr>
      </w:pPr>
      <w:r>
        <w:rPr>
          <w:rtl/>
        </w:rPr>
        <w:t xml:space="preserve">אנדרוגינוס. </w:t>
      </w:r>
      <w:r>
        <w:rPr>
          <w:b/>
          <w:bCs/>
          <w:rtl/>
        </w:rPr>
        <w:t>(</w:t>
      </w:r>
      <w:r>
        <w:rPr>
          <w:b/>
          <w:bCs/>
          <w:rtl/>
        </w:rPr>
        <w:t>ב</w:t>
      </w:r>
      <w:r>
        <w:rPr>
          <w:b/>
          <w:bCs/>
          <w:rtl/>
        </w:rPr>
        <w:t>.)</w:t>
      </w:r>
    </w:p>
    <w:p w:rsidR="009E50E6" w:rsidRDefault="00833FFB">
      <w:pPr>
        <w:numPr>
          <w:ilvl w:val="0"/>
          <w:numId w:val="10"/>
        </w:numPr>
      </w:pPr>
      <w:r>
        <w:rPr>
          <w:rtl/>
        </w:rPr>
        <w:t xml:space="preserve">פחות מבן חדש </w:t>
      </w:r>
      <w:r>
        <w:rPr>
          <w:rtl/>
        </w:rPr>
        <w:t>(</w:t>
      </w:r>
      <w:r>
        <w:rPr>
          <w:rtl/>
        </w:rPr>
        <w:t>כיון שלא נזכר לו ערך בתורה</w:t>
      </w:r>
      <w:r>
        <w:rPr>
          <w:rtl/>
        </w:rPr>
        <w:t xml:space="preserve">). </w:t>
      </w:r>
      <w:r>
        <w:rPr>
          <w:b/>
          <w:bCs/>
          <w:rtl/>
        </w:rPr>
        <w:t>(</w:t>
      </w:r>
      <w:r>
        <w:rPr>
          <w:b/>
          <w:bCs/>
          <w:rtl/>
        </w:rPr>
        <w:t>ה</w:t>
      </w:r>
      <w:r>
        <w:rPr>
          <w:b/>
          <w:bCs/>
          <w:rtl/>
        </w:rPr>
        <w:t>.)</w:t>
      </w:r>
    </w:p>
    <w:p w:rsidR="009E50E6" w:rsidRDefault="00833FFB">
      <w:pPr>
        <w:ind w:left="720"/>
      </w:pPr>
      <w:r>
        <w:rPr>
          <w:rtl/>
        </w:rPr>
        <w:t>מעריך אותו</w:t>
      </w:r>
      <w:r>
        <w:rPr>
          <w:rtl/>
        </w:rPr>
        <w:t xml:space="preserve">, </w:t>
      </w:r>
      <w:r>
        <w:rPr>
          <w:rtl/>
        </w:rPr>
        <w:t>חולקים רבי מאיר ורבנן</w:t>
      </w:r>
      <w:r>
        <w:rPr>
          <w:rtl/>
        </w:rPr>
        <w:t xml:space="preserve">. </w:t>
      </w:r>
      <w:r>
        <w:rPr>
          <w:rtl/>
        </w:rPr>
        <w:t>רבי מאיר אומר שחייב לשלם דמי התינוק</w:t>
      </w:r>
      <w:r>
        <w:rPr>
          <w:rtl/>
        </w:rPr>
        <w:t xml:space="preserve">, </w:t>
      </w:r>
      <w:r>
        <w:rPr>
          <w:rtl/>
        </w:rPr>
        <w:t>וחכמים אומרים שפטור</w:t>
      </w:r>
      <w:r>
        <w:rPr>
          <w:rtl/>
        </w:rPr>
        <w:t xml:space="preserve">. </w:t>
      </w:r>
      <w:r>
        <w:rPr>
          <w:rtl/>
        </w:rPr>
        <w:t xml:space="preserve">גמרא </w:t>
      </w:r>
      <w:r>
        <w:rPr>
          <w:b/>
          <w:bCs/>
          <w:rtl/>
        </w:rPr>
        <w:t>(</w:t>
      </w:r>
      <w:r>
        <w:rPr>
          <w:b/>
          <w:bCs/>
          <w:rtl/>
        </w:rPr>
        <w:t>ה</w:t>
      </w:r>
      <w:r>
        <w:rPr>
          <w:b/>
          <w:bCs/>
          <w:rtl/>
        </w:rPr>
        <w:t xml:space="preserve">.) </w:t>
      </w:r>
      <w:r>
        <w:rPr>
          <w:rtl/>
        </w:rPr>
        <w:t xml:space="preserve">מבאר שחול’ אם אדם מוציא דבריו לבטלה או לא </w:t>
      </w:r>
      <w:r>
        <w:rPr>
          <w:rtl/>
        </w:rPr>
        <w:t>(</w:t>
      </w:r>
      <w:r>
        <w:rPr>
          <w:rtl/>
        </w:rPr>
        <w:t>ואז צ</w:t>
      </w:r>
      <w:r>
        <w:rPr>
          <w:rtl/>
        </w:rPr>
        <w:t>"</w:t>
      </w:r>
      <w:r>
        <w:rPr>
          <w:rtl/>
        </w:rPr>
        <w:t>ל שכוון לדמים</w:t>
      </w:r>
      <w:r>
        <w:rPr>
          <w:rtl/>
        </w:rPr>
        <w:t>).</w:t>
      </w:r>
    </w:p>
    <w:p w:rsidR="009E50E6" w:rsidRDefault="00833FFB">
      <w:pPr>
        <w:numPr>
          <w:ilvl w:val="0"/>
          <w:numId w:val="10"/>
        </w:numPr>
      </w:pPr>
      <w:r>
        <w:rPr>
          <w:rtl/>
        </w:rPr>
        <w:t xml:space="preserve">גוי לרבי יהודה </w:t>
      </w:r>
      <w:r>
        <w:rPr>
          <w:b/>
          <w:bCs/>
          <w:rtl/>
        </w:rPr>
        <w:t>(</w:t>
      </w:r>
      <w:r>
        <w:rPr>
          <w:b/>
          <w:bCs/>
          <w:rtl/>
        </w:rPr>
        <w:t>ה</w:t>
      </w:r>
      <w:r>
        <w:rPr>
          <w:b/>
          <w:bCs/>
          <w:rtl/>
        </w:rPr>
        <w:t>:)</w:t>
      </w:r>
    </w:p>
    <w:p w:rsidR="009E50E6" w:rsidRDefault="00833FFB">
      <w:pPr>
        <w:numPr>
          <w:ilvl w:val="0"/>
          <w:numId w:val="10"/>
        </w:numPr>
      </w:pPr>
      <w:r>
        <w:rPr>
          <w:rtl/>
        </w:rPr>
        <w:t>מת</w:t>
      </w:r>
      <w:r>
        <w:rPr>
          <w:rtl/>
        </w:rPr>
        <w:t xml:space="preserve">. </w:t>
      </w:r>
      <w:r>
        <w:rPr>
          <w:rtl/>
        </w:rPr>
        <w:t>לא נערך כיו</w:t>
      </w:r>
      <w:r>
        <w:rPr>
          <w:rtl/>
        </w:rPr>
        <w:t xml:space="preserve">ן שכדי להיות נערך צריך להיות בר </w:t>
      </w:r>
      <w:r>
        <w:rPr>
          <w:rtl/>
        </w:rPr>
        <w:t>"</w:t>
      </w:r>
      <w:r>
        <w:rPr>
          <w:rtl/>
        </w:rPr>
        <w:t>העמדה והערכה</w:t>
      </w:r>
      <w:r>
        <w:rPr>
          <w:rtl/>
        </w:rPr>
        <w:t xml:space="preserve">.” </w:t>
      </w:r>
      <w:r>
        <w:rPr>
          <w:rtl/>
        </w:rPr>
        <w:t>אינו בר העמדה</w:t>
      </w:r>
      <w:r>
        <w:rPr>
          <w:rtl/>
        </w:rPr>
        <w:t xml:space="preserve">. </w:t>
      </w:r>
      <w:r>
        <w:rPr>
          <w:b/>
          <w:bCs/>
          <w:rtl/>
        </w:rPr>
        <w:t>(</w:t>
      </w:r>
      <w:r>
        <w:rPr>
          <w:b/>
          <w:bCs/>
          <w:rtl/>
        </w:rPr>
        <w:t>ד</w:t>
      </w:r>
      <w:r>
        <w:rPr>
          <w:b/>
          <w:bCs/>
          <w:rtl/>
        </w:rPr>
        <w:t>:)</w:t>
      </w:r>
    </w:p>
    <w:p w:rsidR="009E50E6" w:rsidRDefault="00833FFB">
      <w:pPr>
        <w:numPr>
          <w:ilvl w:val="0"/>
          <w:numId w:val="10"/>
        </w:numPr>
      </w:pPr>
      <w:r>
        <w:rPr>
          <w:rtl/>
        </w:rPr>
        <w:t>גוסס</w:t>
      </w:r>
      <w:r>
        <w:rPr>
          <w:rtl/>
        </w:rPr>
        <w:t xml:space="preserve">. </w:t>
      </w:r>
      <w:r>
        <w:rPr>
          <w:rtl/>
        </w:rPr>
        <w:t xml:space="preserve">לא נערך כיון שכדי להיות נערך צריך להיות בר </w:t>
      </w:r>
      <w:r>
        <w:rPr>
          <w:rtl/>
        </w:rPr>
        <w:t>"</w:t>
      </w:r>
      <w:r>
        <w:rPr>
          <w:rtl/>
        </w:rPr>
        <w:t>העמדה והערכה</w:t>
      </w:r>
      <w:r>
        <w:rPr>
          <w:rtl/>
        </w:rPr>
        <w:t xml:space="preserve">.” </w:t>
      </w:r>
      <w:r>
        <w:rPr>
          <w:rtl/>
        </w:rPr>
        <w:t>אינו בר העמדה</w:t>
      </w:r>
      <w:r>
        <w:rPr>
          <w:rtl/>
        </w:rPr>
        <w:t xml:space="preserve">. </w:t>
      </w:r>
      <w:r>
        <w:rPr>
          <w:b/>
          <w:bCs/>
          <w:rtl/>
        </w:rPr>
        <w:t>(</w:t>
      </w:r>
      <w:r>
        <w:rPr>
          <w:b/>
          <w:bCs/>
          <w:rtl/>
        </w:rPr>
        <w:t>ו</w:t>
      </w:r>
      <w:r>
        <w:rPr>
          <w:b/>
          <w:bCs/>
          <w:rtl/>
        </w:rPr>
        <w:t>:)</w:t>
      </w:r>
    </w:p>
    <w:p w:rsidR="009E50E6" w:rsidRDefault="00833FFB">
      <w:pPr>
        <w:numPr>
          <w:ilvl w:val="0"/>
          <w:numId w:val="10"/>
        </w:numPr>
      </w:pPr>
      <w:r>
        <w:rPr>
          <w:rtl/>
        </w:rPr>
        <w:t>יוצא ליהרג</w:t>
      </w:r>
      <w:r>
        <w:rPr>
          <w:rtl/>
        </w:rPr>
        <w:t xml:space="preserve">. </w:t>
      </w:r>
      <w:r>
        <w:rPr>
          <w:rtl/>
        </w:rPr>
        <w:t>חולקים בזה ת</w:t>
      </w:r>
      <w:r>
        <w:rPr>
          <w:rtl/>
        </w:rPr>
        <w:t>"</w:t>
      </w:r>
      <w:r>
        <w:rPr>
          <w:rtl/>
        </w:rPr>
        <w:t>ק ורחב</w:t>
      </w:r>
      <w:r>
        <w:rPr>
          <w:rtl/>
        </w:rPr>
        <w:t>"</w:t>
      </w:r>
      <w:r>
        <w:rPr>
          <w:rtl/>
        </w:rPr>
        <w:t>ע</w:t>
      </w:r>
      <w:r>
        <w:rPr>
          <w:rtl/>
        </w:rPr>
        <w:t xml:space="preserve">. </w:t>
      </w:r>
      <w:r>
        <w:rPr>
          <w:rtl/>
        </w:rPr>
        <w:t>ת</w:t>
      </w:r>
      <w:r>
        <w:rPr>
          <w:rtl/>
        </w:rPr>
        <w:t>"</w:t>
      </w:r>
      <w:r>
        <w:rPr>
          <w:rtl/>
        </w:rPr>
        <w:t>ק פוטר</w:t>
      </w:r>
      <w:r>
        <w:rPr>
          <w:rtl/>
        </w:rPr>
        <w:t xml:space="preserve">, </w:t>
      </w:r>
      <w:r>
        <w:rPr>
          <w:rtl/>
        </w:rPr>
        <w:t>כיון שכ’</w:t>
      </w:r>
      <w:r>
        <w:rPr>
          <w:rtl/>
        </w:rPr>
        <w:t>, “</w:t>
      </w:r>
      <w:r>
        <w:rPr>
          <w:rtl/>
        </w:rPr>
        <w:t>כל חרם לא יפדה</w:t>
      </w:r>
      <w:r>
        <w:rPr>
          <w:rtl/>
        </w:rPr>
        <w:t xml:space="preserve">.” </w:t>
      </w:r>
      <w:r>
        <w:rPr>
          <w:rtl/>
        </w:rPr>
        <w:t>רחב</w:t>
      </w:r>
      <w:r>
        <w:rPr>
          <w:rtl/>
        </w:rPr>
        <w:t>"</w:t>
      </w:r>
      <w:r>
        <w:rPr>
          <w:rtl/>
        </w:rPr>
        <w:t>ע מחייב</w:t>
      </w:r>
      <w:r>
        <w:rPr>
          <w:rtl/>
        </w:rPr>
        <w:t xml:space="preserve">, </w:t>
      </w:r>
      <w:r>
        <w:rPr>
          <w:rtl/>
        </w:rPr>
        <w:t>שדורש מזה שאין ח</w:t>
      </w:r>
      <w:r>
        <w:rPr>
          <w:rtl/>
        </w:rPr>
        <w:t>"</w:t>
      </w:r>
      <w:r>
        <w:rPr>
          <w:rtl/>
        </w:rPr>
        <w:t>מ נותן ממון לפטור א</w:t>
      </w:r>
      <w:r>
        <w:rPr>
          <w:rtl/>
        </w:rPr>
        <w:t>"</w:t>
      </w:r>
      <w:r>
        <w:rPr>
          <w:rtl/>
        </w:rPr>
        <w:t>ע</w:t>
      </w:r>
      <w:r>
        <w:rPr>
          <w:rtl/>
        </w:rPr>
        <w:t>. (</w:t>
      </w:r>
      <w:r>
        <w:rPr>
          <w:b/>
          <w:bCs/>
          <w:rtl/>
        </w:rPr>
        <w:t>ו</w:t>
      </w:r>
      <w:r>
        <w:rPr>
          <w:b/>
          <w:bCs/>
          <w:rtl/>
        </w:rPr>
        <w:t>:</w:t>
      </w:r>
      <w:r>
        <w:rPr>
          <w:rtl/>
        </w:rPr>
        <w:t>)</w:t>
      </w:r>
    </w:p>
    <w:p w:rsidR="009E50E6" w:rsidRDefault="00833FFB">
      <w:pPr>
        <w:pStyle w:val="Heading1"/>
      </w:pPr>
      <w:bookmarkStart w:id="5" w:name="__RefHeading___Toc579171_2916429603"/>
      <w:bookmarkEnd w:id="5"/>
      <w:r>
        <w:rPr>
          <w:rtl/>
        </w:rPr>
        <w:t>כל "הכל"</w:t>
      </w:r>
    </w:p>
    <w:p w:rsidR="009E50E6" w:rsidRDefault="00833FFB">
      <w:r>
        <w:rPr>
          <w:rtl/>
        </w:rPr>
        <w:t xml:space="preserve">לפעמים, יאמר תנא, “הכל….” כיון שאמר כן תנא במשנה שלנו, דורש גמרא כמה "כל"ים שאומר תנא. </w:t>
      </w:r>
    </w:p>
    <w:p w:rsidR="009E50E6" w:rsidRDefault="00833FFB">
      <w:pPr>
        <w:pStyle w:val="Heading2"/>
      </w:pPr>
      <w:bookmarkStart w:id="6" w:name="__RefHeading___Toc582853_2916429603"/>
      <w:bookmarkEnd w:id="6"/>
      <w:r>
        <w:rPr>
          <w:b w:val="0"/>
          <w:bCs w:val="0"/>
          <w:rtl/>
        </w:rPr>
        <w:t>יש</w:t>
      </w:r>
      <w:r>
        <w:rPr>
          <w:rtl/>
        </w:rPr>
        <w:t xml:space="preserve"> </w:t>
      </w:r>
      <w:r>
        <w:rPr>
          <w:rtl/>
        </w:rPr>
        <w:t>ארבע</w:t>
      </w:r>
      <w:r>
        <w:rPr>
          <w:b w:val="0"/>
          <w:bCs w:val="0"/>
          <w:rtl/>
        </w:rPr>
        <w:t xml:space="preserve"> במשנה כאן</w:t>
      </w:r>
      <w:r>
        <w:rPr>
          <w:b w:val="0"/>
          <w:bCs w:val="0"/>
          <w:rtl/>
        </w:rPr>
        <w:t>:</w:t>
      </w:r>
    </w:p>
    <w:p w:rsidR="009E50E6" w:rsidRDefault="00833FFB">
      <w:pPr>
        <w:numPr>
          <w:ilvl w:val="0"/>
          <w:numId w:val="5"/>
        </w:numPr>
      </w:pPr>
      <w:r>
        <w:rPr>
          <w:rtl/>
        </w:rPr>
        <w:t>הכל מעריכים</w:t>
      </w:r>
      <w:r>
        <w:rPr>
          <w:rtl/>
        </w:rPr>
        <w:t xml:space="preserve">- </w:t>
      </w:r>
      <w:r>
        <w:rPr>
          <w:rtl/>
        </w:rPr>
        <w:t xml:space="preserve">זה מרבה מופלא סמוך לאיש </w:t>
      </w:r>
      <w:r>
        <w:rPr>
          <w:rtl/>
        </w:rPr>
        <w:t>(</w:t>
      </w:r>
      <w:r>
        <w:rPr>
          <w:rtl/>
        </w:rPr>
        <w:t>עיין לעיל</w:t>
      </w:r>
      <w:r>
        <w:rPr>
          <w:rtl/>
        </w:rPr>
        <w:t>).</w:t>
      </w:r>
    </w:p>
    <w:p w:rsidR="009E50E6" w:rsidRDefault="00833FFB">
      <w:pPr>
        <w:numPr>
          <w:ilvl w:val="0"/>
          <w:numId w:val="5"/>
        </w:numPr>
      </w:pPr>
      <w:r>
        <w:rPr>
          <w:rtl/>
        </w:rPr>
        <w:t>[</w:t>
      </w:r>
      <w:r>
        <w:rPr>
          <w:rtl/>
        </w:rPr>
        <w:t>הכל</w:t>
      </w:r>
      <w:r>
        <w:rPr>
          <w:rtl/>
        </w:rPr>
        <w:t xml:space="preserve">] </w:t>
      </w:r>
      <w:r>
        <w:rPr>
          <w:rtl/>
        </w:rPr>
        <w:t>נערכים</w:t>
      </w:r>
      <w:r>
        <w:rPr>
          <w:rtl/>
        </w:rPr>
        <w:t xml:space="preserve">- </w:t>
      </w:r>
      <w:r>
        <w:rPr>
          <w:rtl/>
        </w:rPr>
        <w:t>זה מרבה מנוול ומוכה שחין</w:t>
      </w:r>
      <w:r>
        <w:rPr>
          <w:rtl/>
        </w:rPr>
        <w:t xml:space="preserve">. </w:t>
      </w:r>
      <w:r>
        <w:rPr>
          <w:rtl/>
        </w:rPr>
        <w:t xml:space="preserve">זה נדרש </w:t>
      </w:r>
      <w:r>
        <w:rPr>
          <w:rtl/>
        </w:rPr>
        <w:t>(</w:t>
      </w:r>
      <w:r>
        <w:rPr>
          <w:b/>
          <w:bCs/>
          <w:rtl/>
        </w:rPr>
        <w:t>ד</w:t>
      </w:r>
      <w:r>
        <w:rPr>
          <w:b/>
          <w:bCs/>
          <w:rtl/>
        </w:rPr>
        <w:t xml:space="preserve">:) </w:t>
      </w:r>
      <w:r>
        <w:rPr>
          <w:rtl/>
        </w:rPr>
        <w:t>מלשון רבי</w:t>
      </w:r>
      <w:r>
        <w:rPr>
          <w:rtl/>
        </w:rPr>
        <w:t xml:space="preserve">ם של </w:t>
      </w:r>
      <w:r>
        <w:rPr>
          <w:rtl/>
        </w:rPr>
        <w:t>"</w:t>
      </w:r>
      <w:r>
        <w:rPr>
          <w:rtl/>
        </w:rPr>
        <w:t>נפשות</w:t>
      </w:r>
      <w:r>
        <w:rPr>
          <w:rtl/>
        </w:rPr>
        <w:t>.”</w:t>
      </w:r>
    </w:p>
    <w:p w:rsidR="009E50E6" w:rsidRDefault="00833FFB">
      <w:pPr>
        <w:ind w:left="720"/>
      </w:pPr>
      <w:r>
        <w:rPr>
          <w:rtl/>
        </w:rPr>
        <w:t>ההו</w:t>
      </w:r>
      <w:r>
        <w:rPr>
          <w:rtl/>
        </w:rPr>
        <w:t>"</w:t>
      </w:r>
      <w:r>
        <w:rPr>
          <w:rtl/>
        </w:rPr>
        <w:t>א</w:t>
      </w:r>
      <w:r>
        <w:rPr>
          <w:rtl/>
        </w:rPr>
        <w:t xml:space="preserve">: </w:t>
      </w:r>
      <w:r>
        <w:rPr>
          <w:rtl/>
        </w:rPr>
        <w:t>כתיב</w:t>
      </w:r>
      <w:r>
        <w:rPr>
          <w:rtl/>
        </w:rPr>
        <w:t>, “</w:t>
      </w:r>
      <w:r>
        <w:rPr>
          <w:rtl/>
        </w:rPr>
        <w:t>נדר ערכך</w:t>
      </w:r>
      <w:r>
        <w:rPr>
          <w:rtl/>
        </w:rPr>
        <w:t xml:space="preserve">.” </w:t>
      </w:r>
      <w:r>
        <w:rPr>
          <w:rtl/>
        </w:rPr>
        <w:t>הו</w:t>
      </w:r>
      <w:r>
        <w:rPr>
          <w:rtl/>
        </w:rPr>
        <w:t>"</w:t>
      </w:r>
      <w:r>
        <w:rPr>
          <w:rtl/>
        </w:rPr>
        <w:t>א שרק מי שיש לו דמים יש לו ערך</w:t>
      </w:r>
      <w:r>
        <w:rPr>
          <w:rtl/>
        </w:rPr>
        <w:t xml:space="preserve">. </w:t>
      </w:r>
      <w:r>
        <w:rPr>
          <w:rtl/>
        </w:rPr>
        <w:t>אלו אין להם דמים</w:t>
      </w:r>
      <w:r>
        <w:rPr>
          <w:rtl/>
        </w:rPr>
        <w:t xml:space="preserve">, </w:t>
      </w:r>
      <w:r>
        <w:rPr>
          <w:rtl/>
        </w:rPr>
        <w:t>ואז הו</w:t>
      </w:r>
      <w:r>
        <w:rPr>
          <w:rtl/>
        </w:rPr>
        <w:t>"</w:t>
      </w:r>
      <w:r>
        <w:rPr>
          <w:rtl/>
        </w:rPr>
        <w:t>א שאין להם ערך</w:t>
      </w:r>
      <w:r>
        <w:rPr>
          <w:rtl/>
        </w:rPr>
        <w:t>.</w:t>
      </w:r>
    </w:p>
    <w:p w:rsidR="009E50E6" w:rsidRDefault="00833FFB">
      <w:pPr>
        <w:ind w:left="720"/>
      </w:pPr>
      <w:r>
        <w:rPr>
          <w:rtl/>
        </w:rPr>
        <w:t>מסקנא</w:t>
      </w:r>
      <w:r>
        <w:rPr>
          <w:rtl/>
        </w:rPr>
        <w:t xml:space="preserve">: </w:t>
      </w:r>
      <w:r>
        <w:rPr>
          <w:rtl/>
        </w:rPr>
        <w:t xml:space="preserve">כתיב </w:t>
      </w:r>
      <w:r>
        <w:rPr>
          <w:rtl/>
        </w:rPr>
        <w:t>"</w:t>
      </w:r>
      <w:r>
        <w:rPr>
          <w:rtl/>
        </w:rPr>
        <w:t>נפשות</w:t>
      </w:r>
      <w:r>
        <w:rPr>
          <w:rtl/>
        </w:rPr>
        <w:t xml:space="preserve">" </w:t>
      </w:r>
      <w:r>
        <w:rPr>
          <w:rtl/>
        </w:rPr>
        <w:t>בלשון רבים לרבות אלו</w:t>
      </w:r>
      <w:r>
        <w:rPr>
          <w:rtl/>
        </w:rPr>
        <w:t xml:space="preserve">. </w:t>
      </w:r>
      <w:r>
        <w:rPr>
          <w:b/>
          <w:bCs/>
          <w:rtl/>
        </w:rPr>
        <w:t>(</w:t>
      </w:r>
      <w:r>
        <w:rPr>
          <w:b/>
          <w:bCs/>
          <w:rtl/>
        </w:rPr>
        <w:t>ב</w:t>
      </w:r>
      <w:r>
        <w:rPr>
          <w:b/>
          <w:bCs/>
          <w:rtl/>
        </w:rPr>
        <w:t>.,</w:t>
      </w:r>
      <w:r>
        <w:rPr>
          <w:b/>
          <w:bCs/>
          <w:rtl/>
        </w:rPr>
        <w:t>ד</w:t>
      </w:r>
      <w:r>
        <w:rPr>
          <w:b/>
          <w:bCs/>
          <w:rtl/>
        </w:rPr>
        <w:t>:)</w:t>
      </w:r>
    </w:p>
    <w:p w:rsidR="009E50E6" w:rsidRDefault="00833FFB">
      <w:pPr>
        <w:numPr>
          <w:ilvl w:val="0"/>
          <w:numId w:val="5"/>
        </w:numPr>
      </w:pPr>
      <w:r>
        <w:rPr>
          <w:rtl/>
        </w:rPr>
        <w:lastRenderedPageBreak/>
        <w:t>[</w:t>
      </w:r>
      <w:r>
        <w:rPr>
          <w:rtl/>
        </w:rPr>
        <w:t>הכל</w:t>
      </w:r>
      <w:r>
        <w:rPr>
          <w:rtl/>
        </w:rPr>
        <w:t xml:space="preserve">] </w:t>
      </w:r>
      <w:r>
        <w:rPr>
          <w:rtl/>
        </w:rPr>
        <w:t>נודרים</w:t>
      </w:r>
      <w:r>
        <w:rPr>
          <w:rtl/>
        </w:rPr>
        <w:t xml:space="preserve">- </w:t>
      </w:r>
      <w:r>
        <w:rPr>
          <w:rtl/>
        </w:rPr>
        <w:t>לא מרבה כלום</w:t>
      </w:r>
      <w:r>
        <w:rPr>
          <w:rtl/>
        </w:rPr>
        <w:t xml:space="preserve">, </w:t>
      </w:r>
      <w:r>
        <w:rPr>
          <w:rtl/>
        </w:rPr>
        <w:t xml:space="preserve">אלא הוא אגב </w:t>
      </w:r>
      <w:r>
        <w:rPr>
          <w:rtl/>
        </w:rPr>
        <w:t>"[</w:t>
      </w:r>
      <w:r>
        <w:rPr>
          <w:rtl/>
        </w:rPr>
        <w:t>הכל</w:t>
      </w:r>
      <w:r>
        <w:rPr>
          <w:rtl/>
        </w:rPr>
        <w:t xml:space="preserve">] </w:t>
      </w:r>
      <w:r>
        <w:rPr>
          <w:rtl/>
        </w:rPr>
        <w:t>נידרים</w:t>
      </w:r>
      <w:r>
        <w:rPr>
          <w:rtl/>
        </w:rPr>
        <w:t>.”</w:t>
      </w:r>
    </w:p>
    <w:p w:rsidR="009E50E6" w:rsidRDefault="00833FFB">
      <w:pPr>
        <w:numPr>
          <w:ilvl w:val="0"/>
          <w:numId w:val="5"/>
        </w:numPr>
      </w:pPr>
      <w:r>
        <w:rPr>
          <w:rtl/>
        </w:rPr>
        <w:t>[</w:t>
      </w:r>
      <w:r>
        <w:rPr>
          <w:rtl/>
        </w:rPr>
        <w:t>הכל</w:t>
      </w:r>
      <w:r>
        <w:rPr>
          <w:rtl/>
        </w:rPr>
        <w:t xml:space="preserve">] </w:t>
      </w:r>
      <w:r>
        <w:rPr>
          <w:rtl/>
        </w:rPr>
        <w:t>נידרים</w:t>
      </w:r>
      <w:r>
        <w:rPr>
          <w:rtl/>
        </w:rPr>
        <w:t xml:space="preserve">- </w:t>
      </w:r>
      <w:r>
        <w:rPr>
          <w:rtl/>
        </w:rPr>
        <w:t>זה  מרבה פחות מבן חדש</w:t>
      </w:r>
      <w:r>
        <w:rPr>
          <w:rtl/>
        </w:rPr>
        <w:t xml:space="preserve">. </w:t>
      </w:r>
      <w:r>
        <w:rPr>
          <w:rtl/>
        </w:rPr>
        <w:t>דין זה בפירוש במשנה לקמן</w:t>
      </w:r>
      <w:r>
        <w:rPr>
          <w:rtl/>
        </w:rPr>
        <w:t xml:space="preserve">, </w:t>
      </w:r>
      <w:r>
        <w:rPr>
          <w:rtl/>
        </w:rPr>
        <w:t>אבל תנא והדר מפרש</w:t>
      </w:r>
      <w:r>
        <w:rPr>
          <w:rtl/>
        </w:rPr>
        <w:t>.</w:t>
      </w:r>
      <w:r>
        <w:rPr>
          <w:rStyle w:val="FootnoteAnchor"/>
          <w:rtl/>
        </w:rPr>
        <w:footnoteReference w:id="17"/>
      </w:r>
    </w:p>
    <w:p w:rsidR="009E50E6" w:rsidRDefault="00833FFB">
      <w:pPr>
        <w:pStyle w:val="Heading2"/>
      </w:pPr>
      <w:bookmarkStart w:id="7" w:name="__RefHeading___Toc582855_2916429603"/>
      <w:bookmarkEnd w:id="7"/>
      <w:r>
        <w:rPr>
          <w:b w:val="0"/>
          <w:bCs w:val="0"/>
          <w:rtl/>
        </w:rPr>
        <w:t xml:space="preserve">יש </w:t>
      </w:r>
      <w:r>
        <w:rPr>
          <w:rtl/>
        </w:rPr>
        <w:t>עשרים ושלש</w:t>
      </w:r>
      <w:r>
        <w:rPr>
          <w:b w:val="0"/>
          <w:bCs w:val="0"/>
          <w:rtl/>
        </w:rPr>
        <w:t xml:space="preserve"> במשניות אחרים</w:t>
      </w:r>
      <w:r>
        <w:rPr>
          <w:b w:val="0"/>
          <w:bCs w:val="0"/>
          <w:rtl/>
        </w:rPr>
        <w:t>:</w:t>
      </w:r>
    </w:p>
    <w:p w:rsidR="009E50E6" w:rsidRDefault="00833FFB">
      <w:pPr>
        <w:numPr>
          <w:ilvl w:val="0"/>
          <w:numId w:val="7"/>
        </w:numPr>
      </w:pPr>
      <w:r>
        <w:rPr>
          <w:rtl/>
        </w:rPr>
        <w:t>הכל סומכים</w:t>
      </w:r>
      <w:r>
        <w:rPr>
          <w:rtl/>
        </w:rPr>
        <w:t xml:space="preserve">- </w:t>
      </w:r>
      <w:r>
        <w:rPr>
          <w:rtl/>
        </w:rPr>
        <w:t>זה מרבה יורש</w:t>
      </w:r>
      <w:r>
        <w:rPr>
          <w:rtl/>
        </w:rPr>
        <w:t xml:space="preserve">. </w:t>
      </w:r>
      <w:r>
        <w:rPr>
          <w:rtl/>
        </w:rPr>
        <w:t xml:space="preserve">חלקו בזה רבי יהודה ורבנן </w:t>
      </w:r>
      <w:r>
        <w:rPr>
          <w:rtl/>
        </w:rPr>
        <w:t>(</w:t>
      </w:r>
      <w:r>
        <w:rPr>
          <w:rtl/>
        </w:rPr>
        <w:t>עיין לקמן</w:t>
      </w:r>
      <w:r>
        <w:rPr>
          <w:rtl/>
        </w:rPr>
        <w:t>).</w:t>
      </w:r>
    </w:p>
    <w:p w:rsidR="009E50E6" w:rsidRDefault="00833FFB">
      <w:pPr>
        <w:numPr>
          <w:ilvl w:val="0"/>
          <w:numId w:val="7"/>
        </w:numPr>
      </w:pPr>
      <w:r>
        <w:rPr>
          <w:rtl/>
        </w:rPr>
        <w:t>הכל ממירים</w:t>
      </w:r>
      <w:r>
        <w:rPr>
          <w:rtl/>
        </w:rPr>
        <w:t xml:space="preserve">- </w:t>
      </w:r>
      <w:r>
        <w:rPr>
          <w:rtl/>
        </w:rPr>
        <w:t>זה מרבה יורש</w:t>
      </w:r>
      <w:r>
        <w:rPr>
          <w:rtl/>
        </w:rPr>
        <w:t xml:space="preserve">. </w:t>
      </w:r>
      <w:r>
        <w:rPr>
          <w:rtl/>
        </w:rPr>
        <w:t>ההו</w:t>
      </w:r>
      <w:r>
        <w:rPr>
          <w:rtl/>
        </w:rPr>
        <w:t>"</w:t>
      </w:r>
      <w:r>
        <w:rPr>
          <w:rtl/>
        </w:rPr>
        <w:t>א ומסקנא שווה ל</w:t>
      </w:r>
      <w:r>
        <w:t>1</w:t>
      </w:r>
      <w:r>
        <w:rPr>
          <w:rtl/>
        </w:rPr>
        <w:t xml:space="preserve">. </w:t>
      </w:r>
      <w:r>
        <w:rPr>
          <w:b/>
          <w:bCs/>
          <w:rtl/>
        </w:rPr>
        <w:t>(</w:t>
      </w:r>
      <w:r>
        <w:rPr>
          <w:b/>
          <w:bCs/>
          <w:rtl/>
        </w:rPr>
        <w:t>ב</w:t>
      </w:r>
      <w:r>
        <w:rPr>
          <w:b/>
          <w:bCs/>
          <w:rtl/>
        </w:rPr>
        <w:t>.)</w:t>
      </w:r>
    </w:p>
    <w:p w:rsidR="009E50E6" w:rsidRDefault="00833FFB">
      <w:pPr>
        <w:numPr>
          <w:ilvl w:val="0"/>
          <w:numId w:val="7"/>
        </w:numPr>
      </w:pPr>
      <w:r>
        <w:rPr>
          <w:rtl/>
        </w:rPr>
        <w:t>הכל חייבים בסוכה</w:t>
      </w:r>
      <w:r>
        <w:rPr>
          <w:rtl/>
        </w:rPr>
        <w:t xml:space="preserve">- </w:t>
      </w:r>
      <w:r>
        <w:rPr>
          <w:rtl/>
        </w:rPr>
        <w:t>זה מרבה קטן שאינו צריך לאמו</w:t>
      </w:r>
      <w:r>
        <w:rPr>
          <w:rtl/>
        </w:rPr>
        <w:t>.</w:t>
      </w:r>
      <w:r>
        <w:rPr>
          <w:rStyle w:val="FootnoteAnchor"/>
          <w:rtl/>
        </w:rPr>
        <w:footnoteReference w:id="18"/>
      </w:r>
      <w:r>
        <w:rPr>
          <w:rStyle w:val="FootnoteAnchor"/>
          <w:rtl/>
        </w:rPr>
        <w:footnoteReference w:id="19"/>
      </w:r>
    </w:p>
    <w:p w:rsidR="009E50E6" w:rsidRDefault="00833FFB">
      <w:pPr>
        <w:numPr>
          <w:ilvl w:val="0"/>
          <w:numId w:val="7"/>
        </w:numPr>
      </w:pPr>
      <w:r>
        <w:rPr>
          <w:rtl/>
        </w:rPr>
        <w:t xml:space="preserve">הכל חייבים </w:t>
      </w:r>
      <w:r>
        <w:rPr>
          <w:rtl/>
        </w:rPr>
        <w:t>בלולב</w:t>
      </w:r>
      <w:r>
        <w:rPr>
          <w:rtl/>
        </w:rPr>
        <w:t xml:space="preserve">- </w:t>
      </w:r>
      <w:r>
        <w:rPr>
          <w:rtl/>
        </w:rPr>
        <w:t>זה מרבה קטן שיודע לנענע</w:t>
      </w:r>
      <w:r>
        <w:rPr>
          <w:rtl/>
        </w:rPr>
        <w:t>.</w:t>
      </w:r>
    </w:p>
    <w:p w:rsidR="009E50E6" w:rsidRDefault="00833FFB">
      <w:pPr>
        <w:numPr>
          <w:ilvl w:val="0"/>
          <w:numId w:val="7"/>
        </w:numPr>
      </w:pPr>
      <w:r>
        <w:rPr>
          <w:rtl/>
        </w:rPr>
        <w:t>הכל חייבים בציצית</w:t>
      </w:r>
      <w:r>
        <w:rPr>
          <w:rtl/>
        </w:rPr>
        <w:t xml:space="preserve">- </w:t>
      </w:r>
      <w:r>
        <w:rPr>
          <w:rtl/>
        </w:rPr>
        <w:t>זה מרבה קטן שיודע להתעטף</w:t>
      </w:r>
      <w:r>
        <w:rPr>
          <w:rtl/>
        </w:rPr>
        <w:t>.</w:t>
      </w:r>
    </w:p>
    <w:p w:rsidR="009E50E6" w:rsidRDefault="00833FFB">
      <w:pPr>
        <w:numPr>
          <w:ilvl w:val="0"/>
          <w:numId w:val="7"/>
        </w:numPr>
      </w:pPr>
      <w:r>
        <w:rPr>
          <w:rtl/>
        </w:rPr>
        <w:t>הכל חייבים בתפילין</w:t>
      </w:r>
      <w:r>
        <w:rPr>
          <w:rtl/>
        </w:rPr>
        <w:t xml:space="preserve">- </w:t>
      </w:r>
      <w:r>
        <w:rPr>
          <w:rtl/>
        </w:rPr>
        <w:t>זה מרבה קטן שיודע לשמור תפילין</w:t>
      </w:r>
      <w:r>
        <w:rPr>
          <w:rtl/>
        </w:rPr>
        <w:t>.</w:t>
      </w:r>
      <w:r>
        <w:rPr>
          <w:rStyle w:val="FootnoteAnchor"/>
          <w:rtl/>
        </w:rPr>
        <w:footnoteReference w:id="20"/>
      </w:r>
    </w:p>
    <w:p w:rsidR="009E50E6" w:rsidRDefault="00833FFB">
      <w:pPr>
        <w:numPr>
          <w:ilvl w:val="0"/>
          <w:numId w:val="7"/>
        </w:numPr>
      </w:pPr>
      <w:r>
        <w:rPr>
          <w:rtl/>
        </w:rPr>
        <w:t>הכל חייבים בראיה</w:t>
      </w:r>
      <w:r>
        <w:rPr>
          <w:rtl/>
        </w:rPr>
        <w:t xml:space="preserve">- </w:t>
      </w:r>
      <w:r>
        <w:rPr>
          <w:rtl/>
        </w:rPr>
        <w:t xml:space="preserve">יש </w:t>
      </w:r>
      <w:r>
        <w:rPr>
          <w:b/>
          <w:bCs/>
          <w:rtl/>
        </w:rPr>
        <w:t>שלש</w:t>
      </w:r>
      <w:r>
        <w:rPr>
          <w:rtl/>
        </w:rPr>
        <w:t xml:space="preserve"> צדדים מה זה מרבה</w:t>
      </w:r>
      <w:r>
        <w:rPr>
          <w:rtl/>
        </w:rPr>
        <w:t>:</w:t>
      </w:r>
    </w:p>
    <w:p w:rsidR="009E50E6" w:rsidRDefault="00833FFB">
      <w:pPr>
        <w:numPr>
          <w:ilvl w:val="1"/>
          <w:numId w:val="7"/>
        </w:numPr>
      </w:pPr>
      <w:r>
        <w:rPr>
          <w:rtl/>
        </w:rPr>
        <w:t>מי שחציו עבד וחציו בן חורין</w:t>
      </w:r>
      <w:r>
        <w:rPr>
          <w:rtl/>
        </w:rPr>
        <w:t>.</w:t>
      </w:r>
      <w:r>
        <w:rPr>
          <w:rStyle w:val="FootnoteAnchor"/>
          <w:rtl/>
        </w:rPr>
        <w:footnoteReference w:id="21"/>
      </w:r>
    </w:p>
    <w:p w:rsidR="009E50E6" w:rsidRDefault="00833FFB">
      <w:pPr>
        <w:numPr>
          <w:ilvl w:val="1"/>
          <w:numId w:val="7"/>
        </w:numPr>
      </w:pPr>
      <w:r>
        <w:rPr>
          <w:rtl/>
        </w:rPr>
        <w:t>חיגר ביום ראשון ונתפשט ביום שני</w:t>
      </w:r>
      <w:r>
        <w:rPr>
          <w:rtl/>
        </w:rPr>
        <w:t xml:space="preserve">. </w:t>
      </w:r>
      <w:r>
        <w:rPr>
          <w:rtl/>
        </w:rPr>
        <w:t>זה רק למד</w:t>
      </w:r>
      <w:r>
        <w:rPr>
          <w:rtl/>
        </w:rPr>
        <w:t>"</w:t>
      </w:r>
      <w:r>
        <w:rPr>
          <w:rtl/>
        </w:rPr>
        <w:t xml:space="preserve">א </w:t>
      </w:r>
      <w:r>
        <w:rPr>
          <w:rtl/>
        </w:rPr>
        <w:t>"</w:t>
      </w:r>
      <w:r>
        <w:rPr>
          <w:rtl/>
        </w:rPr>
        <w:t>כולם תש</w:t>
      </w:r>
      <w:r>
        <w:rPr>
          <w:rtl/>
        </w:rPr>
        <w:t>לומים זל</w:t>
      </w:r>
      <w:r>
        <w:rPr>
          <w:rtl/>
        </w:rPr>
        <w:t>"</w:t>
      </w:r>
      <w:r>
        <w:rPr>
          <w:rtl/>
        </w:rPr>
        <w:t>ז</w:t>
      </w:r>
      <w:r>
        <w:rPr>
          <w:rtl/>
        </w:rPr>
        <w:t>.”</w:t>
      </w:r>
      <w:r>
        <w:rPr>
          <w:rStyle w:val="FootnoteAnchor"/>
          <w:rtl/>
        </w:rPr>
        <w:footnoteReference w:id="22"/>
      </w:r>
    </w:p>
    <w:p w:rsidR="009E50E6" w:rsidRDefault="00833FFB">
      <w:pPr>
        <w:numPr>
          <w:ilvl w:val="1"/>
          <w:numId w:val="7"/>
        </w:numPr>
      </w:pPr>
      <w:r>
        <w:rPr>
          <w:rtl/>
        </w:rPr>
        <w:t>סומא באחת מעיניו</w:t>
      </w:r>
      <w:r>
        <w:rPr>
          <w:rtl/>
        </w:rPr>
        <w:t>.</w:t>
      </w:r>
      <w:r>
        <w:rPr>
          <w:rStyle w:val="FootnoteAnchor"/>
          <w:rtl/>
        </w:rPr>
        <w:footnoteReference w:id="23"/>
      </w:r>
    </w:p>
    <w:p w:rsidR="009E50E6" w:rsidRDefault="00833FFB">
      <w:pPr>
        <w:numPr>
          <w:ilvl w:val="0"/>
          <w:numId w:val="7"/>
        </w:numPr>
      </w:pPr>
      <w:r>
        <w:rPr>
          <w:rtl/>
        </w:rPr>
        <w:t>הכל חייבים בתקיעת שופר</w:t>
      </w:r>
      <w:r>
        <w:rPr>
          <w:rtl/>
        </w:rPr>
        <w:t xml:space="preserve">- </w:t>
      </w:r>
      <w:r>
        <w:rPr>
          <w:rtl/>
        </w:rPr>
        <w:t>זה מרבה קטן שהגיע לחינוך</w:t>
      </w:r>
      <w:r>
        <w:rPr>
          <w:rtl/>
        </w:rPr>
        <w:t>.</w:t>
      </w:r>
      <w:r>
        <w:rPr>
          <w:rStyle w:val="FootnoteAnchor"/>
          <w:rtl/>
        </w:rPr>
        <w:footnoteReference w:id="24"/>
      </w:r>
    </w:p>
    <w:p w:rsidR="009E50E6" w:rsidRDefault="00833FFB">
      <w:pPr>
        <w:numPr>
          <w:ilvl w:val="0"/>
          <w:numId w:val="7"/>
        </w:numPr>
      </w:pPr>
      <w:r>
        <w:rPr>
          <w:rtl/>
        </w:rPr>
        <w:t>הכל חייבים במקרא מגילה</w:t>
      </w:r>
      <w:r>
        <w:rPr>
          <w:rtl/>
        </w:rPr>
        <w:t xml:space="preserve">- </w:t>
      </w:r>
      <w:r>
        <w:rPr>
          <w:rtl/>
        </w:rPr>
        <w:t>זה מרבה נשים</w:t>
      </w:r>
      <w:r>
        <w:rPr>
          <w:rtl/>
        </w:rPr>
        <w:t>.</w:t>
      </w:r>
      <w:r>
        <w:rPr>
          <w:rStyle w:val="FootnoteAnchor"/>
          <w:rtl/>
        </w:rPr>
        <w:footnoteReference w:id="25"/>
      </w:r>
    </w:p>
    <w:p w:rsidR="009E50E6" w:rsidRDefault="00833FFB">
      <w:pPr>
        <w:numPr>
          <w:ilvl w:val="0"/>
          <w:numId w:val="7"/>
        </w:numPr>
      </w:pPr>
      <w:r>
        <w:rPr>
          <w:rtl/>
        </w:rPr>
        <w:t>הכל כשרים לקרוא את המגילה</w:t>
      </w:r>
      <w:r>
        <w:rPr>
          <w:rtl/>
        </w:rPr>
        <w:t xml:space="preserve">- </w:t>
      </w:r>
      <w:r>
        <w:rPr>
          <w:rtl/>
        </w:rPr>
        <w:t>זה מרבה נשים</w:t>
      </w:r>
      <w:r>
        <w:rPr>
          <w:rtl/>
        </w:rPr>
        <w:t>.</w:t>
      </w:r>
      <w:r>
        <w:rPr>
          <w:rStyle w:val="FootnoteAnchor"/>
          <w:rtl/>
        </w:rPr>
        <w:footnoteReference w:id="26"/>
      </w:r>
      <w:r>
        <w:rPr>
          <w:rtl/>
        </w:rPr>
        <w:t xml:space="preserve"> </w:t>
      </w:r>
      <w:r>
        <w:rPr>
          <w:b/>
          <w:bCs/>
          <w:rtl/>
        </w:rPr>
        <w:t>(</w:t>
      </w:r>
      <w:r>
        <w:rPr>
          <w:b/>
          <w:bCs/>
          <w:rtl/>
        </w:rPr>
        <w:t>ב</w:t>
      </w:r>
      <w:r>
        <w:rPr>
          <w:b/>
          <w:bCs/>
          <w:rtl/>
        </w:rPr>
        <w:t>:)</w:t>
      </w:r>
    </w:p>
    <w:p w:rsidR="009E50E6" w:rsidRDefault="00833FFB">
      <w:pPr>
        <w:numPr>
          <w:ilvl w:val="0"/>
          <w:numId w:val="7"/>
        </w:numPr>
      </w:pPr>
      <w:r>
        <w:rPr>
          <w:rtl/>
        </w:rPr>
        <w:t>הכל חייבים בזימון</w:t>
      </w:r>
      <w:r>
        <w:rPr>
          <w:rtl/>
        </w:rPr>
        <w:t xml:space="preserve">- </w:t>
      </w:r>
      <w:r>
        <w:rPr>
          <w:rtl/>
        </w:rPr>
        <w:t>זה מרבה נשים ועבדים</w:t>
      </w:r>
      <w:r>
        <w:rPr>
          <w:rtl/>
        </w:rPr>
        <w:t>.</w:t>
      </w:r>
      <w:r>
        <w:rPr>
          <w:rStyle w:val="FootnoteAnchor"/>
          <w:rtl/>
        </w:rPr>
        <w:footnoteReference w:id="27"/>
      </w:r>
    </w:p>
    <w:p w:rsidR="009E50E6" w:rsidRDefault="00833FFB">
      <w:pPr>
        <w:numPr>
          <w:ilvl w:val="0"/>
          <w:numId w:val="7"/>
        </w:numPr>
      </w:pPr>
      <w:r>
        <w:rPr>
          <w:rtl/>
        </w:rPr>
        <w:t>הכל מצטרפים לזימון</w:t>
      </w:r>
      <w:r>
        <w:rPr>
          <w:rtl/>
        </w:rPr>
        <w:t xml:space="preserve">- </w:t>
      </w:r>
      <w:r>
        <w:rPr>
          <w:rtl/>
        </w:rPr>
        <w:t>זה מרבה קטן שיודע למי מבר</w:t>
      </w:r>
      <w:r>
        <w:rPr>
          <w:rtl/>
        </w:rPr>
        <w:t>כים</w:t>
      </w:r>
      <w:r>
        <w:rPr>
          <w:rtl/>
        </w:rPr>
        <w:t>.</w:t>
      </w:r>
    </w:p>
    <w:p w:rsidR="009E50E6" w:rsidRDefault="00833FFB">
      <w:pPr>
        <w:numPr>
          <w:ilvl w:val="0"/>
          <w:numId w:val="7"/>
        </w:numPr>
      </w:pPr>
      <w:r>
        <w:rPr>
          <w:rtl/>
        </w:rPr>
        <w:t>הכל מטמאים בזיבה</w:t>
      </w:r>
      <w:r>
        <w:rPr>
          <w:rtl/>
        </w:rPr>
        <w:t xml:space="preserve">- </w:t>
      </w:r>
      <w:r>
        <w:rPr>
          <w:rtl/>
        </w:rPr>
        <w:t>זה מרבה תינוק בן יום אחד</w:t>
      </w:r>
      <w:r>
        <w:rPr>
          <w:rtl/>
        </w:rPr>
        <w:t xml:space="preserve">. </w:t>
      </w:r>
      <w:r>
        <w:rPr>
          <w:rtl/>
        </w:rPr>
        <w:t>חולקים רבי יהודה וריבשריב</w:t>
      </w:r>
      <w:r>
        <w:rPr>
          <w:rtl/>
        </w:rPr>
        <w:t>"</w:t>
      </w:r>
      <w:r>
        <w:rPr>
          <w:rtl/>
        </w:rPr>
        <w:t xml:space="preserve">ב אם המקור לזה הוא </w:t>
      </w:r>
      <w:r>
        <w:rPr>
          <w:rtl/>
        </w:rPr>
        <w:t>"</w:t>
      </w:r>
      <w:r>
        <w:rPr>
          <w:rtl/>
        </w:rPr>
        <w:t>איש איש</w:t>
      </w:r>
      <w:r>
        <w:rPr>
          <w:rStyle w:val="FootnoteAnchor"/>
          <w:rtl/>
        </w:rPr>
        <w:footnoteReference w:id="28"/>
      </w:r>
      <w:r>
        <w:rPr>
          <w:rtl/>
        </w:rPr>
        <w:t xml:space="preserve">" </w:t>
      </w:r>
      <w:r>
        <w:rPr>
          <w:rtl/>
        </w:rPr>
        <w:t xml:space="preserve">או </w:t>
      </w:r>
      <w:r>
        <w:rPr>
          <w:rtl/>
        </w:rPr>
        <w:t>"</w:t>
      </w:r>
      <w:r>
        <w:rPr>
          <w:rtl/>
        </w:rPr>
        <w:t>לזכר</w:t>
      </w:r>
      <w:r>
        <w:rPr>
          <w:rtl/>
        </w:rPr>
        <w:t>.”</w:t>
      </w:r>
      <w:r>
        <w:rPr>
          <w:rStyle w:val="FootnoteAnchor"/>
          <w:rtl/>
        </w:rPr>
        <w:footnoteReference w:id="29"/>
      </w:r>
    </w:p>
    <w:p w:rsidR="009E50E6" w:rsidRDefault="00833FFB">
      <w:pPr>
        <w:numPr>
          <w:ilvl w:val="0"/>
          <w:numId w:val="7"/>
        </w:numPr>
      </w:pPr>
      <w:r>
        <w:rPr>
          <w:rtl/>
        </w:rPr>
        <w:t>הכל מטמאים בטמא מת</w:t>
      </w:r>
      <w:r>
        <w:rPr>
          <w:rtl/>
        </w:rPr>
        <w:t xml:space="preserve">- </w:t>
      </w:r>
      <w:r>
        <w:rPr>
          <w:rtl/>
        </w:rPr>
        <w:t>זה מרבה קטן</w:t>
      </w:r>
      <w:r>
        <w:rPr>
          <w:rtl/>
        </w:rPr>
        <w:t>.</w:t>
      </w:r>
      <w:r>
        <w:rPr>
          <w:rStyle w:val="FootnoteAnchor"/>
          <w:rtl/>
        </w:rPr>
        <w:footnoteReference w:id="30"/>
      </w:r>
    </w:p>
    <w:p w:rsidR="009E50E6" w:rsidRDefault="00833FFB">
      <w:pPr>
        <w:ind w:left="720"/>
      </w:pPr>
      <w:r>
        <w:rPr>
          <w:rtl/>
        </w:rPr>
        <w:t>הו</w:t>
      </w:r>
      <w:r>
        <w:rPr>
          <w:rtl/>
        </w:rPr>
        <w:t>"</w:t>
      </w:r>
      <w:r>
        <w:rPr>
          <w:rtl/>
        </w:rPr>
        <w:t>א</w:t>
      </w:r>
      <w:r>
        <w:rPr>
          <w:rtl/>
        </w:rPr>
        <w:t xml:space="preserve">: </w:t>
      </w:r>
      <w:r>
        <w:rPr>
          <w:rtl/>
        </w:rPr>
        <w:t>כ’</w:t>
      </w:r>
      <w:r>
        <w:rPr>
          <w:rtl/>
        </w:rPr>
        <w:t>, “</w:t>
      </w:r>
      <w:r>
        <w:rPr>
          <w:rtl/>
        </w:rPr>
        <w:t>איש כי יטמא ולא יתחטא</w:t>
      </w:r>
      <w:r>
        <w:rPr>
          <w:rtl/>
        </w:rPr>
        <w:t xml:space="preserve">.” </w:t>
      </w:r>
      <w:r>
        <w:rPr>
          <w:rtl/>
        </w:rPr>
        <w:t>הו</w:t>
      </w:r>
      <w:r>
        <w:rPr>
          <w:rtl/>
        </w:rPr>
        <w:t>"</w:t>
      </w:r>
      <w:r>
        <w:rPr>
          <w:rtl/>
        </w:rPr>
        <w:t>א שזה ממעט קטן</w:t>
      </w:r>
      <w:r>
        <w:rPr>
          <w:rtl/>
        </w:rPr>
        <w:t>.</w:t>
      </w:r>
    </w:p>
    <w:p w:rsidR="009E50E6" w:rsidRDefault="00833FFB">
      <w:pPr>
        <w:ind w:left="720"/>
      </w:pPr>
      <w:r>
        <w:rPr>
          <w:rtl/>
        </w:rPr>
        <w:t>מסקנא</w:t>
      </w:r>
      <w:r>
        <w:rPr>
          <w:rtl/>
        </w:rPr>
        <w:t xml:space="preserve">: </w:t>
      </w:r>
      <w:r>
        <w:rPr>
          <w:rtl/>
        </w:rPr>
        <w:t>זה ממעט קטן רק מחיוב כרת</w:t>
      </w:r>
      <w:r>
        <w:rPr>
          <w:rtl/>
        </w:rPr>
        <w:t>.</w:t>
      </w:r>
    </w:p>
    <w:p w:rsidR="009E50E6" w:rsidRDefault="00833FFB">
      <w:pPr>
        <w:numPr>
          <w:ilvl w:val="0"/>
          <w:numId w:val="7"/>
        </w:numPr>
      </w:pPr>
      <w:r>
        <w:rPr>
          <w:rtl/>
        </w:rPr>
        <w:t>הכל מטמאים בנגעים</w:t>
      </w:r>
      <w:r>
        <w:rPr>
          <w:rtl/>
        </w:rPr>
        <w:t xml:space="preserve">- </w:t>
      </w:r>
      <w:r>
        <w:rPr>
          <w:rtl/>
        </w:rPr>
        <w:t>זה מרבה קטן</w:t>
      </w:r>
      <w:r>
        <w:rPr>
          <w:rtl/>
        </w:rPr>
        <w:t>.</w:t>
      </w:r>
    </w:p>
    <w:p w:rsidR="009E50E6" w:rsidRDefault="00833FFB">
      <w:pPr>
        <w:ind w:left="720"/>
      </w:pPr>
      <w:r>
        <w:rPr>
          <w:rtl/>
        </w:rPr>
        <w:t>הו</w:t>
      </w:r>
      <w:r>
        <w:rPr>
          <w:rtl/>
        </w:rPr>
        <w:t>"</w:t>
      </w:r>
      <w:r>
        <w:rPr>
          <w:rtl/>
        </w:rPr>
        <w:t>א</w:t>
      </w:r>
      <w:r>
        <w:rPr>
          <w:rtl/>
        </w:rPr>
        <w:t xml:space="preserve">: </w:t>
      </w:r>
      <w:r>
        <w:rPr>
          <w:rtl/>
        </w:rPr>
        <w:t>כ’</w:t>
      </w:r>
      <w:r>
        <w:rPr>
          <w:rtl/>
        </w:rPr>
        <w:t>, “</w:t>
      </w:r>
      <w:r>
        <w:rPr>
          <w:rtl/>
        </w:rPr>
        <w:t>איש צרוע</w:t>
      </w:r>
      <w:r>
        <w:rPr>
          <w:rtl/>
        </w:rPr>
        <w:t>.”</w:t>
      </w:r>
    </w:p>
    <w:p w:rsidR="009E50E6" w:rsidRDefault="00833FFB">
      <w:pPr>
        <w:ind w:left="720"/>
      </w:pPr>
      <w:r>
        <w:rPr>
          <w:rtl/>
        </w:rPr>
        <w:lastRenderedPageBreak/>
        <w:t>מסקנא</w:t>
      </w:r>
      <w:r>
        <w:rPr>
          <w:rtl/>
        </w:rPr>
        <w:t xml:space="preserve">: </w:t>
      </w:r>
      <w:r>
        <w:rPr>
          <w:rtl/>
        </w:rPr>
        <w:t>זה ממעט אשה מפריעה ופרימה</w:t>
      </w:r>
      <w:r>
        <w:rPr>
          <w:rtl/>
        </w:rPr>
        <w:t>.</w:t>
      </w:r>
      <w:r>
        <w:rPr>
          <w:rStyle w:val="FootnoteAnchor"/>
          <w:rtl/>
        </w:rPr>
        <w:footnoteReference w:id="31"/>
      </w:r>
    </w:p>
    <w:p w:rsidR="009E50E6" w:rsidRDefault="00833FFB">
      <w:pPr>
        <w:numPr>
          <w:ilvl w:val="0"/>
          <w:numId w:val="7"/>
        </w:numPr>
      </w:pPr>
      <w:r>
        <w:rPr>
          <w:rtl/>
        </w:rPr>
        <w:t>הכל כשרים לראות את הנגעים</w:t>
      </w:r>
      <w:r>
        <w:rPr>
          <w:rtl/>
        </w:rPr>
        <w:t xml:space="preserve">- </w:t>
      </w:r>
      <w:r>
        <w:rPr>
          <w:rtl/>
        </w:rPr>
        <w:t>זה מרבה מי שאינו בקי בנגעים</w:t>
      </w:r>
      <w:r>
        <w:rPr>
          <w:rtl/>
        </w:rPr>
        <w:t xml:space="preserve">, </w:t>
      </w:r>
      <w:r>
        <w:rPr>
          <w:rtl/>
        </w:rPr>
        <w:t>אבל מבים כשמלמדים לו</w:t>
      </w:r>
      <w:r>
        <w:rPr>
          <w:rtl/>
        </w:rPr>
        <w:t>.</w:t>
      </w:r>
    </w:p>
    <w:p w:rsidR="009E50E6" w:rsidRDefault="00833FFB">
      <w:pPr>
        <w:numPr>
          <w:ilvl w:val="0"/>
          <w:numId w:val="7"/>
        </w:numPr>
      </w:pPr>
      <w:r>
        <w:rPr>
          <w:rtl/>
        </w:rPr>
        <w:t xml:space="preserve">הכל כשרים לקדש </w:t>
      </w:r>
      <w:r>
        <w:rPr>
          <w:rtl/>
        </w:rPr>
        <w:t>(</w:t>
      </w:r>
      <w:r>
        <w:rPr>
          <w:rtl/>
        </w:rPr>
        <w:t>מי חטאת</w:t>
      </w:r>
      <w:r>
        <w:rPr>
          <w:rtl/>
        </w:rPr>
        <w:t xml:space="preserve">)- </w:t>
      </w:r>
      <w:r>
        <w:rPr>
          <w:rtl/>
        </w:rPr>
        <w:t>אם נאמר שהמשנה הוא רבי יהודה</w:t>
      </w:r>
      <w:r>
        <w:rPr>
          <w:rtl/>
        </w:rPr>
        <w:t xml:space="preserve">, </w:t>
      </w:r>
      <w:r>
        <w:rPr>
          <w:rtl/>
        </w:rPr>
        <w:t>זה מרבה קטן</w:t>
      </w:r>
      <w:r>
        <w:rPr>
          <w:rtl/>
        </w:rPr>
        <w:t xml:space="preserve">. </w:t>
      </w:r>
      <w:r>
        <w:rPr>
          <w:rtl/>
        </w:rPr>
        <w:t>אם נאמר שהוא רבנן</w:t>
      </w:r>
      <w:r>
        <w:rPr>
          <w:rtl/>
        </w:rPr>
        <w:t xml:space="preserve">, </w:t>
      </w:r>
      <w:r>
        <w:rPr>
          <w:rtl/>
        </w:rPr>
        <w:t>מרבה אשה</w:t>
      </w:r>
      <w:r>
        <w:rPr>
          <w:rtl/>
        </w:rPr>
        <w:t>.</w:t>
      </w:r>
    </w:p>
    <w:p w:rsidR="009E50E6" w:rsidRDefault="00833FFB">
      <w:pPr>
        <w:numPr>
          <w:ilvl w:val="0"/>
          <w:numId w:val="7"/>
        </w:numPr>
      </w:pPr>
      <w:r>
        <w:rPr>
          <w:rtl/>
        </w:rPr>
        <w:t>הכל כשרי</w:t>
      </w:r>
      <w:r>
        <w:rPr>
          <w:rtl/>
        </w:rPr>
        <w:t>ם להזות</w:t>
      </w:r>
      <w:r>
        <w:rPr>
          <w:rtl/>
        </w:rPr>
        <w:t xml:space="preserve">- </w:t>
      </w:r>
      <w:r>
        <w:rPr>
          <w:rtl/>
        </w:rPr>
        <w:t>זה מרבה ערל</w:t>
      </w:r>
      <w:r>
        <w:rPr>
          <w:rtl/>
        </w:rPr>
        <w:t>.</w:t>
      </w:r>
      <w:r>
        <w:rPr>
          <w:rStyle w:val="FootnoteAnchor"/>
          <w:rtl/>
        </w:rPr>
        <w:footnoteReference w:id="32"/>
      </w:r>
    </w:p>
    <w:p w:rsidR="009E50E6" w:rsidRDefault="00833FFB">
      <w:pPr>
        <w:numPr>
          <w:ilvl w:val="0"/>
          <w:numId w:val="7"/>
        </w:numPr>
      </w:pPr>
      <w:r>
        <w:rPr>
          <w:rtl/>
        </w:rPr>
        <w:t>הכל שוחטים</w:t>
      </w:r>
      <w:r>
        <w:rPr>
          <w:rtl/>
        </w:rPr>
        <w:t xml:space="preserve">- </w:t>
      </w:r>
      <w:r>
        <w:rPr>
          <w:rtl/>
        </w:rPr>
        <w:t>זה נאמר שני פעמים</w:t>
      </w:r>
      <w:r>
        <w:rPr>
          <w:rtl/>
        </w:rPr>
        <w:t xml:space="preserve">. </w:t>
      </w:r>
      <w:r>
        <w:rPr>
          <w:rtl/>
        </w:rPr>
        <w:t>אחר מרבה כותי</w:t>
      </w:r>
      <w:r>
        <w:rPr>
          <w:rtl/>
        </w:rPr>
        <w:t xml:space="preserve">, </w:t>
      </w:r>
      <w:r>
        <w:rPr>
          <w:rtl/>
        </w:rPr>
        <w:t>ואחד מרבה ישראל מומר</w:t>
      </w:r>
      <w:r>
        <w:rPr>
          <w:rtl/>
        </w:rPr>
        <w:t>.</w:t>
      </w:r>
      <w:r>
        <w:rPr>
          <w:rStyle w:val="FootnoteAnchor"/>
          <w:rtl/>
        </w:rPr>
        <w:footnoteReference w:id="33"/>
      </w:r>
      <w:r>
        <w:rPr>
          <w:rtl/>
        </w:rPr>
        <w:t xml:space="preserve"> </w:t>
      </w:r>
      <w:r>
        <w:rPr>
          <w:b/>
          <w:bCs/>
          <w:rtl/>
        </w:rPr>
        <w:t>(</w:t>
      </w:r>
      <w:r>
        <w:rPr>
          <w:b/>
          <w:bCs/>
          <w:rtl/>
        </w:rPr>
        <w:t>ג</w:t>
      </w:r>
      <w:r>
        <w:rPr>
          <w:b/>
          <w:bCs/>
          <w:rtl/>
        </w:rPr>
        <w:t>.)</w:t>
      </w:r>
    </w:p>
    <w:p w:rsidR="009E50E6" w:rsidRDefault="00833FFB">
      <w:pPr>
        <w:numPr>
          <w:ilvl w:val="0"/>
          <w:numId w:val="7"/>
        </w:numPr>
      </w:pPr>
      <w:r>
        <w:rPr>
          <w:rtl/>
        </w:rPr>
        <w:t>הכל מעלים לא</w:t>
      </w:r>
      <w:r>
        <w:rPr>
          <w:rtl/>
        </w:rPr>
        <w:t>"</w:t>
      </w:r>
      <w:r>
        <w:rPr>
          <w:rtl/>
        </w:rPr>
        <w:t>י</w:t>
      </w:r>
      <w:r>
        <w:rPr>
          <w:rtl/>
        </w:rPr>
        <w:t xml:space="preserve">- </w:t>
      </w:r>
      <w:r>
        <w:rPr>
          <w:rtl/>
        </w:rPr>
        <w:t>זה מרבה שמעלה עבד</w:t>
      </w:r>
      <w:r>
        <w:rPr>
          <w:rtl/>
        </w:rPr>
        <w:t xml:space="preserve">. </w:t>
      </w:r>
      <w:r>
        <w:rPr>
          <w:rtl/>
        </w:rPr>
        <w:t>יש ששונים עבד בפירוש</w:t>
      </w:r>
      <w:r>
        <w:rPr>
          <w:rtl/>
        </w:rPr>
        <w:t xml:space="preserve">; </w:t>
      </w:r>
      <w:r>
        <w:rPr>
          <w:rtl/>
        </w:rPr>
        <w:t>אז</w:t>
      </w:r>
      <w:r>
        <w:rPr>
          <w:rtl/>
        </w:rPr>
        <w:t xml:space="preserve">, </w:t>
      </w:r>
      <w:r>
        <w:rPr>
          <w:rtl/>
        </w:rPr>
        <w:t>מרבה מנוה היפה לנוה הרעה</w:t>
      </w:r>
      <w:r>
        <w:rPr>
          <w:rtl/>
        </w:rPr>
        <w:t>.</w:t>
      </w:r>
    </w:p>
    <w:p w:rsidR="009E50E6" w:rsidRDefault="00833FFB">
      <w:pPr>
        <w:numPr>
          <w:ilvl w:val="0"/>
          <w:numId w:val="7"/>
        </w:numPr>
      </w:pPr>
      <w:r>
        <w:rPr>
          <w:rtl/>
        </w:rPr>
        <w:t xml:space="preserve">אין הכל מוציאים </w:t>
      </w:r>
      <w:r>
        <w:rPr>
          <w:rtl/>
        </w:rPr>
        <w:t>[</w:t>
      </w:r>
      <w:r>
        <w:rPr>
          <w:rtl/>
        </w:rPr>
        <w:t>מא</w:t>
      </w:r>
      <w:r>
        <w:rPr>
          <w:rtl/>
        </w:rPr>
        <w:t>"</w:t>
      </w:r>
      <w:r>
        <w:rPr>
          <w:rtl/>
        </w:rPr>
        <w:t>י</w:t>
      </w:r>
      <w:r>
        <w:rPr>
          <w:rtl/>
        </w:rPr>
        <w:t xml:space="preserve">]- </w:t>
      </w:r>
      <w:r>
        <w:rPr>
          <w:rtl/>
        </w:rPr>
        <w:t>זה מרבה עבד שברח מא</w:t>
      </w:r>
      <w:r>
        <w:rPr>
          <w:rtl/>
        </w:rPr>
        <w:t>"</w:t>
      </w:r>
      <w:r>
        <w:rPr>
          <w:rtl/>
        </w:rPr>
        <w:t>י לחו</w:t>
      </w:r>
      <w:r>
        <w:rPr>
          <w:rtl/>
        </w:rPr>
        <w:t>"</w:t>
      </w:r>
      <w:r>
        <w:rPr>
          <w:rtl/>
        </w:rPr>
        <w:t>ל</w:t>
      </w:r>
      <w:r>
        <w:rPr>
          <w:rtl/>
        </w:rPr>
        <w:t>.</w:t>
      </w:r>
    </w:p>
    <w:p w:rsidR="009E50E6" w:rsidRDefault="00833FFB">
      <w:pPr>
        <w:numPr>
          <w:ilvl w:val="0"/>
          <w:numId w:val="7"/>
        </w:numPr>
      </w:pPr>
      <w:r>
        <w:rPr>
          <w:rtl/>
        </w:rPr>
        <w:t>הכל מעלים לירושלים</w:t>
      </w:r>
      <w:r>
        <w:rPr>
          <w:rtl/>
        </w:rPr>
        <w:t xml:space="preserve">- </w:t>
      </w:r>
      <w:r>
        <w:rPr>
          <w:rtl/>
        </w:rPr>
        <w:t>זה מרבה מנוה היפה לנוה הרעה</w:t>
      </w:r>
      <w:r>
        <w:rPr>
          <w:rtl/>
        </w:rPr>
        <w:t>.</w:t>
      </w:r>
    </w:p>
    <w:p w:rsidR="009E50E6" w:rsidRDefault="00833FFB">
      <w:pPr>
        <w:numPr>
          <w:ilvl w:val="0"/>
          <w:numId w:val="7"/>
        </w:numPr>
      </w:pPr>
      <w:r>
        <w:rPr>
          <w:rtl/>
        </w:rPr>
        <w:t xml:space="preserve">אין הכל מוציאים </w:t>
      </w:r>
      <w:r>
        <w:rPr>
          <w:rtl/>
        </w:rPr>
        <w:t>[</w:t>
      </w:r>
      <w:r>
        <w:rPr>
          <w:rtl/>
        </w:rPr>
        <w:t>מירושלים</w:t>
      </w:r>
      <w:r>
        <w:rPr>
          <w:rtl/>
        </w:rPr>
        <w:t xml:space="preserve">]- </w:t>
      </w:r>
      <w:r>
        <w:rPr>
          <w:rtl/>
        </w:rPr>
        <w:t>זה מרבה מנוה הרעה לנוה היפה</w:t>
      </w:r>
      <w:r>
        <w:rPr>
          <w:rtl/>
        </w:rPr>
        <w:t>.</w:t>
      </w:r>
    </w:p>
    <w:p w:rsidR="009E50E6" w:rsidRDefault="00833FFB">
      <w:pPr>
        <w:pStyle w:val="Heading1"/>
        <w:rPr>
          <w:b w:val="0"/>
          <w:bCs w:val="0"/>
        </w:rPr>
      </w:pPr>
      <w:r>
        <w:rPr>
          <w:rtl/>
        </w:rPr>
        <w:t>כל "כהנים לויים…"</w:t>
      </w:r>
    </w:p>
    <w:p w:rsidR="009E50E6" w:rsidRDefault="00833FFB">
      <w:r>
        <w:rPr>
          <w:rtl/>
        </w:rPr>
        <w:t>לפעמים, יאמר תנא שהכל חייבם, כוהנים לויים, וישראלים. גמרא מבאר למה מוסיף זה. נמצא ----- מקומות:</w:t>
      </w:r>
    </w:p>
    <w:p w:rsidR="009E50E6" w:rsidRDefault="00833FFB">
      <w:pPr>
        <w:numPr>
          <w:ilvl w:val="0"/>
          <w:numId w:val="9"/>
        </w:numPr>
      </w:pPr>
      <w:r>
        <w:rPr>
          <w:rtl/>
        </w:rPr>
        <w:t>הכל חייבים בסוכה כהנים…- הו"א לפטור כהן כיון שכתיב "תש</w:t>
      </w:r>
      <w:r>
        <w:rPr>
          <w:rtl/>
        </w:rPr>
        <w:t xml:space="preserve">בו.” הוה אמינא לדרוש שצריך "כעין תדורו.” כיון שלא יוכלו כהנים לעשות כן בשעת עבודה, הוה אמינא לפטור מסוכה. </w:t>
      </w:r>
    </w:p>
    <w:p w:rsidR="009E50E6" w:rsidRDefault="00833FFB">
      <w:pPr>
        <w:ind w:left="720"/>
      </w:pPr>
      <w:r>
        <w:rPr>
          <w:rtl/>
        </w:rPr>
        <w:t>המסקנא הוא שאף שבשעת עבודה פטורים, שלא בשעת עבודה חייבים.</w:t>
      </w:r>
    </w:p>
    <w:p w:rsidR="009E50E6" w:rsidRDefault="00833FFB">
      <w:pPr>
        <w:numPr>
          <w:ilvl w:val="0"/>
          <w:numId w:val="9"/>
        </w:numPr>
      </w:pPr>
      <w:r>
        <w:rPr>
          <w:rtl/>
        </w:rPr>
        <w:t xml:space="preserve">הכל חייבים בציצית כהנים…- הו"א לפטור כהן כיון שנסמך פרשת ציצית לפרשת כלאים. הו"א לדרוש שמי </w:t>
      </w:r>
      <w:r>
        <w:rPr>
          <w:rtl/>
        </w:rPr>
        <w:t>שאינו חייב בכלאים אינו חייב בציצית. כהן בשעת עבודה לובש כלאים, ואז יפטור מציצית.</w:t>
      </w:r>
      <w:r>
        <w:rPr>
          <w:rStyle w:val="FootnoteAnchor"/>
          <w:rtl/>
        </w:rPr>
        <w:footnoteReference w:id="34"/>
      </w:r>
    </w:p>
    <w:p w:rsidR="009E50E6" w:rsidRDefault="00833FFB">
      <w:pPr>
        <w:ind w:left="720"/>
      </w:pPr>
      <w:r>
        <w:rPr>
          <w:rtl/>
        </w:rPr>
        <w:t>המסקנא הוא שנחשבים חייבים על כלאים כיון ששלא בשעת עבודה מוזהרים.</w:t>
      </w:r>
    </w:p>
    <w:p w:rsidR="009E50E6" w:rsidRDefault="00833FFB">
      <w:pPr>
        <w:numPr>
          <w:ilvl w:val="0"/>
          <w:numId w:val="9"/>
        </w:numPr>
      </w:pPr>
      <w:r>
        <w:rPr>
          <w:rtl/>
        </w:rPr>
        <w:t>הכל חייבים בתפילין כהנים…- הו"א לפטור כהן כיון שנסמך מצוות תפילין של יד לתפילין של ראש. לפעמים</w:t>
      </w:r>
      <w:r>
        <w:rPr>
          <w:rStyle w:val="FootnoteAnchor"/>
          <w:rtl/>
        </w:rPr>
        <w:footnoteReference w:id="35"/>
      </w:r>
      <w:r>
        <w:rPr>
          <w:rtl/>
        </w:rPr>
        <w:t>, כהן פטור מתפ</w:t>
      </w:r>
      <w:r>
        <w:rPr>
          <w:rtl/>
        </w:rPr>
        <w:t>ילין של יד, שכ’, “ילבש על בשרו,” והרי בגדי כהונה חוצצים</w:t>
      </w:r>
      <w:r>
        <w:rPr>
          <w:rStyle w:val="FootnoteAnchor"/>
          <w:rtl/>
        </w:rPr>
        <w:footnoteReference w:id="36"/>
      </w:r>
      <w:r>
        <w:rPr>
          <w:rStyle w:val="FootnoteAnchor"/>
          <w:rtl/>
        </w:rPr>
        <w:footnoteReference w:id="37"/>
      </w:r>
      <w:r>
        <w:rPr>
          <w:rtl/>
        </w:rPr>
        <w:t>, ואז יפטור משל ראש.</w:t>
      </w:r>
    </w:p>
    <w:p w:rsidR="009E50E6" w:rsidRDefault="00833FFB">
      <w:pPr>
        <w:ind w:left="720"/>
      </w:pPr>
      <w:r>
        <w:rPr>
          <w:rtl/>
        </w:rPr>
        <w:t>המסקנא הוא שמי שאינו לובש תפילין של יד עדיין לובש תפילין של ראש.</w:t>
      </w:r>
    </w:p>
    <w:p w:rsidR="009E50E6" w:rsidRDefault="00833FFB">
      <w:pPr>
        <w:numPr>
          <w:ilvl w:val="0"/>
          <w:numId w:val="9"/>
        </w:numPr>
      </w:pPr>
      <w:r>
        <w:rPr>
          <w:rtl/>
        </w:rPr>
        <w:t>הכל חייבים בתק"ש כהנים…- מזכיר גמרא שני הו"א:</w:t>
      </w:r>
    </w:p>
    <w:p w:rsidR="009E50E6" w:rsidRDefault="00833FFB">
      <w:pPr>
        <w:numPr>
          <w:ilvl w:val="1"/>
          <w:numId w:val="9"/>
        </w:numPr>
      </w:pPr>
      <w:r>
        <w:rPr>
          <w:rtl/>
        </w:rPr>
        <w:t xml:space="preserve">הו"א לפטור כהן כיון שכ’, “יום תרועה,” שמשמע שצ"ל שזה בלחוד הוא יום </w:t>
      </w:r>
      <w:r>
        <w:rPr>
          <w:rtl/>
        </w:rPr>
        <w:t>תרועה. זה ממעט כהן כיון שתוקע כהן בחצוצרות בכל יום.</w:t>
      </w:r>
      <w:r>
        <w:rPr>
          <w:rStyle w:val="FootnoteAnchor"/>
          <w:rtl/>
        </w:rPr>
        <w:footnoteReference w:id="38"/>
      </w:r>
    </w:p>
    <w:p w:rsidR="009E50E6" w:rsidRDefault="00833FFB">
      <w:pPr>
        <w:ind w:left="1080"/>
      </w:pPr>
      <w:r>
        <w:rPr>
          <w:rtl/>
        </w:rPr>
        <w:t>דוחה גמ’ את זה כיון שאינם תקיעות שוות, שזה בשופר וזה בחצוצרות.</w:t>
      </w:r>
    </w:p>
    <w:p w:rsidR="009E50E6" w:rsidRDefault="00833FFB">
      <w:pPr>
        <w:numPr>
          <w:ilvl w:val="1"/>
          <w:numId w:val="9"/>
        </w:numPr>
      </w:pPr>
      <w:r>
        <w:rPr>
          <w:rtl/>
        </w:rPr>
        <w:t>הו"א לפטור כהן כיון ששוה מצות ר"ה ליובל. אז, כיון שכהנים אינם בכלל יובל, שמוכרים לעולם, לא יהיו בכלל קריאה.</w:t>
      </w:r>
    </w:p>
    <w:p w:rsidR="009E50E6" w:rsidRDefault="00833FFB">
      <w:pPr>
        <w:ind w:left="1080"/>
      </w:pPr>
      <w:r>
        <w:rPr>
          <w:rtl/>
        </w:rPr>
        <w:lastRenderedPageBreak/>
        <w:t>המסקנא הוא שנחשבים בכלל יובל, שש</w:t>
      </w:r>
      <w:r>
        <w:rPr>
          <w:rtl/>
        </w:rPr>
        <w:t xml:space="preserve">הם בהשמטת כסף ושילוח עבד. </w:t>
      </w:r>
      <w:r>
        <w:rPr>
          <w:b/>
          <w:bCs/>
          <w:rtl/>
        </w:rPr>
        <w:t>(</w:t>
      </w:r>
      <w:r>
        <w:rPr>
          <w:b/>
          <w:bCs/>
          <w:rtl/>
        </w:rPr>
        <w:t>ג</w:t>
      </w:r>
      <w:r>
        <w:rPr>
          <w:b/>
          <w:bCs/>
          <w:rtl/>
        </w:rPr>
        <w:t>:)</w:t>
      </w:r>
    </w:p>
    <w:p w:rsidR="009E50E6" w:rsidRDefault="00833FFB">
      <w:pPr>
        <w:numPr>
          <w:ilvl w:val="0"/>
          <w:numId w:val="9"/>
        </w:numPr>
      </w:pPr>
      <w:r>
        <w:rPr>
          <w:rtl/>
        </w:rPr>
        <w:t>הכל חייבים במקרא מגילה כהנים…</w:t>
      </w:r>
      <w:r>
        <w:rPr>
          <w:rtl/>
        </w:rPr>
        <w:t xml:space="preserve">- </w:t>
      </w:r>
      <w:r>
        <w:rPr>
          <w:rtl/>
        </w:rPr>
        <w:t>זה מרבה כהן בעבודתו</w:t>
      </w:r>
      <w:r>
        <w:rPr>
          <w:rtl/>
        </w:rPr>
        <w:t xml:space="preserve">, </w:t>
      </w:r>
      <w:r>
        <w:rPr>
          <w:rtl/>
        </w:rPr>
        <w:t>לוי בדוכנו</w:t>
      </w:r>
      <w:r>
        <w:rPr>
          <w:rtl/>
        </w:rPr>
        <w:t xml:space="preserve">, </w:t>
      </w:r>
      <w:r>
        <w:rPr>
          <w:rtl/>
        </w:rPr>
        <w:t>וישראל במעמדו</w:t>
      </w:r>
      <w:r>
        <w:rPr>
          <w:rtl/>
        </w:rPr>
        <w:t xml:space="preserve">. </w:t>
      </w:r>
      <w:r>
        <w:rPr>
          <w:rtl/>
        </w:rPr>
        <w:t>המקור לזה הוא שכ’</w:t>
      </w:r>
      <w:r>
        <w:rPr>
          <w:rtl/>
        </w:rPr>
        <w:t>, “</w:t>
      </w:r>
      <w:r>
        <w:rPr>
          <w:rtl/>
        </w:rPr>
        <w:t>משפחה ומשפחה</w:t>
      </w:r>
      <w:r>
        <w:rPr>
          <w:rtl/>
        </w:rPr>
        <w:t>" (</w:t>
      </w:r>
      <w:r>
        <w:rPr>
          <w:rtl/>
        </w:rPr>
        <w:t xml:space="preserve">מגילה </w:t>
      </w:r>
      <w:r>
        <w:rPr>
          <w:b/>
          <w:bCs/>
          <w:rtl/>
        </w:rPr>
        <w:t>ג</w:t>
      </w:r>
      <w:r>
        <w:rPr>
          <w:b/>
          <w:bCs/>
          <w:rtl/>
        </w:rPr>
        <w:t>.</w:t>
      </w:r>
      <w:r>
        <w:rPr>
          <w:rtl/>
        </w:rPr>
        <w:t>).</w:t>
      </w:r>
    </w:p>
    <w:p w:rsidR="009E50E6" w:rsidRDefault="00833FFB">
      <w:pPr>
        <w:numPr>
          <w:ilvl w:val="0"/>
          <w:numId w:val="9"/>
        </w:numPr>
      </w:pPr>
      <w:r>
        <w:rPr>
          <w:rtl/>
        </w:rPr>
        <w:t>הכל חייבים בזימון כהנים…</w:t>
      </w:r>
      <w:r>
        <w:rPr>
          <w:rtl/>
        </w:rPr>
        <w:t xml:space="preserve">- </w:t>
      </w:r>
      <w:r>
        <w:rPr>
          <w:rtl/>
        </w:rPr>
        <w:t>הו</w:t>
      </w:r>
      <w:r>
        <w:rPr>
          <w:rtl/>
        </w:rPr>
        <w:t>"</w:t>
      </w:r>
      <w:r>
        <w:rPr>
          <w:rtl/>
        </w:rPr>
        <w:t>א לפטור כהנים שאוכלים קדשים</w:t>
      </w:r>
      <w:r>
        <w:rPr>
          <w:rtl/>
        </w:rPr>
        <w:t xml:space="preserve">, </w:t>
      </w:r>
      <w:r>
        <w:rPr>
          <w:rtl/>
        </w:rPr>
        <w:t>שהוא כפרה ולא אכילה</w:t>
      </w:r>
      <w:r>
        <w:rPr>
          <w:rtl/>
        </w:rPr>
        <w:t xml:space="preserve">. </w:t>
      </w:r>
    </w:p>
    <w:p w:rsidR="009E50E6" w:rsidRDefault="00833FFB">
      <w:pPr>
        <w:ind w:left="720"/>
      </w:pPr>
      <w:r>
        <w:rPr>
          <w:rtl/>
        </w:rPr>
        <w:t xml:space="preserve">המסקנא הוא שבכלל </w:t>
      </w:r>
      <w:r>
        <w:rPr>
          <w:rtl/>
        </w:rPr>
        <w:t>"</w:t>
      </w:r>
      <w:r>
        <w:rPr>
          <w:rtl/>
        </w:rPr>
        <w:t>ואכלת ושבעת</w:t>
      </w:r>
      <w:r>
        <w:rPr>
          <w:rtl/>
        </w:rPr>
        <w:t xml:space="preserve">" </w:t>
      </w:r>
      <w:r>
        <w:rPr>
          <w:rtl/>
        </w:rPr>
        <w:t>הוא</w:t>
      </w:r>
      <w:r>
        <w:rPr>
          <w:rtl/>
        </w:rPr>
        <w:t>.</w:t>
      </w:r>
      <w:r>
        <w:rPr>
          <w:rStyle w:val="FootnoteAnchor"/>
          <w:rtl/>
        </w:rPr>
        <w:footnoteReference w:id="39"/>
      </w:r>
    </w:p>
    <w:p w:rsidR="009E50E6" w:rsidRDefault="00833FFB">
      <w:pPr>
        <w:numPr>
          <w:ilvl w:val="0"/>
          <w:numId w:val="9"/>
        </w:numPr>
      </w:pPr>
      <w:r>
        <w:rPr>
          <w:rtl/>
        </w:rPr>
        <w:t>הכל מצטרפים לזימון כהנים…</w:t>
      </w:r>
      <w:r>
        <w:rPr>
          <w:rtl/>
        </w:rPr>
        <w:t xml:space="preserve">- </w:t>
      </w:r>
      <w:r>
        <w:rPr>
          <w:rtl/>
        </w:rPr>
        <w:t>זה מרבה ציור שאסורים לזרים לאכול מה שכהן אוכל</w:t>
      </w:r>
      <w:r>
        <w:rPr>
          <w:rtl/>
        </w:rPr>
        <w:t xml:space="preserve">. </w:t>
      </w:r>
      <w:r>
        <w:rPr>
          <w:rtl/>
        </w:rPr>
        <w:t>הו</w:t>
      </w:r>
      <w:r>
        <w:rPr>
          <w:rtl/>
        </w:rPr>
        <w:t>"</w:t>
      </w:r>
      <w:r>
        <w:rPr>
          <w:rtl/>
        </w:rPr>
        <w:t>א שאז לא מצטרפים</w:t>
      </w:r>
      <w:r>
        <w:rPr>
          <w:rtl/>
        </w:rPr>
        <w:t>.</w:t>
      </w:r>
    </w:p>
    <w:p w:rsidR="009E50E6" w:rsidRDefault="00833FFB">
      <w:pPr>
        <w:ind w:left="720"/>
      </w:pPr>
      <w:r>
        <w:rPr>
          <w:rtl/>
        </w:rPr>
        <w:t>המסקנא הוא שכיון שכהן יכול לאכול מה שזר אוכל</w:t>
      </w:r>
      <w:r>
        <w:rPr>
          <w:rtl/>
        </w:rPr>
        <w:t xml:space="preserve">, </w:t>
      </w:r>
      <w:r>
        <w:rPr>
          <w:rtl/>
        </w:rPr>
        <w:t>מצטרפים</w:t>
      </w:r>
      <w:r>
        <w:rPr>
          <w:rtl/>
        </w:rPr>
        <w:t>.</w:t>
      </w:r>
    </w:p>
    <w:p w:rsidR="009E50E6" w:rsidRDefault="00833FFB">
      <w:pPr>
        <w:numPr>
          <w:ilvl w:val="0"/>
          <w:numId w:val="9"/>
        </w:numPr>
      </w:pPr>
      <w:r>
        <w:rPr>
          <w:rtl/>
        </w:rPr>
        <w:t>הכל מעריכים כהן…</w:t>
      </w:r>
      <w:r>
        <w:rPr>
          <w:rtl/>
        </w:rPr>
        <w:t xml:space="preserve">- </w:t>
      </w:r>
      <w:r>
        <w:rPr>
          <w:rtl/>
        </w:rPr>
        <w:t>זה מרבה כהן לערכין</w:t>
      </w:r>
      <w:r>
        <w:rPr>
          <w:rtl/>
        </w:rPr>
        <w:t xml:space="preserve">. </w:t>
      </w:r>
      <w:r>
        <w:rPr>
          <w:rtl/>
        </w:rPr>
        <w:t xml:space="preserve">עיין לעיל </w:t>
      </w:r>
      <w:r>
        <w:rPr>
          <w:rtl/>
        </w:rPr>
        <w:t>(</w:t>
      </w:r>
      <w:r>
        <w:rPr>
          <w:rtl/>
        </w:rPr>
        <w:t>שטת רבה</w:t>
      </w:r>
      <w:r>
        <w:rPr>
          <w:rtl/>
        </w:rPr>
        <w:t xml:space="preserve">, </w:t>
      </w:r>
      <w:r>
        <w:rPr>
          <w:rtl/>
        </w:rPr>
        <w:t>רבא</w:t>
      </w:r>
      <w:r>
        <w:rPr>
          <w:rtl/>
        </w:rPr>
        <w:t xml:space="preserve">, </w:t>
      </w:r>
      <w:r>
        <w:rPr>
          <w:rtl/>
        </w:rPr>
        <w:t>ואביי</w:t>
      </w:r>
      <w:r>
        <w:rPr>
          <w:rtl/>
        </w:rPr>
        <w:t xml:space="preserve">) </w:t>
      </w:r>
      <w:r>
        <w:rPr>
          <w:rtl/>
        </w:rPr>
        <w:t>לביאור זה</w:t>
      </w:r>
      <w:r>
        <w:rPr>
          <w:rtl/>
        </w:rPr>
        <w:t xml:space="preserve">. </w:t>
      </w:r>
      <w:r>
        <w:rPr>
          <w:b/>
          <w:bCs/>
          <w:rtl/>
        </w:rPr>
        <w:t>(</w:t>
      </w:r>
      <w:r>
        <w:rPr>
          <w:b/>
          <w:bCs/>
          <w:rtl/>
        </w:rPr>
        <w:t>ד</w:t>
      </w:r>
      <w:r>
        <w:rPr>
          <w:b/>
          <w:bCs/>
          <w:rtl/>
        </w:rPr>
        <w:t>.)</w:t>
      </w:r>
    </w:p>
    <w:p w:rsidR="009E50E6" w:rsidRDefault="00833FFB">
      <w:pPr>
        <w:pStyle w:val="Heading1"/>
      </w:pPr>
      <w:r>
        <w:rPr>
          <w:rtl/>
        </w:rPr>
        <w:t>מ</w:t>
      </w:r>
      <w:r>
        <w:rPr>
          <w:rtl/>
        </w:rPr>
        <w:t>י בכלל תמורה וסמיכה</w:t>
      </w:r>
    </w:p>
    <w:p w:rsidR="009E50E6" w:rsidRDefault="00833FFB">
      <w:pPr>
        <w:pStyle w:val="Heading2"/>
        <w:rPr>
          <w:b w:val="0"/>
          <w:bCs w:val="0"/>
        </w:rPr>
      </w:pPr>
      <w:r>
        <w:rPr>
          <w:b w:val="0"/>
          <w:bCs w:val="0"/>
          <w:rtl/>
        </w:rPr>
        <w:t xml:space="preserve">כתיב גבי סמיכה </w:t>
      </w:r>
      <w:r>
        <w:rPr>
          <w:b w:val="0"/>
          <w:bCs w:val="0"/>
          <w:rtl/>
        </w:rPr>
        <w:t>"</w:t>
      </w:r>
      <w:r>
        <w:rPr>
          <w:b w:val="0"/>
          <w:bCs w:val="0"/>
          <w:rtl/>
        </w:rPr>
        <w:t>קרבנו</w:t>
      </w:r>
      <w:r>
        <w:rPr>
          <w:b w:val="0"/>
          <w:bCs w:val="0"/>
          <w:rtl/>
        </w:rPr>
        <w:t xml:space="preserve">" </w:t>
      </w:r>
      <w:r>
        <w:rPr>
          <w:rtl/>
        </w:rPr>
        <w:t>שלש</w:t>
      </w:r>
      <w:r>
        <w:rPr>
          <w:b w:val="0"/>
          <w:bCs w:val="0"/>
          <w:rtl/>
        </w:rPr>
        <w:t xml:space="preserve"> פעמים</w:t>
      </w:r>
      <w:r>
        <w:rPr>
          <w:b w:val="0"/>
          <w:bCs w:val="0"/>
          <w:rtl/>
        </w:rPr>
        <w:t xml:space="preserve">. </w:t>
      </w:r>
      <w:r>
        <w:rPr>
          <w:b w:val="0"/>
          <w:bCs w:val="0"/>
          <w:rtl/>
        </w:rPr>
        <w:t xml:space="preserve">יש </w:t>
      </w:r>
      <w:r>
        <w:rPr>
          <w:rtl/>
        </w:rPr>
        <w:t>ארבע</w:t>
      </w:r>
      <w:r>
        <w:rPr>
          <w:b w:val="0"/>
          <w:bCs w:val="0"/>
          <w:rtl/>
        </w:rPr>
        <w:t xml:space="preserve"> דברים לדרוש מהם</w:t>
      </w:r>
      <w:r>
        <w:rPr>
          <w:b w:val="0"/>
          <w:bCs w:val="0"/>
          <w:rtl/>
        </w:rPr>
        <w:t>:</w:t>
      </w:r>
    </w:p>
    <w:p w:rsidR="009E50E6" w:rsidRDefault="00833FFB">
      <w:pPr>
        <w:numPr>
          <w:ilvl w:val="0"/>
          <w:numId w:val="11"/>
        </w:numPr>
      </w:pPr>
      <w:r>
        <w:rPr>
          <w:rtl/>
        </w:rPr>
        <w:t>למעט סמיכה על קרבן שהיה של אביו (זה הנקרא "יורש").</w:t>
      </w:r>
    </w:p>
    <w:p w:rsidR="009E50E6" w:rsidRDefault="00833FFB">
      <w:pPr>
        <w:numPr>
          <w:ilvl w:val="0"/>
          <w:numId w:val="11"/>
        </w:numPr>
      </w:pPr>
      <w:r>
        <w:rPr>
          <w:rtl/>
        </w:rPr>
        <w:t>למעט סמיכה על קרבן חברו.</w:t>
      </w:r>
      <w:r>
        <w:rPr>
          <w:rStyle w:val="FootnoteAnchor"/>
          <w:rtl/>
        </w:rPr>
        <w:footnoteReference w:id="40"/>
      </w:r>
    </w:p>
    <w:p w:rsidR="009E50E6" w:rsidRDefault="00833FFB">
      <w:pPr>
        <w:numPr>
          <w:ilvl w:val="0"/>
          <w:numId w:val="11"/>
        </w:numPr>
      </w:pPr>
      <w:r>
        <w:rPr>
          <w:rtl/>
        </w:rPr>
        <w:t>למעט סמיכה על קרבן ע"כ.</w:t>
      </w:r>
      <w:r>
        <w:rPr>
          <w:rStyle w:val="FootnoteAnchor"/>
          <w:rtl/>
        </w:rPr>
        <w:footnoteReference w:id="41"/>
      </w:r>
    </w:p>
    <w:p w:rsidR="009E50E6" w:rsidRDefault="00833FFB">
      <w:pPr>
        <w:numPr>
          <w:ilvl w:val="0"/>
          <w:numId w:val="11"/>
        </w:numPr>
      </w:pPr>
      <w:r>
        <w:rPr>
          <w:rtl/>
        </w:rPr>
        <w:t>לומר שכל אחד משותפי קרבן צריך לסמוך.</w:t>
      </w:r>
      <w:r>
        <w:rPr>
          <w:rStyle w:val="FootnoteAnchor"/>
          <w:rtl/>
        </w:rPr>
        <w:footnoteReference w:id="42"/>
      </w:r>
    </w:p>
    <w:p w:rsidR="009E50E6" w:rsidRDefault="00833FFB">
      <w:r>
        <w:rPr>
          <w:rtl/>
        </w:rPr>
        <w:t>חולקים רבי יהודה ורבנן בדין ראשון (</w:t>
      </w:r>
      <w:r>
        <w:rPr>
          <w:rtl/>
        </w:rPr>
        <w:t>רבנן אומרים שסומך, ורבי יהודה אומר שלא סומך). אז, יחלקו בדרשות של שלש פסוקים של "וקרבנו.”</w:t>
      </w:r>
    </w:p>
    <w:p w:rsidR="009E50E6" w:rsidRDefault="00833FFB">
      <w:pPr>
        <w:pStyle w:val="Heading2"/>
        <w:rPr>
          <w:b w:val="0"/>
          <w:bCs w:val="0"/>
        </w:rPr>
      </w:pPr>
      <w:r>
        <w:rPr>
          <w:b w:val="0"/>
          <w:bCs w:val="0"/>
          <w:rtl/>
        </w:rPr>
        <w:t>רבנן דורשים השלש למעט שני</w:t>
      </w:r>
      <w:r>
        <w:rPr>
          <w:b w:val="0"/>
          <w:bCs w:val="0"/>
          <w:rtl/>
        </w:rPr>
        <w:t xml:space="preserve">, </w:t>
      </w:r>
      <w:r>
        <w:rPr>
          <w:b w:val="0"/>
          <w:bCs w:val="0"/>
          <w:rtl/>
        </w:rPr>
        <w:t>שלישי</w:t>
      </w:r>
      <w:r>
        <w:rPr>
          <w:b w:val="0"/>
          <w:bCs w:val="0"/>
          <w:rtl/>
        </w:rPr>
        <w:t xml:space="preserve">, </w:t>
      </w:r>
      <w:r>
        <w:rPr>
          <w:b w:val="0"/>
          <w:bCs w:val="0"/>
          <w:rtl/>
        </w:rPr>
        <w:t>ורביעי</w:t>
      </w:r>
      <w:r>
        <w:rPr>
          <w:b w:val="0"/>
          <w:bCs w:val="0"/>
          <w:rtl/>
        </w:rPr>
        <w:t xml:space="preserve">. </w:t>
      </w:r>
      <w:r>
        <w:rPr>
          <w:b w:val="0"/>
          <w:bCs w:val="0"/>
          <w:rtl/>
        </w:rPr>
        <w:t xml:space="preserve">לא דורשים למעט ראשון כיון שלומדים סוף הקדש </w:t>
      </w:r>
      <w:r>
        <w:rPr>
          <w:b w:val="0"/>
          <w:bCs w:val="0"/>
          <w:rtl/>
        </w:rPr>
        <w:t>(</w:t>
      </w:r>
      <w:r>
        <w:rPr>
          <w:b w:val="0"/>
          <w:bCs w:val="0"/>
          <w:rtl/>
        </w:rPr>
        <w:t>סמיכה</w:t>
      </w:r>
      <w:r>
        <w:rPr>
          <w:b w:val="0"/>
          <w:bCs w:val="0"/>
          <w:rtl/>
        </w:rPr>
        <w:t xml:space="preserve">) </w:t>
      </w:r>
      <w:r>
        <w:rPr>
          <w:b w:val="0"/>
          <w:bCs w:val="0"/>
          <w:rtl/>
        </w:rPr>
        <w:t xml:space="preserve">מתחילת הקדש </w:t>
      </w:r>
      <w:r>
        <w:rPr>
          <w:b w:val="0"/>
          <w:bCs w:val="0"/>
          <w:rtl/>
        </w:rPr>
        <w:t>(</w:t>
      </w:r>
      <w:r>
        <w:rPr>
          <w:b w:val="0"/>
          <w:bCs w:val="0"/>
          <w:rtl/>
        </w:rPr>
        <w:t>תמורה</w:t>
      </w:r>
      <w:r>
        <w:rPr>
          <w:b w:val="0"/>
          <w:bCs w:val="0"/>
          <w:rtl/>
        </w:rPr>
        <w:t xml:space="preserve">). </w:t>
      </w:r>
      <w:r>
        <w:rPr>
          <w:b w:val="0"/>
          <w:bCs w:val="0"/>
          <w:rtl/>
        </w:rPr>
        <w:t>שם כ’</w:t>
      </w:r>
      <w:r>
        <w:rPr>
          <w:b w:val="0"/>
          <w:bCs w:val="0"/>
          <w:rtl/>
        </w:rPr>
        <w:t>, “</w:t>
      </w:r>
      <w:r>
        <w:rPr>
          <w:b w:val="0"/>
          <w:bCs w:val="0"/>
          <w:rtl/>
        </w:rPr>
        <w:t>המר ימיר</w:t>
      </w:r>
      <w:r>
        <w:rPr>
          <w:b w:val="0"/>
          <w:bCs w:val="0"/>
          <w:rtl/>
        </w:rPr>
        <w:t xml:space="preserve">.” </w:t>
      </w:r>
      <w:r>
        <w:rPr>
          <w:b w:val="0"/>
          <w:bCs w:val="0"/>
          <w:rtl/>
        </w:rPr>
        <w:t>רבנן דורשים שזה מרבה יורש</w:t>
      </w:r>
      <w:r>
        <w:rPr>
          <w:b w:val="0"/>
          <w:bCs w:val="0"/>
          <w:rtl/>
        </w:rPr>
        <w:t>.</w:t>
      </w:r>
      <w:r>
        <w:rPr>
          <w:rStyle w:val="FootnoteAnchor"/>
          <w:b w:val="0"/>
          <w:bCs w:val="0"/>
          <w:rtl/>
        </w:rPr>
        <w:footnoteReference w:id="43"/>
      </w:r>
    </w:p>
    <w:p w:rsidR="009E50E6" w:rsidRDefault="00833FFB">
      <w:r>
        <w:rPr>
          <w:rtl/>
        </w:rPr>
        <w:t>יש שנ</w:t>
      </w:r>
      <w:r>
        <w:rPr>
          <w:rtl/>
        </w:rPr>
        <w:t>י צדדים בדרשת רבי יהודה:</w:t>
      </w:r>
    </w:p>
    <w:p w:rsidR="009E50E6" w:rsidRDefault="00833FFB">
      <w:pPr>
        <w:numPr>
          <w:ilvl w:val="0"/>
          <w:numId w:val="12"/>
        </w:numPr>
      </w:pPr>
      <w:r>
        <w:rPr>
          <w:rtl/>
        </w:rPr>
        <w:t>דורש ראשון, שני, שלישי, וחולק בדין על רביעי (וסובר שאחד סומך לכולם).</w:t>
      </w:r>
    </w:p>
    <w:p w:rsidR="009E50E6" w:rsidRDefault="00833FFB">
      <w:pPr>
        <w:numPr>
          <w:ilvl w:val="0"/>
          <w:numId w:val="12"/>
        </w:numPr>
      </w:pPr>
      <w:r>
        <w:rPr>
          <w:rtl/>
        </w:rPr>
        <w:t>דורש כולם, ודורש שני ושלישי מאותו קרא</w:t>
      </w:r>
      <w:r>
        <w:rPr>
          <w:rStyle w:val="FootnoteAnchor"/>
          <w:rtl/>
        </w:rPr>
        <w:footnoteReference w:id="44"/>
      </w:r>
      <w:r>
        <w:rPr>
          <w:rtl/>
        </w:rPr>
        <w:t xml:space="preserve">. </w:t>
      </w:r>
      <w:r>
        <w:rPr>
          <w:b/>
          <w:bCs/>
          <w:rtl/>
        </w:rPr>
        <w:t>(</w:t>
      </w:r>
      <w:r>
        <w:rPr>
          <w:b/>
          <w:bCs/>
          <w:rtl/>
        </w:rPr>
        <w:t>ב</w:t>
      </w:r>
      <w:r>
        <w:rPr>
          <w:b/>
          <w:bCs/>
          <w:rtl/>
        </w:rPr>
        <w:t>)</w:t>
      </w:r>
    </w:p>
    <w:p w:rsidR="009E50E6" w:rsidRDefault="00833FFB">
      <w:pPr>
        <w:pStyle w:val="Heading1"/>
      </w:pPr>
      <w:r>
        <w:rPr>
          <w:rtl/>
        </w:rPr>
        <w:t>דרשת "בערכך נפשות"</w:t>
      </w:r>
    </w:p>
    <w:p w:rsidR="009E50E6" w:rsidRDefault="00833FFB">
      <w:r>
        <w:rPr>
          <w:rtl/>
        </w:rPr>
        <w:t xml:space="preserve">כ’, “בערכך נפשות.” גמ’ </w:t>
      </w:r>
      <w:r>
        <w:rPr>
          <w:b/>
          <w:bCs/>
          <w:rtl/>
        </w:rPr>
        <w:t>(</w:t>
      </w:r>
      <w:r>
        <w:rPr>
          <w:b/>
          <w:bCs/>
          <w:rtl/>
        </w:rPr>
        <w:t>ד</w:t>
      </w:r>
      <w:r>
        <w:rPr>
          <w:b/>
          <w:bCs/>
          <w:rtl/>
        </w:rPr>
        <w:t>)</w:t>
      </w:r>
      <w:r>
        <w:rPr>
          <w:rtl/>
        </w:rPr>
        <w:t xml:space="preserve"> </w:t>
      </w:r>
      <w:r>
        <w:rPr>
          <w:rtl/>
        </w:rPr>
        <w:t>לומד כמה דרשות מזה</w:t>
      </w:r>
      <w:r>
        <w:rPr>
          <w:rtl/>
        </w:rPr>
        <w:t>:</w:t>
      </w:r>
    </w:p>
    <w:p w:rsidR="009E50E6" w:rsidRDefault="00833FFB">
      <w:pPr>
        <w:pStyle w:val="Heading2"/>
        <w:numPr>
          <w:ilvl w:val="0"/>
          <w:numId w:val="2"/>
        </w:numPr>
      </w:pPr>
      <w:r>
        <w:rPr>
          <w:b w:val="0"/>
          <w:bCs w:val="0"/>
          <w:rtl/>
        </w:rPr>
        <w:t xml:space="preserve">לומדים </w:t>
      </w:r>
      <w:r>
        <w:rPr>
          <w:rtl/>
        </w:rPr>
        <w:t>שני</w:t>
      </w:r>
      <w:r>
        <w:rPr>
          <w:b w:val="0"/>
          <w:bCs w:val="0"/>
          <w:rtl/>
        </w:rPr>
        <w:t xml:space="preserve"> דרשות מ</w:t>
      </w:r>
      <w:r>
        <w:rPr>
          <w:b w:val="0"/>
          <w:bCs w:val="0"/>
          <w:rtl/>
        </w:rPr>
        <w:t>"</w:t>
      </w:r>
      <w:r>
        <w:rPr>
          <w:b w:val="0"/>
          <w:bCs w:val="0"/>
          <w:rtl/>
        </w:rPr>
        <w:t>בערכך</w:t>
      </w:r>
      <w:r>
        <w:rPr>
          <w:b w:val="0"/>
          <w:bCs w:val="0"/>
          <w:rtl/>
        </w:rPr>
        <w:t>":</w:t>
      </w:r>
    </w:p>
    <w:p w:rsidR="009E50E6" w:rsidRDefault="00833FFB">
      <w:pPr>
        <w:numPr>
          <w:ilvl w:val="0"/>
          <w:numId w:val="13"/>
        </w:numPr>
      </w:pPr>
      <w:r>
        <w:rPr>
          <w:rtl/>
        </w:rPr>
        <w:t>מ</w:t>
      </w:r>
      <w:r>
        <w:rPr>
          <w:rtl/>
        </w:rPr>
        <w:t>"</w:t>
      </w:r>
      <w:r>
        <w:rPr>
          <w:rtl/>
        </w:rPr>
        <w:t>ערכך</w:t>
      </w:r>
      <w:r>
        <w:rPr>
          <w:rtl/>
        </w:rPr>
        <w:t xml:space="preserve">" </w:t>
      </w:r>
      <w:r>
        <w:rPr>
          <w:rtl/>
        </w:rPr>
        <w:t xml:space="preserve">דורשים </w:t>
      </w:r>
      <w:r>
        <w:rPr>
          <w:rtl/>
        </w:rPr>
        <w:t>"</w:t>
      </w:r>
      <w:r>
        <w:rPr>
          <w:rtl/>
        </w:rPr>
        <w:t>ערך סתם</w:t>
      </w:r>
      <w:r>
        <w:rPr>
          <w:rtl/>
        </w:rPr>
        <w:t>.”</w:t>
      </w:r>
      <w:r>
        <w:rPr>
          <w:rtl/>
        </w:rPr>
        <w:t xml:space="preserve"> </w:t>
      </w:r>
      <w:r>
        <w:rPr>
          <w:rtl/>
        </w:rPr>
        <w:t>ערך סתם הוא כשאדם אומר ערך</w:t>
      </w:r>
      <w:r>
        <w:rPr>
          <w:rtl/>
        </w:rPr>
        <w:t xml:space="preserve">, </w:t>
      </w:r>
      <w:r>
        <w:rPr>
          <w:rtl/>
        </w:rPr>
        <w:t>ולא מזכיר של איזה איש</w:t>
      </w:r>
      <w:r>
        <w:rPr>
          <w:rtl/>
        </w:rPr>
        <w:t xml:space="preserve">. </w:t>
      </w:r>
      <w:r>
        <w:rPr>
          <w:rtl/>
        </w:rPr>
        <w:t xml:space="preserve">חייב ערך הפחות </w:t>
      </w:r>
      <w:r>
        <w:rPr>
          <w:rtl/>
        </w:rPr>
        <w:t>(</w:t>
      </w:r>
      <w:r>
        <w:rPr>
          <w:rtl/>
        </w:rPr>
        <w:t>שתפסת מועט תפסת</w:t>
      </w:r>
      <w:r>
        <w:rPr>
          <w:rtl/>
        </w:rPr>
        <w:t xml:space="preserve">). </w:t>
      </w:r>
      <w:r>
        <w:rPr>
          <w:rtl/>
        </w:rPr>
        <w:t>יש שני לשונות בגמרא מה קרא זה אומר</w:t>
      </w:r>
      <w:r>
        <w:rPr>
          <w:rtl/>
        </w:rPr>
        <w:t>:</w:t>
      </w:r>
    </w:p>
    <w:p w:rsidR="009E50E6" w:rsidRDefault="00833FFB">
      <w:pPr>
        <w:numPr>
          <w:ilvl w:val="1"/>
          <w:numId w:val="13"/>
        </w:numPr>
      </w:pPr>
      <w:r>
        <w:rPr>
          <w:rtl/>
        </w:rPr>
        <w:t>לא נידון בהשג יד</w:t>
      </w:r>
      <w:r>
        <w:rPr>
          <w:rtl/>
        </w:rPr>
        <w:t>.</w:t>
      </w:r>
      <w:r>
        <w:rPr>
          <w:rStyle w:val="FootnoteAnchor"/>
          <w:rtl/>
        </w:rPr>
        <w:footnoteReference w:id="45"/>
      </w:r>
    </w:p>
    <w:p w:rsidR="009E50E6" w:rsidRDefault="00833FFB">
      <w:pPr>
        <w:numPr>
          <w:ilvl w:val="1"/>
          <w:numId w:val="13"/>
        </w:numPr>
      </w:pPr>
      <w:r>
        <w:rPr>
          <w:rtl/>
        </w:rPr>
        <w:t>נידון בהשג יד</w:t>
      </w:r>
      <w:r>
        <w:rPr>
          <w:rtl/>
        </w:rPr>
        <w:t>.</w:t>
      </w:r>
    </w:p>
    <w:p w:rsidR="009E50E6" w:rsidRDefault="00833FFB">
      <w:pPr>
        <w:numPr>
          <w:ilvl w:val="0"/>
          <w:numId w:val="13"/>
        </w:numPr>
      </w:pPr>
      <w:r>
        <w:rPr>
          <w:rtl/>
        </w:rPr>
        <w:t>מ</w:t>
      </w:r>
      <w:r>
        <w:rPr>
          <w:rtl/>
        </w:rPr>
        <w:t>"</w:t>
      </w:r>
      <w:r>
        <w:rPr>
          <w:rtl/>
        </w:rPr>
        <w:t>בערכך</w:t>
      </w:r>
      <w:r>
        <w:rPr>
          <w:rtl/>
        </w:rPr>
        <w:t xml:space="preserve">" </w:t>
      </w:r>
      <w:r>
        <w:rPr>
          <w:rtl/>
        </w:rPr>
        <w:t>דורשים שאין ערכים לאיברים</w:t>
      </w:r>
      <w:r>
        <w:rPr>
          <w:rtl/>
        </w:rPr>
        <w:t>.</w:t>
      </w:r>
    </w:p>
    <w:p w:rsidR="009E50E6" w:rsidRDefault="00833FFB">
      <w:pPr>
        <w:pStyle w:val="Heading2"/>
        <w:numPr>
          <w:ilvl w:val="0"/>
          <w:numId w:val="2"/>
        </w:numPr>
      </w:pPr>
      <w:r>
        <w:rPr>
          <w:b w:val="0"/>
          <w:bCs w:val="0"/>
          <w:rtl/>
        </w:rPr>
        <w:t xml:space="preserve">לומדים </w:t>
      </w:r>
      <w:r>
        <w:rPr>
          <w:rtl/>
        </w:rPr>
        <w:t>ארבע</w:t>
      </w:r>
      <w:r>
        <w:rPr>
          <w:b w:val="0"/>
          <w:bCs w:val="0"/>
          <w:rtl/>
        </w:rPr>
        <w:t xml:space="preserve"> דרשות מ</w:t>
      </w:r>
      <w:r>
        <w:rPr>
          <w:b w:val="0"/>
          <w:bCs w:val="0"/>
          <w:rtl/>
        </w:rPr>
        <w:t>"</w:t>
      </w:r>
      <w:r>
        <w:rPr>
          <w:b w:val="0"/>
          <w:bCs w:val="0"/>
          <w:rtl/>
        </w:rPr>
        <w:t>נפשות</w:t>
      </w:r>
      <w:r>
        <w:rPr>
          <w:b w:val="0"/>
          <w:bCs w:val="0"/>
          <w:rtl/>
        </w:rPr>
        <w:t>":</w:t>
      </w:r>
    </w:p>
    <w:p w:rsidR="009E50E6" w:rsidRDefault="00833FFB">
      <w:pPr>
        <w:numPr>
          <w:ilvl w:val="0"/>
          <w:numId w:val="15"/>
        </w:numPr>
      </w:pPr>
      <w:r>
        <w:rPr>
          <w:rtl/>
        </w:rPr>
        <w:t>מ</w:t>
      </w:r>
      <w:r>
        <w:rPr>
          <w:rtl/>
        </w:rPr>
        <w:t>"</w:t>
      </w:r>
      <w:r>
        <w:rPr>
          <w:rtl/>
        </w:rPr>
        <w:t>נפש</w:t>
      </w:r>
      <w:r>
        <w:rPr>
          <w:rtl/>
        </w:rPr>
        <w:t xml:space="preserve">,” </w:t>
      </w:r>
      <w:r>
        <w:rPr>
          <w:rtl/>
        </w:rPr>
        <w:t xml:space="preserve">דורשים שלש דרשות </w:t>
      </w:r>
      <w:r>
        <w:rPr>
          <w:rtl/>
        </w:rPr>
        <w:t>(</w:t>
      </w:r>
      <w:r>
        <w:rPr>
          <w:rtl/>
        </w:rPr>
        <w:t>ששקולים הם</w:t>
      </w:r>
      <w:r>
        <w:rPr>
          <w:rtl/>
        </w:rPr>
        <w:t xml:space="preserve"> להידרש</w:t>
      </w:r>
      <w:r>
        <w:rPr>
          <w:rtl/>
        </w:rPr>
        <w:t>):</w:t>
      </w:r>
    </w:p>
    <w:p w:rsidR="009E50E6" w:rsidRDefault="00833FFB">
      <w:pPr>
        <w:numPr>
          <w:ilvl w:val="1"/>
          <w:numId w:val="14"/>
        </w:numPr>
      </w:pPr>
      <w:r>
        <w:rPr>
          <w:rtl/>
        </w:rPr>
        <w:lastRenderedPageBreak/>
        <w:t>אם אדם מעריך אבר שהנשמה תלויה בה</w:t>
      </w:r>
      <w:r>
        <w:rPr>
          <w:rtl/>
        </w:rPr>
        <w:t xml:space="preserve">, </w:t>
      </w:r>
      <w:r>
        <w:rPr>
          <w:rtl/>
        </w:rPr>
        <w:t>חייב לשלם ערך של כל הגוף</w:t>
      </w:r>
      <w:r>
        <w:rPr>
          <w:rtl/>
        </w:rPr>
        <w:t>.</w:t>
      </w:r>
    </w:p>
    <w:p w:rsidR="009E50E6" w:rsidRDefault="00833FFB">
      <w:pPr>
        <w:numPr>
          <w:ilvl w:val="1"/>
          <w:numId w:val="14"/>
        </w:numPr>
      </w:pPr>
      <w:r>
        <w:rPr>
          <w:rtl/>
        </w:rPr>
        <w:t xml:space="preserve">אם אחד העריך מאה </w:t>
      </w:r>
      <w:r>
        <w:rPr>
          <w:rtl/>
        </w:rPr>
        <w:t>(</w:t>
      </w:r>
      <w:r>
        <w:rPr>
          <w:rtl/>
        </w:rPr>
        <w:t>אמר</w:t>
      </w:r>
      <w:r>
        <w:rPr>
          <w:rtl/>
        </w:rPr>
        <w:t>, “</w:t>
      </w:r>
      <w:r>
        <w:rPr>
          <w:rtl/>
        </w:rPr>
        <w:t>ערך מאה עלי</w:t>
      </w:r>
      <w:r>
        <w:rPr>
          <w:rtl/>
        </w:rPr>
        <w:t xml:space="preserve">") </w:t>
      </w:r>
      <w:r>
        <w:rPr>
          <w:rtl/>
        </w:rPr>
        <w:t>חייב בכל ערכיהם</w:t>
      </w:r>
      <w:r>
        <w:rPr>
          <w:rtl/>
        </w:rPr>
        <w:t>.</w:t>
      </w:r>
      <w:r>
        <w:rPr>
          <w:rStyle w:val="FootnoteAnchor"/>
          <w:rtl/>
        </w:rPr>
        <w:footnoteReference w:id="46"/>
      </w:r>
    </w:p>
    <w:p w:rsidR="009E50E6" w:rsidRDefault="00833FFB">
      <w:pPr>
        <w:numPr>
          <w:ilvl w:val="1"/>
          <w:numId w:val="14"/>
        </w:numPr>
      </w:pPr>
      <w:r>
        <w:rPr>
          <w:rtl/>
        </w:rPr>
        <w:t>אם אשה העריכה</w:t>
      </w:r>
      <w:r>
        <w:rPr>
          <w:rtl/>
        </w:rPr>
        <w:t xml:space="preserve">, </w:t>
      </w:r>
      <w:r>
        <w:rPr>
          <w:rtl/>
        </w:rPr>
        <w:t>חייבת</w:t>
      </w:r>
      <w:r>
        <w:rPr>
          <w:rtl/>
        </w:rPr>
        <w:t>.</w:t>
      </w:r>
    </w:p>
    <w:p w:rsidR="009E50E6" w:rsidRDefault="00833FFB">
      <w:pPr>
        <w:numPr>
          <w:ilvl w:val="0"/>
          <w:numId w:val="14"/>
        </w:numPr>
      </w:pPr>
      <w:r>
        <w:rPr>
          <w:rtl/>
        </w:rPr>
        <w:t xml:space="preserve">מלשון רבים של </w:t>
      </w:r>
      <w:r>
        <w:rPr>
          <w:rtl/>
        </w:rPr>
        <w:t>"</w:t>
      </w:r>
      <w:r>
        <w:rPr>
          <w:rtl/>
        </w:rPr>
        <w:t>נפשות</w:t>
      </w:r>
      <w:r>
        <w:rPr>
          <w:rtl/>
        </w:rPr>
        <w:t xml:space="preserve">" </w:t>
      </w:r>
      <w:r>
        <w:rPr>
          <w:rtl/>
        </w:rPr>
        <w:t>דורשים שמנוול ומוכה שחין נערכים</w:t>
      </w:r>
      <w:r>
        <w:rPr>
          <w:rtl/>
        </w:rPr>
        <w:t xml:space="preserve">. </w:t>
      </w:r>
      <w:r>
        <w:rPr>
          <w:b/>
          <w:bCs/>
          <w:rtl/>
        </w:rPr>
        <w:t>(</w:t>
      </w:r>
      <w:r>
        <w:rPr>
          <w:b/>
          <w:bCs/>
          <w:rtl/>
        </w:rPr>
        <w:t>ד</w:t>
      </w:r>
      <w:r>
        <w:rPr>
          <w:b/>
          <w:bCs/>
          <w:rtl/>
        </w:rPr>
        <w:t>:)</w:t>
      </w:r>
    </w:p>
    <w:p w:rsidR="009E50E6" w:rsidRDefault="00833FFB">
      <w:pPr>
        <w:pStyle w:val="Heading1"/>
      </w:pPr>
      <w:r>
        <w:rPr>
          <w:rtl/>
        </w:rPr>
        <w:t>מקדיש אבר</w:t>
      </w:r>
    </w:p>
    <w:p w:rsidR="009E50E6" w:rsidRDefault="00833FFB">
      <w:r>
        <w:rPr>
          <w:rtl/>
        </w:rPr>
        <w:t xml:space="preserve">אם מקדיש אדם אבר שאין הנשמה תלויה בה, </w:t>
      </w:r>
      <w:r>
        <w:rPr>
          <w:rtl/>
        </w:rPr>
        <w:t>אז הדין הוא כך:</w:t>
      </w:r>
    </w:p>
    <w:p w:rsidR="009E50E6" w:rsidRDefault="00833FFB">
      <w:pPr>
        <w:numPr>
          <w:ilvl w:val="0"/>
          <w:numId w:val="16"/>
        </w:numPr>
      </w:pPr>
      <w:r>
        <w:rPr>
          <w:rtl/>
        </w:rPr>
        <w:t>אם נמכר אותו אבר (למשל, ראש פרה), אז נותן דמי אותו אבר.</w:t>
      </w:r>
    </w:p>
    <w:p w:rsidR="009E50E6" w:rsidRDefault="00833FFB">
      <w:pPr>
        <w:numPr>
          <w:ilvl w:val="0"/>
          <w:numId w:val="16"/>
        </w:numPr>
      </w:pPr>
      <w:r>
        <w:rPr>
          <w:rtl/>
        </w:rPr>
        <w:t xml:space="preserve">אם לא נמכר, חולקים רבא ואביי </w:t>
      </w:r>
      <w:r>
        <w:rPr>
          <w:b/>
          <w:bCs/>
          <w:rtl/>
        </w:rPr>
        <w:t>(</w:t>
      </w:r>
      <w:r>
        <w:rPr>
          <w:b/>
          <w:bCs/>
          <w:rtl/>
        </w:rPr>
        <w:t>יט</w:t>
      </w:r>
      <w:r>
        <w:rPr>
          <w:b/>
          <w:bCs/>
          <w:rtl/>
        </w:rPr>
        <w:t>:)</w:t>
      </w:r>
      <w:r>
        <w:rPr>
          <w:rtl/>
        </w:rPr>
        <w:t xml:space="preserve">. </w:t>
      </w:r>
      <w:r>
        <w:rPr>
          <w:rtl/>
        </w:rPr>
        <w:t>רבא אומר ששמים כמה יותר היה נותן אדם לעבד עם שני ידים לעבד עם יד אחד</w:t>
      </w:r>
      <w:r>
        <w:rPr>
          <w:rtl/>
        </w:rPr>
        <w:t xml:space="preserve">. </w:t>
      </w:r>
      <w:r>
        <w:rPr>
          <w:rtl/>
        </w:rPr>
        <w:t>נותן אותו ממון להקדש</w:t>
      </w:r>
      <w:r>
        <w:rPr>
          <w:rtl/>
        </w:rPr>
        <w:t xml:space="preserve">. </w:t>
      </w:r>
      <w:r>
        <w:rPr>
          <w:rtl/>
        </w:rPr>
        <w:t>אביי אומר ששמים כמה יותר היה נותן שעובד עם שני ידים לעבד</w:t>
      </w:r>
      <w:r>
        <w:rPr>
          <w:rtl/>
        </w:rPr>
        <w:t xml:space="preserve"> שעובד עם אחד </w:t>
      </w:r>
      <w:r>
        <w:rPr>
          <w:rtl/>
        </w:rPr>
        <w:t>(</w:t>
      </w:r>
      <w:r>
        <w:rPr>
          <w:rtl/>
        </w:rPr>
        <w:t>אבל לא קטוע</w:t>
      </w:r>
      <w:r>
        <w:rPr>
          <w:rtl/>
        </w:rPr>
        <w:t>).</w:t>
      </w:r>
      <w:r>
        <w:rPr>
          <w:rStyle w:val="FootnoteAnchor"/>
          <w:rtl/>
        </w:rPr>
        <w:footnoteReference w:id="47"/>
      </w:r>
    </w:p>
    <w:p w:rsidR="009E50E6" w:rsidRDefault="00833FFB">
      <w:r>
        <w:rPr>
          <w:rtl/>
        </w:rPr>
        <w:t>אם מקדיש אבר שנשמה תלויה בה (אף אם אינו אבר של מי שהוא בכלל ערכין</w:t>
      </w:r>
      <w:r>
        <w:rPr>
          <w:rStyle w:val="FootnoteAnchor"/>
          <w:rtl/>
        </w:rPr>
        <w:footnoteReference w:id="48"/>
      </w:r>
      <w:r>
        <w:rPr>
          <w:rtl/>
        </w:rPr>
        <w:t>):</w:t>
      </w:r>
    </w:p>
    <w:p w:rsidR="009E50E6" w:rsidRDefault="00833FFB">
      <w:pPr>
        <w:numPr>
          <w:ilvl w:val="0"/>
          <w:numId w:val="17"/>
        </w:numPr>
      </w:pPr>
      <w:r>
        <w:rPr>
          <w:rtl/>
        </w:rPr>
        <w:t>לבדק הבית, נידון בכבודו (חייב כל דמיו), כיון שכ’, “נפש.”</w:t>
      </w:r>
      <w:r>
        <w:rPr>
          <w:rStyle w:val="FootnoteAnchor"/>
          <w:rtl/>
        </w:rPr>
        <w:footnoteReference w:id="49"/>
      </w:r>
      <w:r>
        <w:rPr>
          <w:rtl/>
        </w:rPr>
        <w:t xml:space="preserve"> </w:t>
      </w:r>
      <w:r>
        <w:rPr>
          <w:b/>
          <w:bCs/>
          <w:rtl/>
        </w:rPr>
        <w:t>(</w:t>
      </w:r>
      <w:r>
        <w:rPr>
          <w:b/>
          <w:bCs/>
          <w:rtl/>
        </w:rPr>
        <w:t>ד</w:t>
      </w:r>
      <w:r>
        <w:rPr>
          <w:b/>
          <w:bCs/>
          <w:rtl/>
        </w:rPr>
        <w:t>:)</w:t>
      </w:r>
    </w:p>
    <w:p w:rsidR="009E50E6" w:rsidRDefault="00833FFB">
      <w:pPr>
        <w:numPr>
          <w:ilvl w:val="0"/>
          <w:numId w:val="17"/>
        </w:numPr>
      </w:pPr>
      <w:r>
        <w:rPr>
          <w:rtl/>
        </w:rPr>
        <w:t>למזבח</w:t>
      </w:r>
      <w:r>
        <w:rPr>
          <w:rtl/>
        </w:rPr>
        <w:t xml:space="preserve">, </w:t>
      </w:r>
      <w:r>
        <w:rPr>
          <w:rtl/>
        </w:rPr>
        <w:t>לא נידון בכבודו</w:t>
      </w:r>
      <w:r>
        <w:rPr>
          <w:rtl/>
        </w:rPr>
        <w:t xml:space="preserve">. </w:t>
      </w:r>
      <w:r>
        <w:rPr>
          <w:rtl/>
        </w:rPr>
        <w:t>אז</w:t>
      </w:r>
      <w:r>
        <w:rPr>
          <w:rtl/>
        </w:rPr>
        <w:t xml:space="preserve">, </w:t>
      </w:r>
      <w:r>
        <w:rPr>
          <w:rtl/>
        </w:rPr>
        <w:t>אם נמכר</w:t>
      </w:r>
      <w:r>
        <w:rPr>
          <w:rtl/>
        </w:rPr>
        <w:t xml:space="preserve">, </w:t>
      </w:r>
      <w:r>
        <w:rPr>
          <w:rtl/>
        </w:rPr>
        <w:t>נותן דמיו</w:t>
      </w:r>
      <w:r>
        <w:rPr>
          <w:rtl/>
        </w:rPr>
        <w:t xml:space="preserve">. </w:t>
      </w:r>
      <w:r>
        <w:rPr>
          <w:rtl/>
        </w:rPr>
        <w:t>אם לא נמכר</w:t>
      </w:r>
      <w:r>
        <w:rPr>
          <w:rtl/>
        </w:rPr>
        <w:t xml:space="preserve">, </w:t>
      </w:r>
      <w:r>
        <w:rPr>
          <w:rtl/>
        </w:rPr>
        <w:t xml:space="preserve">חולקים </w:t>
      </w:r>
      <w:r>
        <w:rPr>
          <w:rtl/>
        </w:rPr>
        <w:t>(</w:t>
      </w:r>
      <w:r>
        <w:rPr>
          <w:rtl/>
        </w:rPr>
        <w:t>ששניהם שותפים</w:t>
      </w:r>
      <w:r>
        <w:rPr>
          <w:rtl/>
        </w:rPr>
        <w:t>).</w:t>
      </w:r>
    </w:p>
    <w:p w:rsidR="009E50E6" w:rsidRDefault="00833FFB">
      <w:pPr>
        <w:pStyle w:val="Heading1"/>
      </w:pPr>
      <w:r>
        <w:rPr>
          <w:rtl/>
        </w:rPr>
        <w:t xml:space="preserve">הפשטת </w:t>
      </w:r>
      <w:r>
        <w:rPr>
          <w:rtl/>
        </w:rPr>
        <w:t>קדושה</w:t>
      </w:r>
    </w:p>
    <w:p w:rsidR="009E50E6" w:rsidRDefault="00833FFB">
      <w:r>
        <w:rPr>
          <w:rtl/>
        </w:rPr>
        <w:t>אם אדם מקדיש חלק מקרבן</w:t>
      </w:r>
      <w:r>
        <w:rPr>
          <w:rtl/>
        </w:rPr>
        <w:t xml:space="preserve">, </w:t>
      </w:r>
      <w:r>
        <w:rPr>
          <w:rtl/>
        </w:rPr>
        <w:t>פשט קדושה בכולה</w:t>
      </w:r>
      <w:r>
        <w:rPr>
          <w:rtl/>
        </w:rPr>
        <w:t xml:space="preserve">. </w:t>
      </w:r>
      <w:r>
        <w:rPr>
          <w:rtl/>
        </w:rPr>
        <w:t xml:space="preserve">יש </w:t>
      </w:r>
      <w:r>
        <w:rPr>
          <w:rtl/>
        </w:rPr>
        <w:t xml:space="preserve">----- </w:t>
      </w:r>
      <w:r>
        <w:rPr>
          <w:rtl/>
        </w:rPr>
        <w:t>יוצאים מן הכלל</w:t>
      </w:r>
      <w:r>
        <w:rPr>
          <w:rtl/>
        </w:rPr>
        <w:t>:</w:t>
      </w:r>
    </w:p>
    <w:p w:rsidR="009E50E6" w:rsidRDefault="00833FFB">
      <w:pPr>
        <w:numPr>
          <w:ilvl w:val="0"/>
          <w:numId w:val="18"/>
        </w:numPr>
      </w:pPr>
      <w:r>
        <w:rPr>
          <w:rtl/>
        </w:rPr>
        <w:t>אם לא קדש אבר שהנשמה תלויה בה</w:t>
      </w:r>
      <w:r>
        <w:rPr>
          <w:rtl/>
        </w:rPr>
        <w:t xml:space="preserve">. </w:t>
      </w:r>
      <w:r>
        <w:rPr>
          <w:rtl/>
        </w:rPr>
        <w:t>חולקים בזה ר</w:t>
      </w:r>
      <w:r>
        <w:rPr>
          <w:rtl/>
        </w:rPr>
        <w:t>"</w:t>
      </w:r>
      <w:r>
        <w:rPr>
          <w:rtl/>
        </w:rPr>
        <w:t>מ עם רבי יהודה רבי יוסי ור</w:t>
      </w:r>
      <w:r>
        <w:rPr>
          <w:rtl/>
        </w:rPr>
        <w:t>"</w:t>
      </w:r>
      <w:r>
        <w:rPr>
          <w:rtl/>
        </w:rPr>
        <w:t>ש</w:t>
      </w:r>
      <w:r>
        <w:rPr>
          <w:rtl/>
        </w:rPr>
        <w:t xml:space="preserve">. </w:t>
      </w:r>
      <w:r>
        <w:rPr>
          <w:rtl/>
        </w:rPr>
        <w:t>רבי מאיר סובר שלא פשט</w:t>
      </w:r>
      <w:r>
        <w:rPr>
          <w:rtl/>
        </w:rPr>
        <w:t xml:space="preserve">, </w:t>
      </w:r>
      <w:r>
        <w:rPr>
          <w:rtl/>
        </w:rPr>
        <w:t>שכ’</w:t>
      </w:r>
      <w:r>
        <w:rPr>
          <w:rtl/>
        </w:rPr>
        <w:t>, “</w:t>
      </w:r>
      <w:r>
        <w:rPr>
          <w:rtl/>
        </w:rPr>
        <w:t>כל אשר יתן ממנו לה’</w:t>
      </w:r>
      <w:r>
        <w:rPr>
          <w:rtl/>
        </w:rPr>
        <w:t xml:space="preserve">.” </w:t>
      </w:r>
      <w:r>
        <w:rPr>
          <w:rtl/>
        </w:rPr>
        <w:t>חולקים סוברים שפשט</w:t>
      </w:r>
      <w:r>
        <w:rPr>
          <w:rtl/>
        </w:rPr>
        <w:t xml:space="preserve">, </w:t>
      </w:r>
      <w:r>
        <w:rPr>
          <w:rtl/>
        </w:rPr>
        <w:t>שכ’ אח</w:t>
      </w:r>
      <w:r>
        <w:rPr>
          <w:rtl/>
        </w:rPr>
        <w:t>"</w:t>
      </w:r>
      <w:r>
        <w:rPr>
          <w:rtl/>
        </w:rPr>
        <w:t>כ</w:t>
      </w:r>
      <w:r>
        <w:rPr>
          <w:rtl/>
        </w:rPr>
        <w:t>, “</w:t>
      </w:r>
      <w:r>
        <w:rPr>
          <w:rtl/>
        </w:rPr>
        <w:t>יהיה קדש</w:t>
      </w:r>
      <w:r>
        <w:rPr>
          <w:rtl/>
        </w:rPr>
        <w:t xml:space="preserve">.” </w:t>
      </w:r>
      <w:r>
        <w:rPr>
          <w:b/>
          <w:bCs/>
          <w:rtl/>
        </w:rPr>
        <w:t>(</w:t>
      </w:r>
      <w:r>
        <w:rPr>
          <w:b/>
          <w:bCs/>
          <w:rtl/>
        </w:rPr>
        <w:t>ה</w:t>
      </w:r>
      <w:r>
        <w:rPr>
          <w:b/>
          <w:bCs/>
          <w:rtl/>
        </w:rPr>
        <w:t>.)</w:t>
      </w:r>
    </w:p>
    <w:p w:rsidR="009E50E6" w:rsidRDefault="00833FFB">
      <w:pPr>
        <w:numPr>
          <w:ilvl w:val="0"/>
          <w:numId w:val="18"/>
        </w:numPr>
      </w:pPr>
      <w:r>
        <w:rPr>
          <w:rtl/>
        </w:rPr>
        <w:t xml:space="preserve">אם צריך שני </w:t>
      </w:r>
      <w:r>
        <w:rPr>
          <w:rtl/>
        </w:rPr>
        <w:t>אגבים</w:t>
      </w:r>
      <w:r>
        <w:rPr>
          <w:rtl/>
        </w:rPr>
        <w:t xml:space="preserve">. </w:t>
      </w:r>
      <w:r>
        <w:rPr>
          <w:rtl/>
        </w:rPr>
        <w:t>זה אומר שדין זה הוא רק בקדוש קדושת גוף</w:t>
      </w:r>
      <w:r>
        <w:rPr>
          <w:rtl/>
        </w:rPr>
        <w:t xml:space="preserve">, </w:t>
      </w:r>
      <w:r>
        <w:rPr>
          <w:rtl/>
        </w:rPr>
        <w:t>אלא שקדוש קדושת דמים נעשה קדוש קה</w:t>
      </w:r>
      <w:r>
        <w:rPr>
          <w:rtl/>
        </w:rPr>
        <w:t>"</w:t>
      </w:r>
      <w:r>
        <w:rPr>
          <w:rtl/>
        </w:rPr>
        <w:t>ג</w:t>
      </w:r>
      <w:r>
        <w:rPr>
          <w:rtl/>
        </w:rPr>
        <w:t xml:space="preserve">, </w:t>
      </w:r>
      <w:r>
        <w:rPr>
          <w:rtl/>
        </w:rPr>
        <w:t>ובעל מום נעשה קדוש קדושת גוף</w:t>
      </w:r>
      <w:r>
        <w:rPr>
          <w:rtl/>
        </w:rPr>
        <w:t xml:space="preserve">. </w:t>
      </w:r>
      <w:r>
        <w:rPr>
          <w:rtl/>
        </w:rPr>
        <w:t>אם הקדיש אבר בעל מום לדמיו</w:t>
      </w:r>
      <w:r>
        <w:rPr>
          <w:rtl/>
        </w:rPr>
        <w:t xml:space="preserve">, </w:t>
      </w:r>
      <w:r>
        <w:rPr>
          <w:rtl/>
        </w:rPr>
        <w:t>לא נתקדש כולו בקה</w:t>
      </w:r>
      <w:r>
        <w:rPr>
          <w:rtl/>
        </w:rPr>
        <w:t>"</w:t>
      </w:r>
      <w:r>
        <w:rPr>
          <w:rtl/>
        </w:rPr>
        <w:t>ג</w:t>
      </w:r>
      <w:r>
        <w:rPr>
          <w:rtl/>
        </w:rPr>
        <w:t xml:space="preserve">, </w:t>
      </w:r>
      <w:r>
        <w:rPr>
          <w:rtl/>
        </w:rPr>
        <w:t>ואז לא פשטה ק’</w:t>
      </w:r>
      <w:r>
        <w:rPr>
          <w:rtl/>
        </w:rPr>
        <w:t xml:space="preserve">. </w:t>
      </w:r>
      <w:r>
        <w:rPr>
          <w:b/>
          <w:bCs/>
          <w:rtl/>
        </w:rPr>
        <w:t>(</w:t>
      </w:r>
      <w:r>
        <w:rPr>
          <w:b/>
          <w:bCs/>
          <w:rtl/>
        </w:rPr>
        <w:t>ה</w:t>
      </w:r>
      <w:r>
        <w:rPr>
          <w:b/>
          <w:bCs/>
          <w:rtl/>
        </w:rPr>
        <w:t>.)</w:t>
      </w:r>
    </w:p>
    <w:p w:rsidR="009E50E6" w:rsidRDefault="00833FFB">
      <w:pPr>
        <w:numPr>
          <w:ilvl w:val="0"/>
          <w:numId w:val="18"/>
        </w:numPr>
      </w:pPr>
      <w:r>
        <w:rPr>
          <w:rtl/>
        </w:rPr>
        <w:t>אם אין החפץ ראוי למזבח</w:t>
      </w:r>
      <w:r>
        <w:rPr>
          <w:rStyle w:val="FootnoteAnchor"/>
          <w:rtl/>
        </w:rPr>
        <w:footnoteReference w:id="50"/>
      </w:r>
      <w:r>
        <w:rPr>
          <w:rtl/>
        </w:rPr>
        <w:t xml:space="preserve">. </w:t>
      </w:r>
      <w:r>
        <w:rPr>
          <w:b/>
          <w:bCs/>
          <w:rtl/>
        </w:rPr>
        <w:t>(</w:t>
      </w:r>
      <w:r>
        <w:rPr>
          <w:b/>
          <w:bCs/>
          <w:rtl/>
        </w:rPr>
        <w:t>ד</w:t>
      </w:r>
      <w:r>
        <w:rPr>
          <w:b/>
          <w:bCs/>
          <w:rtl/>
        </w:rPr>
        <w:t>:)</w:t>
      </w:r>
    </w:p>
    <w:p w:rsidR="009E50E6" w:rsidRDefault="00833FFB">
      <w:pPr>
        <w:pStyle w:val="Heading1"/>
      </w:pPr>
      <w:r>
        <w:rPr>
          <w:rtl/>
        </w:rPr>
        <w:t>עובד כוכבים בערכין</w:t>
      </w:r>
    </w:p>
    <w:p w:rsidR="009E50E6" w:rsidRDefault="00833FFB">
      <w:r>
        <w:rPr>
          <w:rtl/>
        </w:rPr>
        <w:t xml:space="preserve">חולקים רבי מאיר ורבי </w:t>
      </w:r>
      <w:r>
        <w:rPr>
          <w:rtl/>
        </w:rPr>
        <w:t xml:space="preserve">יהודה בדין גוי בערכין. רבי מאיר סובר שנערך אבל לא מעריך, ורבי יהודה אומר שמעריך אבל לא נערך. גמרא </w:t>
      </w:r>
      <w:r>
        <w:rPr>
          <w:b/>
          <w:bCs/>
          <w:rtl/>
        </w:rPr>
        <w:t>(</w:t>
      </w:r>
      <w:r>
        <w:rPr>
          <w:b/>
          <w:bCs/>
          <w:rtl/>
        </w:rPr>
        <w:t>ה</w:t>
      </w:r>
      <w:r>
        <w:rPr>
          <w:b/>
          <w:bCs/>
          <w:rtl/>
        </w:rPr>
        <w:t>:)</w:t>
      </w:r>
      <w:r>
        <w:rPr>
          <w:rtl/>
        </w:rPr>
        <w:t xml:space="preserve"> </w:t>
      </w:r>
      <w:r>
        <w:rPr>
          <w:rtl/>
        </w:rPr>
        <w:t>מבאר שכ’ שני קראי</w:t>
      </w:r>
      <w:r>
        <w:rPr>
          <w:rtl/>
        </w:rPr>
        <w:t>. “</w:t>
      </w:r>
      <w:r>
        <w:rPr>
          <w:rtl/>
        </w:rPr>
        <w:t>איש</w:t>
      </w:r>
      <w:r>
        <w:rPr>
          <w:rtl/>
        </w:rPr>
        <w:t xml:space="preserve">" </w:t>
      </w:r>
      <w:r>
        <w:rPr>
          <w:rtl/>
        </w:rPr>
        <w:t>מרבה גויים</w:t>
      </w:r>
      <w:r>
        <w:rPr>
          <w:rtl/>
        </w:rPr>
        <w:t xml:space="preserve">, </w:t>
      </w:r>
      <w:r>
        <w:rPr>
          <w:rtl/>
        </w:rPr>
        <w:t>ו</w:t>
      </w:r>
      <w:r>
        <w:rPr>
          <w:rtl/>
        </w:rPr>
        <w:t>"</w:t>
      </w:r>
      <w:r>
        <w:rPr>
          <w:rtl/>
        </w:rPr>
        <w:t>בני ישראל</w:t>
      </w:r>
      <w:r>
        <w:rPr>
          <w:rtl/>
        </w:rPr>
        <w:t xml:space="preserve">" </w:t>
      </w:r>
      <w:r>
        <w:rPr>
          <w:rtl/>
        </w:rPr>
        <w:t>ממעט גויים</w:t>
      </w:r>
      <w:r>
        <w:rPr>
          <w:rtl/>
        </w:rPr>
        <w:t xml:space="preserve">. </w:t>
      </w:r>
      <w:r>
        <w:rPr>
          <w:rtl/>
        </w:rPr>
        <w:t>חולקים ממה ממעטים וממה מרבים</w:t>
      </w:r>
      <w:r>
        <w:rPr>
          <w:rtl/>
        </w:rPr>
        <w:t>.</w:t>
      </w:r>
    </w:p>
    <w:p w:rsidR="009E50E6" w:rsidRDefault="00833FFB">
      <w:r>
        <w:rPr>
          <w:rtl/>
        </w:rPr>
        <w:t xml:space="preserve">יש </w:t>
      </w:r>
      <w:r>
        <w:rPr>
          <w:b/>
          <w:bCs/>
          <w:rtl/>
        </w:rPr>
        <w:t>שני</w:t>
      </w:r>
      <w:r>
        <w:rPr>
          <w:rtl/>
        </w:rPr>
        <w:t xml:space="preserve"> סיבות לומר כרבי מאיר</w:t>
      </w:r>
      <w:r>
        <w:rPr>
          <w:rtl/>
        </w:rPr>
        <w:t>:</w:t>
      </w:r>
    </w:p>
    <w:p w:rsidR="009E50E6" w:rsidRDefault="00833FFB">
      <w:pPr>
        <w:numPr>
          <w:ilvl w:val="0"/>
          <w:numId w:val="19"/>
        </w:numPr>
      </w:pPr>
      <w:r>
        <w:rPr>
          <w:rtl/>
        </w:rPr>
        <w:t>מסתבר לרבות גוי לנערכים</w:t>
      </w:r>
      <w:r>
        <w:rPr>
          <w:rtl/>
        </w:rPr>
        <w:t xml:space="preserve">, </w:t>
      </w:r>
      <w:r>
        <w:rPr>
          <w:rtl/>
        </w:rPr>
        <w:t>שיש יות</w:t>
      </w:r>
      <w:r>
        <w:rPr>
          <w:rtl/>
        </w:rPr>
        <w:t>ר נערכים ממעריכים</w:t>
      </w:r>
      <w:r>
        <w:rPr>
          <w:rtl/>
        </w:rPr>
        <w:t xml:space="preserve">, </w:t>
      </w:r>
      <w:r>
        <w:rPr>
          <w:rtl/>
        </w:rPr>
        <w:t>שאין חש</w:t>
      </w:r>
      <w:r>
        <w:rPr>
          <w:rtl/>
        </w:rPr>
        <w:t>"</w:t>
      </w:r>
      <w:r>
        <w:rPr>
          <w:rtl/>
        </w:rPr>
        <w:t>ו מעריכים</w:t>
      </w:r>
      <w:r>
        <w:rPr>
          <w:rtl/>
        </w:rPr>
        <w:t xml:space="preserve">. </w:t>
      </w:r>
    </w:p>
    <w:p w:rsidR="009E50E6" w:rsidRDefault="00833FFB">
      <w:pPr>
        <w:ind w:left="720"/>
      </w:pPr>
      <w:r>
        <w:rPr>
          <w:rtl/>
        </w:rPr>
        <w:t>רבי יהודה דוחה</w:t>
      </w:r>
      <w:r>
        <w:rPr>
          <w:rtl/>
        </w:rPr>
        <w:t>:</w:t>
      </w:r>
    </w:p>
    <w:p w:rsidR="009E50E6" w:rsidRDefault="00833FFB">
      <w:pPr>
        <w:numPr>
          <w:ilvl w:val="1"/>
          <w:numId w:val="19"/>
        </w:numPr>
      </w:pPr>
      <w:r>
        <w:rPr>
          <w:rtl/>
        </w:rPr>
        <w:t xml:space="preserve">יש יותר מעריכים </w:t>
      </w:r>
      <w:r>
        <w:rPr>
          <w:rtl/>
        </w:rPr>
        <w:t>(</w:t>
      </w:r>
      <w:r>
        <w:rPr>
          <w:rtl/>
        </w:rPr>
        <w:t>עייןן לקמן</w:t>
      </w:r>
      <w:r>
        <w:rPr>
          <w:rtl/>
        </w:rPr>
        <w:t>).</w:t>
      </w:r>
    </w:p>
    <w:p w:rsidR="009E50E6" w:rsidRDefault="00833FFB">
      <w:pPr>
        <w:numPr>
          <w:ilvl w:val="1"/>
          <w:numId w:val="19"/>
        </w:numPr>
      </w:pPr>
      <w:r>
        <w:rPr>
          <w:rtl/>
        </w:rPr>
        <w:t>אלו לא מעריכים מחמת שאינם בני דעת</w:t>
      </w:r>
      <w:r>
        <w:rPr>
          <w:rtl/>
        </w:rPr>
        <w:t xml:space="preserve">. </w:t>
      </w:r>
      <w:r>
        <w:rPr>
          <w:rtl/>
        </w:rPr>
        <w:t>כיון שגוי הם בר דעת</w:t>
      </w:r>
      <w:r>
        <w:rPr>
          <w:rtl/>
        </w:rPr>
        <w:t xml:space="preserve">, </w:t>
      </w:r>
      <w:r>
        <w:rPr>
          <w:rtl/>
        </w:rPr>
        <w:t>אין פסולם מוכיח פסול בגוי</w:t>
      </w:r>
      <w:r>
        <w:rPr>
          <w:rtl/>
        </w:rPr>
        <w:t xml:space="preserve">. </w:t>
      </w:r>
      <w:r>
        <w:rPr>
          <w:rtl/>
        </w:rPr>
        <w:t>מחמת דיחוי זה מסיק גמרא שמסתבר טעם של רבי יהודה</w:t>
      </w:r>
      <w:r>
        <w:rPr>
          <w:rtl/>
        </w:rPr>
        <w:t>.</w:t>
      </w:r>
    </w:p>
    <w:p w:rsidR="009E50E6" w:rsidRDefault="00833FFB">
      <w:pPr>
        <w:ind w:left="720"/>
      </w:pPr>
      <w:r>
        <w:rPr>
          <w:rtl/>
        </w:rPr>
        <w:t>מגמרא נראה שזה טעמו של רבי מאיר</w:t>
      </w:r>
      <w:r>
        <w:rPr>
          <w:rtl/>
        </w:rPr>
        <w:t>.</w:t>
      </w:r>
      <w:r>
        <w:rPr>
          <w:rStyle w:val="FootnoteAnchor"/>
          <w:rtl/>
        </w:rPr>
        <w:footnoteReference w:id="51"/>
      </w:r>
    </w:p>
    <w:p w:rsidR="009E50E6" w:rsidRDefault="00833FFB">
      <w:pPr>
        <w:numPr>
          <w:ilvl w:val="0"/>
          <w:numId w:val="19"/>
        </w:numPr>
      </w:pPr>
      <w:r>
        <w:rPr>
          <w:rtl/>
        </w:rPr>
        <w:t>בבנין</w:t>
      </w:r>
      <w:r>
        <w:rPr>
          <w:rtl/>
        </w:rPr>
        <w:t xml:space="preserve"> בית שני</w:t>
      </w:r>
      <w:r>
        <w:rPr>
          <w:rtl/>
        </w:rPr>
        <w:t xml:space="preserve">, </w:t>
      </w:r>
      <w:r>
        <w:rPr>
          <w:rtl/>
        </w:rPr>
        <w:t>אמר ה’ שלא לקבל מגויים</w:t>
      </w:r>
      <w:r>
        <w:rPr>
          <w:rtl/>
        </w:rPr>
        <w:t xml:space="preserve">. </w:t>
      </w:r>
      <w:r>
        <w:rPr>
          <w:rtl/>
        </w:rPr>
        <w:t>משמע שאין גויים מעריכים</w:t>
      </w:r>
      <w:r>
        <w:rPr>
          <w:rtl/>
        </w:rPr>
        <w:t xml:space="preserve">, </w:t>
      </w:r>
      <w:r>
        <w:rPr>
          <w:rtl/>
        </w:rPr>
        <w:t>שאין נותנים להקדש</w:t>
      </w:r>
      <w:r>
        <w:rPr>
          <w:rtl/>
        </w:rPr>
        <w:t>.</w:t>
      </w:r>
      <w:r>
        <w:rPr>
          <w:rStyle w:val="FootnoteAnchor"/>
          <w:rtl/>
        </w:rPr>
        <w:footnoteReference w:id="52"/>
      </w:r>
    </w:p>
    <w:p w:rsidR="009E50E6" w:rsidRDefault="00833FFB">
      <w:pPr>
        <w:ind w:left="720"/>
      </w:pPr>
      <w:r>
        <w:rPr>
          <w:rtl/>
        </w:rPr>
        <w:t>רבי יהודה דוחה</w:t>
      </w:r>
      <w:r>
        <w:rPr>
          <w:rtl/>
        </w:rPr>
        <w:t>:</w:t>
      </w:r>
    </w:p>
    <w:p w:rsidR="009E50E6" w:rsidRDefault="00833FFB">
      <w:pPr>
        <w:numPr>
          <w:ilvl w:val="1"/>
          <w:numId w:val="19"/>
        </w:numPr>
      </w:pPr>
      <w:r>
        <w:rPr>
          <w:rtl/>
        </w:rPr>
        <w:t>ערכו נגנז</w:t>
      </w:r>
      <w:r>
        <w:rPr>
          <w:rtl/>
        </w:rPr>
        <w:t xml:space="preserve">. </w:t>
      </w:r>
      <w:r>
        <w:rPr>
          <w:rtl/>
        </w:rPr>
        <w:t>דוחה גמרא שא</w:t>
      </w:r>
      <w:r>
        <w:rPr>
          <w:rtl/>
        </w:rPr>
        <w:t>"</w:t>
      </w:r>
      <w:r>
        <w:rPr>
          <w:rtl/>
        </w:rPr>
        <w:t>כ לא ימעלו בו</w:t>
      </w:r>
      <w:r>
        <w:rPr>
          <w:rtl/>
        </w:rPr>
        <w:t>.</w:t>
      </w:r>
    </w:p>
    <w:p w:rsidR="009E50E6" w:rsidRDefault="00833FFB">
      <w:pPr>
        <w:numPr>
          <w:ilvl w:val="1"/>
          <w:numId w:val="19"/>
        </w:numPr>
      </w:pPr>
      <w:r>
        <w:rPr>
          <w:rtl/>
        </w:rPr>
        <w:t>שם חלוק</w:t>
      </w:r>
      <w:r>
        <w:rPr>
          <w:rtl/>
        </w:rPr>
        <w:t xml:space="preserve">, </w:t>
      </w:r>
      <w:r>
        <w:rPr>
          <w:rtl/>
        </w:rPr>
        <w:t xml:space="preserve">שהיה מח’ רפיון ידים </w:t>
      </w:r>
      <w:r>
        <w:rPr>
          <w:rtl/>
        </w:rPr>
        <w:t>(</w:t>
      </w:r>
      <w:r>
        <w:rPr>
          <w:rtl/>
        </w:rPr>
        <w:t>שיתנדבו ולא יתנו כדי לרפות ידים</w:t>
      </w:r>
      <w:r>
        <w:rPr>
          <w:rtl/>
        </w:rPr>
        <w:t>).</w:t>
      </w:r>
    </w:p>
    <w:p w:rsidR="009E50E6" w:rsidRDefault="00833FFB">
      <w:pPr>
        <w:ind w:left="720"/>
      </w:pPr>
      <w:r>
        <w:rPr>
          <w:rtl/>
        </w:rPr>
        <w:t>מחמת ראיה זה אומר גמרא שהלכה של ר</w:t>
      </w:r>
      <w:r>
        <w:rPr>
          <w:rtl/>
        </w:rPr>
        <w:t>"</w:t>
      </w:r>
      <w:r>
        <w:rPr>
          <w:rtl/>
        </w:rPr>
        <w:t>מ מסתבר</w:t>
      </w:r>
      <w:r>
        <w:rPr>
          <w:rtl/>
        </w:rPr>
        <w:t>.</w:t>
      </w:r>
    </w:p>
    <w:p w:rsidR="009E50E6" w:rsidRDefault="00833FFB">
      <w:r>
        <w:rPr>
          <w:rtl/>
        </w:rPr>
        <w:lastRenderedPageBreak/>
        <w:t xml:space="preserve">יש סיבה אחת </w:t>
      </w:r>
      <w:r>
        <w:rPr>
          <w:rtl/>
        </w:rPr>
        <w:t>לומר כרבי יהודה</w:t>
      </w:r>
      <w:r>
        <w:rPr>
          <w:rtl/>
        </w:rPr>
        <w:t>:</w:t>
      </w:r>
    </w:p>
    <w:p w:rsidR="009E50E6" w:rsidRDefault="00833FFB">
      <w:pPr>
        <w:numPr>
          <w:ilvl w:val="0"/>
          <w:numId w:val="20"/>
        </w:numPr>
      </w:pPr>
      <w:r>
        <w:rPr>
          <w:rtl/>
        </w:rPr>
        <w:t>מסתבר לרבות גוי למעריכים</w:t>
      </w:r>
      <w:r>
        <w:rPr>
          <w:rtl/>
        </w:rPr>
        <w:t xml:space="preserve">, </w:t>
      </w:r>
      <w:r>
        <w:rPr>
          <w:rtl/>
        </w:rPr>
        <w:t>שיש יותר מעריכים מנערכים</w:t>
      </w:r>
      <w:r>
        <w:rPr>
          <w:rtl/>
        </w:rPr>
        <w:t xml:space="preserve">, </w:t>
      </w:r>
      <w:r>
        <w:rPr>
          <w:rtl/>
        </w:rPr>
        <w:t>שטומטום ואנדרוגינום מעריכים ולא נערכים</w:t>
      </w:r>
      <w:r>
        <w:rPr>
          <w:rtl/>
        </w:rPr>
        <w:t>.</w:t>
      </w:r>
    </w:p>
    <w:p w:rsidR="009E50E6" w:rsidRDefault="00833FFB">
      <w:pPr>
        <w:ind w:left="720"/>
      </w:pPr>
      <w:r>
        <w:rPr>
          <w:rtl/>
        </w:rPr>
        <w:t>רבי מאיר ידחה שיש יותר נערכים כיון שחש</w:t>
      </w:r>
      <w:r>
        <w:rPr>
          <w:rtl/>
        </w:rPr>
        <w:t>"</w:t>
      </w:r>
      <w:r>
        <w:rPr>
          <w:rtl/>
        </w:rPr>
        <w:t>ו נערכים</w:t>
      </w:r>
      <w:r>
        <w:rPr>
          <w:rtl/>
        </w:rPr>
        <w:t>.</w:t>
      </w:r>
      <w:r>
        <w:rPr>
          <w:rStyle w:val="FootnoteAnchor"/>
          <w:rtl/>
        </w:rPr>
        <w:footnoteReference w:id="53"/>
      </w:r>
    </w:p>
    <w:p w:rsidR="009E50E6" w:rsidRDefault="00833FFB">
      <w:pPr>
        <w:pStyle w:val="Heading1"/>
      </w:pPr>
      <w:r>
        <w:rPr>
          <w:rtl/>
        </w:rPr>
        <w:t>מתנה מאת גוי</w:t>
      </w:r>
    </w:p>
    <w:p w:rsidR="009E50E6" w:rsidRDefault="00833FFB">
      <w:r>
        <w:rPr>
          <w:rtl/>
        </w:rPr>
        <w:t xml:space="preserve">- גמרא </w:t>
      </w:r>
      <w:r>
        <w:rPr>
          <w:b/>
          <w:bCs/>
          <w:rtl/>
        </w:rPr>
        <w:t>(</w:t>
      </w:r>
      <w:r>
        <w:rPr>
          <w:b/>
          <w:bCs/>
          <w:rtl/>
        </w:rPr>
        <w:t>ו</w:t>
      </w:r>
      <w:r>
        <w:rPr>
          <w:b/>
          <w:bCs/>
          <w:rtl/>
        </w:rPr>
        <w:t>.)</w:t>
      </w:r>
      <w:r>
        <w:rPr>
          <w:rtl/>
        </w:rPr>
        <w:t xml:space="preserve"> </w:t>
      </w:r>
      <w:r>
        <w:rPr>
          <w:rtl/>
        </w:rPr>
        <w:t>כ’ שמקבלים מתנות מגוי להקדש</w:t>
      </w:r>
      <w:r>
        <w:rPr>
          <w:rtl/>
        </w:rPr>
        <w:t xml:space="preserve">. </w:t>
      </w:r>
      <w:r>
        <w:rPr>
          <w:rtl/>
        </w:rPr>
        <w:t xml:space="preserve">יש </w:t>
      </w:r>
      <w:r>
        <w:rPr>
          <w:b/>
          <w:bCs/>
          <w:rtl/>
        </w:rPr>
        <w:t>שני</w:t>
      </w:r>
      <w:r>
        <w:rPr>
          <w:rtl/>
        </w:rPr>
        <w:t xml:space="preserve"> יוצאים מן הכלל</w:t>
      </w:r>
      <w:r>
        <w:rPr>
          <w:rtl/>
        </w:rPr>
        <w:t>:</w:t>
      </w:r>
    </w:p>
    <w:p w:rsidR="009E50E6" w:rsidRDefault="00833FFB">
      <w:pPr>
        <w:numPr>
          <w:ilvl w:val="0"/>
          <w:numId w:val="21"/>
        </w:numPr>
      </w:pPr>
      <w:r>
        <w:rPr>
          <w:rtl/>
        </w:rPr>
        <w:t xml:space="preserve">אם יגרום רפיון ידים </w:t>
      </w:r>
      <w:r>
        <w:rPr>
          <w:rtl/>
        </w:rPr>
        <w:t>(</w:t>
      </w:r>
      <w:r>
        <w:rPr>
          <w:rtl/>
        </w:rPr>
        <w:t>כמו בתחילת בית שני</w:t>
      </w:r>
      <w:r>
        <w:rPr>
          <w:rtl/>
        </w:rPr>
        <w:t>).</w:t>
      </w:r>
    </w:p>
    <w:p w:rsidR="009E50E6" w:rsidRDefault="00833FFB">
      <w:pPr>
        <w:numPr>
          <w:ilvl w:val="0"/>
          <w:numId w:val="21"/>
        </w:numPr>
      </w:pPr>
      <w:r>
        <w:rPr>
          <w:rtl/>
        </w:rPr>
        <w:t xml:space="preserve">דבר מסויים </w:t>
      </w:r>
      <w:r>
        <w:rPr>
          <w:rtl/>
        </w:rPr>
        <w:t>(</w:t>
      </w:r>
      <w:r>
        <w:rPr>
          <w:rtl/>
        </w:rPr>
        <w:t>יש לזה שני סיבות</w:t>
      </w:r>
      <w:r>
        <w:rPr>
          <w:rtl/>
        </w:rPr>
        <w:t xml:space="preserve">: </w:t>
      </w:r>
      <w:r>
        <w:rPr>
          <w:rtl/>
        </w:rPr>
        <w:t>גנאי הוא</w:t>
      </w:r>
      <w:r>
        <w:rPr>
          <w:rtl/>
        </w:rPr>
        <w:t xml:space="preserve">, </w:t>
      </w:r>
      <w:r>
        <w:rPr>
          <w:rtl/>
        </w:rPr>
        <w:t>ויתגנה בו גוי</w:t>
      </w:r>
      <w:r>
        <w:rPr>
          <w:rtl/>
        </w:rPr>
        <w:t>).</w:t>
      </w:r>
      <w:r>
        <w:rPr>
          <w:rStyle w:val="FootnoteAnchor"/>
          <w:rtl/>
        </w:rPr>
        <w:footnoteReference w:id="54"/>
      </w:r>
    </w:p>
    <w:p w:rsidR="009E50E6" w:rsidRDefault="00833FFB">
      <w:r>
        <w:rPr>
          <w:rtl/>
        </w:rPr>
        <w:t xml:space="preserve">- </w:t>
      </w:r>
      <w:r>
        <w:rPr>
          <w:rtl/>
        </w:rPr>
        <w:t>אם גוי התנדב דבר</w:t>
      </w:r>
      <w:r>
        <w:rPr>
          <w:rStyle w:val="FootnoteAnchor"/>
          <w:rtl/>
        </w:rPr>
        <w:footnoteReference w:id="55"/>
      </w:r>
      <w:r>
        <w:rPr>
          <w:rtl/>
        </w:rPr>
        <w:t xml:space="preserve"> או תרם</w:t>
      </w:r>
      <w:r>
        <w:rPr>
          <w:rtl/>
        </w:rPr>
        <w:t xml:space="preserve">, </w:t>
      </w:r>
      <w:r>
        <w:rPr>
          <w:rtl/>
        </w:rPr>
        <w:t>בין אם שם ה’ נכ’ עליו או לא</w:t>
      </w:r>
      <w:r>
        <w:rPr>
          <w:rtl/>
        </w:rPr>
        <w:t xml:space="preserve">, </w:t>
      </w:r>
      <w:r>
        <w:rPr>
          <w:rtl/>
        </w:rPr>
        <w:t xml:space="preserve">שואלים אותו אם כוון לשם ישראל </w:t>
      </w:r>
      <w:r>
        <w:rPr>
          <w:rtl/>
        </w:rPr>
        <w:t>(</w:t>
      </w:r>
      <w:r>
        <w:rPr>
          <w:rtl/>
        </w:rPr>
        <w:t>מה שישראל עושה</w:t>
      </w:r>
      <w:r>
        <w:rPr>
          <w:rtl/>
        </w:rPr>
        <w:t xml:space="preserve">) </w:t>
      </w:r>
      <w:r>
        <w:rPr>
          <w:rtl/>
        </w:rPr>
        <w:t>או לא</w:t>
      </w:r>
      <w:r>
        <w:rPr>
          <w:rtl/>
        </w:rPr>
        <w:t xml:space="preserve">. </w:t>
      </w:r>
      <w:r>
        <w:rPr>
          <w:rtl/>
        </w:rPr>
        <w:t>אם כוון</w:t>
      </w:r>
      <w:r>
        <w:rPr>
          <w:rtl/>
        </w:rPr>
        <w:t xml:space="preserve">, </w:t>
      </w:r>
      <w:r>
        <w:rPr>
          <w:rtl/>
        </w:rPr>
        <w:t xml:space="preserve">מותר </w:t>
      </w:r>
      <w:r>
        <w:rPr>
          <w:rtl/>
        </w:rPr>
        <w:t>(</w:t>
      </w:r>
      <w:r>
        <w:rPr>
          <w:rtl/>
        </w:rPr>
        <w:t>והרי הוא כתרומה ונדבה</w:t>
      </w:r>
      <w:r>
        <w:rPr>
          <w:rtl/>
        </w:rPr>
        <w:t xml:space="preserve">). </w:t>
      </w:r>
      <w:r>
        <w:rPr>
          <w:rtl/>
        </w:rPr>
        <w:t>אם לא</w:t>
      </w:r>
      <w:r>
        <w:rPr>
          <w:rtl/>
        </w:rPr>
        <w:t xml:space="preserve">, </w:t>
      </w:r>
      <w:r>
        <w:rPr>
          <w:rtl/>
        </w:rPr>
        <w:t>אסור</w:t>
      </w:r>
      <w:r>
        <w:rPr>
          <w:rtl/>
        </w:rPr>
        <w:t xml:space="preserve">, </w:t>
      </w:r>
      <w:r>
        <w:rPr>
          <w:rtl/>
        </w:rPr>
        <w:t xml:space="preserve">שחוששים שכוון </w:t>
      </w:r>
      <w:r>
        <w:rPr>
          <w:rtl/>
        </w:rPr>
        <w:t>להקדישו</w:t>
      </w:r>
      <w:r>
        <w:rPr>
          <w:rtl/>
        </w:rPr>
        <w:t xml:space="preserve">. </w:t>
      </w:r>
      <w:r>
        <w:rPr>
          <w:rtl/>
        </w:rPr>
        <w:t>בי</w:t>
      </w:r>
      <w:r>
        <w:rPr>
          <w:rtl/>
        </w:rPr>
        <w:t>"</w:t>
      </w:r>
      <w:r>
        <w:rPr>
          <w:rtl/>
        </w:rPr>
        <w:t>כ ובי</w:t>
      </w:r>
      <w:r>
        <w:rPr>
          <w:rtl/>
        </w:rPr>
        <w:t>"</w:t>
      </w:r>
      <w:r>
        <w:rPr>
          <w:rtl/>
        </w:rPr>
        <w:t>כ</w:t>
      </w:r>
      <w:r>
        <w:rPr>
          <w:rtl/>
        </w:rPr>
        <w:t xml:space="preserve">, </w:t>
      </w:r>
      <w:r>
        <w:rPr>
          <w:rtl/>
        </w:rPr>
        <w:t>צ’ לגנוז מקום השם</w:t>
      </w:r>
      <w:r>
        <w:rPr>
          <w:rtl/>
        </w:rPr>
        <w:t>.</w:t>
      </w:r>
    </w:p>
    <w:p w:rsidR="009E50E6" w:rsidRDefault="00833FFB">
      <w:pPr>
        <w:pStyle w:val="Heading1"/>
      </w:pPr>
      <w:r>
        <w:rPr>
          <w:rtl/>
        </w:rPr>
        <w:t>שינוי סלע צדקה</w:t>
      </w:r>
    </w:p>
    <w:p w:rsidR="009E50E6" w:rsidRDefault="00833FFB">
      <w:r>
        <w:rPr>
          <w:rtl/>
        </w:rPr>
        <w:t>אם מתנדב אדם דבר להקדש, יכול לשנותו (שלא לתת זה, אלא אחר). יש ----- יוצאים מן הכלל:</w:t>
      </w:r>
    </w:p>
    <w:p w:rsidR="009E50E6" w:rsidRDefault="00833FFB">
      <w:pPr>
        <w:numPr>
          <w:ilvl w:val="0"/>
          <w:numId w:val="22"/>
        </w:numPr>
      </w:pPr>
      <w:r>
        <w:rPr>
          <w:rtl/>
        </w:rPr>
        <w:t>סבור מינה שאם לא משנה כדי שהוא ישתמש בו, אלא כדי שחברו ישתמש בו. הסברה לזה הוא שיכול לשנות כיון שיש אומדנא שאדם לא מק</w:t>
      </w:r>
      <w:r>
        <w:rPr>
          <w:rtl/>
        </w:rPr>
        <w:t>’ להפסיד עצמו. אז, לא יהני לחבירו.</w:t>
      </w:r>
    </w:p>
    <w:p w:rsidR="009E50E6" w:rsidRDefault="00833FFB">
      <w:pPr>
        <w:ind w:left="720"/>
      </w:pPr>
      <w:r>
        <w:rPr>
          <w:rtl/>
        </w:rPr>
        <w:t>גמ’ דוחה את זה.</w:t>
      </w:r>
      <w:r>
        <w:rPr>
          <w:rStyle w:val="FootnoteAnchor"/>
          <w:rtl/>
        </w:rPr>
        <w:footnoteReference w:id="56"/>
      </w:r>
    </w:p>
    <w:p w:rsidR="009E50E6" w:rsidRDefault="00833FFB">
      <w:pPr>
        <w:numPr>
          <w:ilvl w:val="0"/>
          <w:numId w:val="22"/>
        </w:numPr>
      </w:pPr>
      <w:r>
        <w:rPr>
          <w:rtl/>
        </w:rPr>
        <w:t xml:space="preserve">אם התנדבו בלשון </w:t>
      </w:r>
      <w:r>
        <w:rPr>
          <w:rtl/>
        </w:rPr>
        <w:t>"</w:t>
      </w:r>
      <w:r>
        <w:rPr>
          <w:rtl/>
        </w:rPr>
        <w:t>הרי זו</w:t>
      </w:r>
      <w:r>
        <w:rPr>
          <w:rtl/>
        </w:rPr>
        <w:t xml:space="preserve">,” </w:t>
      </w:r>
      <w:r>
        <w:rPr>
          <w:rtl/>
        </w:rPr>
        <w:t>שאז התנדב אותו חפץ עצמו</w:t>
      </w:r>
      <w:r>
        <w:rPr>
          <w:rtl/>
        </w:rPr>
        <w:t xml:space="preserve">. </w:t>
      </w:r>
    </w:p>
    <w:p w:rsidR="009E50E6" w:rsidRDefault="00833FFB">
      <w:pPr>
        <w:ind w:left="720"/>
      </w:pPr>
      <w:r>
        <w:rPr>
          <w:rtl/>
        </w:rPr>
        <w:t>גמרא דוחה א</w:t>
      </w:r>
      <w:r>
        <w:rPr>
          <w:rtl/>
        </w:rPr>
        <w:t>"</w:t>
      </w:r>
      <w:r>
        <w:rPr>
          <w:rtl/>
        </w:rPr>
        <w:t>ז</w:t>
      </w:r>
      <w:r>
        <w:rPr>
          <w:rStyle w:val="FootnoteAnchor"/>
          <w:rtl/>
        </w:rPr>
        <w:footnoteReference w:id="57"/>
      </w:r>
      <w:r>
        <w:rPr>
          <w:rtl/>
        </w:rPr>
        <w:t>.</w:t>
      </w:r>
    </w:p>
    <w:p w:rsidR="009E50E6" w:rsidRDefault="00833FFB">
      <w:pPr>
        <w:numPr>
          <w:ilvl w:val="0"/>
          <w:numId w:val="22"/>
        </w:numPr>
      </w:pPr>
      <w:r>
        <w:rPr>
          <w:rtl/>
        </w:rPr>
        <w:t>אם כבר בא ליד גבאי</w:t>
      </w:r>
      <w:r>
        <w:rPr>
          <w:rStyle w:val="FootnoteAnchor"/>
          <w:rtl/>
        </w:rPr>
        <w:footnoteReference w:id="58"/>
      </w:r>
      <w:r>
        <w:rPr>
          <w:rtl/>
        </w:rPr>
        <w:t xml:space="preserve">. </w:t>
      </w:r>
      <w:r>
        <w:rPr>
          <w:rtl/>
        </w:rPr>
        <w:t>יש</w:t>
      </w:r>
      <w:r>
        <w:rPr>
          <w:b/>
          <w:bCs/>
          <w:rtl/>
        </w:rPr>
        <w:t xml:space="preserve"> שני</w:t>
      </w:r>
      <w:r>
        <w:rPr>
          <w:rtl/>
        </w:rPr>
        <w:t xml:space="preserve"> יוצאים מכלל זה</w:t>
      </w:r>
      <w:r>
        <w:rPr>
          <w:rtl/>
        </w:rPr>
        <w:t>:</w:t>
      </w:r>
    </w:p>
    <w:p w:rsidR="009E50E6" w:rsidRDefault="00833FFB">
      <w:pPr>
        <w:numPr>
          <w:ilvl w:val="1"/>
          <w:numId w:val="22"/>
        </w:numPr>
      </w:pPr>
      <w:r>
        <w:rPr>
          <w:rtl/>
        </w:rPr>
        <w:t xml:space="preserve">אם עניים רוצים שיוכל להשתמש בו </w:t>
      </w:r>
      <w:r>
        <w:rPr>
          <w:rtl/>
        </w:rPr>
        <w:t>(</w:t>
      </w:r>
      <w:r>
        <w:rPr>
          <w:rtl/>
        </w:rPr>
        <w:t>מפני שאז לא יהיה ממון לצדקה</w:t>
      </w:r>
      <w:r>
        <w:rPr>
          <w:rtl/>
        </w:rPr>
        <w:t xml:space="preserve">, </w:t>
      </w:r>
      <w:r>
        <w:rPr>
          <w:rtl/>
        </w:rPr>
        <w:t>ויתנו עשירים יותר</w:t>
      </w:r>
      <w:r>
        <w:rPr>
          <w:rtl/>
        </w:rPr>
        <w:t>).</w:t>
      </w:r>
    </w:p>
    <w:p w:rsidR="009E50E6" w:rsidRDefault="00833FFB">
      <w:pPr>
        <w:numPr>
          <w:ilvl w:val="1"/>
          <w:numId w:val="22"/>
        </w:numPr>
      </w:pPr>
      <w:r>
        <w:rPr>
          <w:rtl/>
        </w:rPr>
        <w:t xml:space="preserve">אם משנה </w:t>
      </w:r>
      <w:r>
        <w:rPr>
          <w:rtl/>
        </w:rPr>
        <w:t>לדבר מצווה</w:t>
      </w:r>
      <w:r>
        <w:rPr>
          <w:rStyle w:val="FootnoteAnchor"/>
          <w:rtl/>
        </w:rPr>
        <w:footnoteReference w:id="59"/>
      </w:r>
      <w:r>
        <w:rPr>
          <w:rtl/>
        </w:rPr>
        <w:t xml:space="preserve">. </w:t>
      </w:r>
      <w:r>
        <w:rPr>
          <w:rtl/>
        </w:rPr>
        <w:t>יש יוצא אחד מכלל זה</w:t>
      </w:r>
      <w:r>
        <w:rPr>
          <w:rtl/>
        </w:rPr>
        <w:t>:</w:t>
      </w:r>
    </w:p>
    <w:p w:rsidR="009E50E6" w:rsidRDefault="00833FFB">
      <w:pPr>
        <w:numPr>
          <w:ilvl w:val="2"/>
          <w:numId w:val="22"/>
        </w:numPr>
      </w:pPr>
      <w:r>
        <w:rPr>
          <w:rtl/>
        </w:rPr>
        <w:t>אם התנדבו גוי</w:t>
      </w:r>
      <w:r>
        <w:rPr>
          <w:rtl/>
        </w:rPr>
        <w:t xml:space="preserve">, </w:t>
      </w:r>
      <w:r>
        <w:rPr>
          <w:rtl/>
        </w:rPr>
        <w:t>ועדיין לא נשתקע שמו</w:t>
      </w:r>
      <w:r>
        <w:rPr>
          <w:rtl/>
        </w:rPr>
        <w:t xml:space="preserve">, </w:t>
      </w:r>
      <w:r>
        <w:rPr>
          <w:rtl/>
        </w:rPr>
        <w:t>שאז חוששים שירגיז על במשנה אותו</w:t>
      </w:r>
      <w:r>
        <w:rPr>
          <w:rtl/>
        </w:rPr>
        <w:t xml:space="preserve">. </w:t>
      </w:r>
      <w:r>
        <w:rPr>
          <w:b/>
          <w:bCs/>
          <w:rtl/>
        </w:rPr>
        <w:t>(</w:t>
      </w:r>
      <w:r>
        <w:rPr>
          <w:b/>
          <w:bCs/>
          <w:rtl/>
        </w:rPr>
        <w:t>ו</w:t>
      </w:r>
      <w:r>
        <w:rPr>
          <w:b/>
          <w:bCs/>
          <w:rtl/>
        </w:rPr>
        <w:t>)</w:t>
      </w:r>
    </w:p>
    <w:p w:rsidR="009E50E6" w:rsidRDefault="00833FFB">
      <w:pPr>
        <w:pStyle w:val="Heading1"/>
      </w:pPr>
      <w:r>
        <w:rPr>
          <w:rtl/>
        </w:rPr>
        <w:t xml:space="preserve"> מת שהזיק</w:t>
      </w:r>
    </w:p>
    <w:p w:rsidR="009E50E6" w:rsidRDefault="00833FFB">
      <w:r>
        <w:rPr>
          <w:rtl/>
        </w:rPr>
        <w:t xml:space="preserve">חולקים תנאים </w:t>
      </w:r>
      <w:r>
        <w:rPr>
          <w:b/>
          <w:bCs/>
          <w:rtl/>
        </w:rPr>
        <w:t>(</w:t>
      </w:r>
      <w:r>
        <w:rPr>
          <w:b/>
          <w:bCs/>
          <w:rtl/>
        </w:rPr>
        <w:t>ו</w:t>
      </w:r>
      <w:r>
        <w:rPr>
          <w:b/>
          <w:bCs/>
          <w:rtl/>
        </w:rPr>
        <w:t xml:space="preserve">:, </w:t>
      </w:r>
      <w:r>
        <w:rPr>
          <w:b/>
          <w:bCs/>
          <w:rtl/>
        </w:rPr>
        <w:t>ז</w:t>
      </w:r>
      <w:r>
        <w:rPr>
          <w:b/>
          <w:bCs/>
          <w:rtl/>
        </w:rPr>
        <w:t>.)</w:t>
      </w:r>
      <w:r>
        <w:rPr>
          <w:rtl/>
        </w:rPr>
        <w:t xml:space="preserve"> </w:t>
      </w:r>
      <w:r>
        <w:rPr>
          <w:rtl/>
        </w:rPr>
        <w:t>אם יורשי מזיק חייבים או לא</w:t>
      </w:r>
      <w:r>
        <w:rPr>
          <w:rtl/>
        </w:rPr>
        <w:t xml:space="preserve">. </w:t>
      </w:r>
      <w:r>
        <w:rPr>
          <w:rtl/>
        </w:rPr>
        <w:t>יש שני סברות לומר שחייבים לשלם</w:t>
      </w:r>
      <w:r>
        <w:rPr>
          <w:rtl/>
        </w:rPr>
        <w:t>:</w:t>
      </w:r>
    </w:p>
    <w:p w:rsidR="009E50E6" w:rsidRDefault="00833FFB">
      <w:pPr>
        <w:numPr>
          <w:ilvl w:val="0"/>
          <w:numId w:val="23"/>
        </w:numPr>
      </w:pPr>
      <w:r>
        <w:rPr>
          <w:rtl/>
        </w:rPr>
        <w:t>מחייבים אף על חוב שלא כתובה בשטר</w:t>
      </w:r>
      <w:r>
        <w:rPr>
          <w:rtl/>
        </w:rPr>
        <w:t>.</w:t>
      </w:r>
    </w:p>
    <w:p w:rsidR="009E50E6" w:rsidRDefault="00833FFB">
      <w:pPr>
        <w:numPr>
          <w:ilvl w:val="0"/>
          <w:numId w:val="23"/>
        </w:numPr>
      </w:pPr>
      <w:r>
        <w:rPr>
          <w:rtl/>
        </w:rPr>
        <w:t>סוברים שחיוב היזק</w:t>
      </w:r>
      <w:r>
        <w:rPr>
          <w:rtl/>
        </w:rPr>
        <w:t xml:space="preserve">, </w:t>
      </w:r>
      <w:r>
        <w:rPr>
          <w:rtl/>
        </w:rPr>
        <w:t>כיון</w:t>
      </w:r>
      <w:r>
        <w:rPr>
          <w:rtl/>
        </w:rPr>
        <w:t xml:space="preserve"> שנכ’ בתורה</w:t>
      </w:r>
      <w:r>
        <w:rPr>
          <w:rtl/>
        </w:rPr>
        <w:t xml:space="preserve">, </w:t>
      </w:r>
      <w:r>
        <w:rPr>
          <w:rtl/>
        </w:rPr>
        <w:t>כנכ’ בשטר</w:t>
      </w:r>
      <w:r>
        <w:rPr>
          <w:rtl/>
        </w:rPr>
        <w:t>.</w:t>
      </w:r>
    </w:p>
    <w:p w:rsidR="009E50E6" w:rsidRDefault="00833FFB">
      <w:r>
        <w:rPr>
          <w:rtl/>
        </w:rPr>
        <w:t>יש ציור שכולי עלמא מודו שיחייבים</w:t>
      </w:r>
      <w:r>
        <w:rPr>
          <w:rtl/>
        </w:rPr>
        <w:t xml:space="preserve">, </w:t>
      </w:r>
      <w:r>
        <w:rPr>
          <w:rtl/>
        </w:rPr>
        <w:t>והוא אם עמד בדין</w:t>
      </w:r>
      <w:r>
        <w:rPr>
          <w:rStyle w:val="FootnoteAnchor"/>
          <w:rtl/>
        </w:rPr>
        <w:footnoteReference w:id="60"/>
      </w:r>
      <w:r>
        <w:rPr>
          <w:rtl/>
        </w:rPr>
        <w:t xml:space="preserve"> קודם מיתה</w:t>
      </w:r>
      <w:r>
        <w:rPr>
          <w:rtl/>
        </w:rPr>
        <w:t xml:space="preserve">. </w:t>
      </w:r>
      <w:r>
        <w:rPr>
          <w:b/>
          <w:bCs/>
          <w:rtl/>
        </w:rPr>
        <w:t>(</w:t>
      </w:r>
      <w:r>
        <w:rPr>
          <w:b/>
          <w:bCs/>
          <w:rtl/>
        </w:rPr>
        <w:t>ז</w:t>
      </w:r>
      <w:r>
        <w:rPr>
          <w:b/>
          <w:bCs/>
          <w:rtl/>
        </w:rPr>
        <w:t>.)</w:t>
      </w:r>
    </w:p>
    <w:p w:rsidR="009E50E6" w:rsidRDefault="00833FFB">
      <w:pPr>
        <w:pStyle w:val="Heading1"/>
      </w:pPr>
      <w:r>
        <w:rPr>
          <w:rtl/>
        </w:rPr>
        <w:t>לאיזה דברים משהים להמית</w:t>
      </w:r>
    </w:p>
    <w:p w:rsidR="009E50E6" w:rsidRDefault="00833FFB">
      <w:r>
        <w:rPr>
          <w:rtl/>
        </w:rPr>
        <w:t>כיון שפס’ ב"ד להמית, ממיתים מיד, כיון שאסור לענות דינו.</w:t>
      </w:r>
      <w:r>
        <w:rPr>
          <w:rStyle w:val="FootnoteAnchor"/>
          <w:rtl/>
        </w:rPr>
        <w:footnoteReference w:id="61"/>
      </w:r>
      <w:r>
        <w:rPr>
          <w:rtl/>
        </w:rPr>
        <w:t xml:space="preserve"> יש </w:t>
      </w:r>
      <w:r>
        <w:rPr>
          <w:b/>
          <w:bCs/>
          <w:rtl/>
        </w:rPr>
        <w:t xml:space="preserve">שני </w:t>
      </w:r>
      <w:r>
        <w:rPr>
          <w:rtl/>
        </w:rPr>
        <w:t>יוצאים מן הכלל</w:t>
      </w:r>
      <w:r>
        <w:rPr>
          <w:rtl/>
        </w:rPr>
        <w:t>:</w:t>
      </w:r>
    </w:p>
    <w:p w:rsidR="009E50E6" w:rsidRDefault="00833FFB">
      <w:pPr>
        <w:numPr>
          <w:ilvl w:val="0"/>
          <w:numId w:val="24"/>
        </w:numPr>
      </w:pPr>
      <w:r>
        <w:rPr>
          <w:rtl/>
        </w:rPr>
        <w:lastRenderedPageBreak/>
        <w:t>אם קרבנו</w:t>
      </w:r>
      <w:r>
        <w:rPr>
          <w:rStyle w:val="FootnoteAnchor"/>
          <w:rtl/>
        </w:rPr>
        <w:footnoteReference w:id="62"/>
      </w:r>
      <w:r>
        <w:rPr>
          <w:rtl/>
        </w:rPr>
        <w:t xml:space="preserve"> כבר נשחט</w:t>
      </w:r>
      <w:r>
        <w:rPr>
          <w:rtl/>
        </w:rPr>
        <w:t xml:space="preserve">. </w:t>
      </w:r>
      <w:r>
        <w:rPr>
          <w:rtl/>
        </w:rPr>
        <w:t>אז</w:t>
      </w:r>
      <w:r>
        <w:rPr>
          <w:rtl/>
        </w:rPr>
        <w:t xml:space="preserve">, </w:t>
      </w:r>
      <w:r>
        <w:rPr>
          <w:rtl/>
        </w:rPr>
        <w:t>משהים עד שיזרק דמו</w:t>
      </w:r>
      <w:r>
        <w:rPr>
          <w:rStyle w:val="FootnoteAnchor"/>
          <w:rtl/>
        </w:rPr>
        <w:footnoteReference w:id="63"/>
      </w:r>
      <w:r>
        <w:rPr>
          <w:rtl/>
        </w:rPr>
        <w:t>.</w:t>
      </w:r>
    </w:p>
    <w:p w:rsidR="009E50E6" w:rsidRDefault="00833FFB">
      <w:pPr>
        <w:numPr>
          <w:ilvl w:val="0"/>
          <w:numId w:val="24"/>
        </w:numPr>
      </w:pPr>
      <w:r>
        <w:rPr>
          <w:rtl/>
        </w:rPr>
        <w:t>אם היא מעוברת</w:t>
      </w:r>
      <w:r>
        <w:rPr>
          <w:rtl/>
        </w:rPr>
        <w:t xml:space="preserve">. </w:t>
      </w:r>
      <w:r>
        <w:rPr>
          <w:rtl/>
        </w:rPr>
        <w:t>גמרא מבאר שיש שני ציורים</w:t>
      </w:r>
      <w:r>
        <w:rPr>
          <w:rtl/>
        </w:rPr>
        <w:t xml:space="preserve">, </w:t>
      </w:r>
      <w:r>
        <w:rPr>
          <w:rtl/>
        </w:rPr>
        <w:t>באחד משהים ובאחד לא משהים</w:t>
      </w:r>
      <w:r>
        <w:rPr>
          <w:rtl/>
        </w:rPr>
        <w:t>:</w:t>
      </w:r>
    </w:p>
    <w:p w:rsidR="009E50E6" w:rsidRDefault="00833FFB">
      <w:pPr>
        <w:numPr>
          <w:ilvl w:val="1"/>
          <w:numId w:val="24"/>
        </w:numPr>
      </w:pPr>
      <w:r>
        <w:rPr>
          <w:rtl/>
        </w:rPr>
        <w:t xml:space="preserve">אם ישבה על במשבר קודם גמר דין </w:t>
      </w:r>
      <w:r>
        <w:rPr>
          <w:rtl/>
        </w:rPr>
        <w:t>(</w:t>
      </w:r>
      <w:r>
        <w:rPr>
          <w:rtl/>
        </w:rPr>
        <w:t>רש</w:t>
      </w:r>
      <w:r>
        <w:rPr>
          <w:rtl/>
        </w:rPr>
        <w:t>"</w:t>
      </w:r>
      <w:r>
        <w:rPr>
          <w:rtl/>
        </w:rPr>
        <w:t>י</w:t>
      </w:r>
      <w:r>
        <w:rPr>
          <w:rtl/>
        </w:rPr>
        <w:t xml:space="preserve">), </w:t>
      </w:r>
      <w:r>
        <w:rPr>
          <w:rtl/>
        </w:rPr>
        <w:t>משהים</w:t>
      </w:r>
      <w:r>
        <w:rPr>
          <w:rtl/>
        </w:rPr>
        <w:t xml:space="preserve">, </w:t>
      </w:r>
      <w:r>
        <w:rPr>
          <w:rtl/>
        </w:rPr>
        <w:t>כיון שהעובר הוא גוף אחר</w:t>
      </w:r>
      <w:r>
        <w:rPr>
          <w:rtl/>
        </w:rPr>
        <w:t xml:space="preserve">. </w:t>
      </w:r>
      <w:r>
        <w:rPr>
          <w:rtl/>
        </w:rPr>
        <w:t>אז</w:t>
      </w:r>
      <w:r>
        <w:rPr>
          <w:rtl/>
        </w:rPr>
        <w:t xml:space="preserve">, </w:t>
      </w:r>
      <w:r>
        <w:rPr>
          <w:rtl/>
        </w:rPr>
        <w:t>לא פסקו מיתה על העובר</w:t>
      </w:r>
      <w:r>
        <w:rPr>
          <w:rtl/>
        </w:rPr>
        <w:t xml:space="preserve">. </w:t>
      </w:r>
      <w:r>
        <w:rPr>
          <w:rtl/>
        </w:rPr>
        <w:t>אז</w:t>
      </w:r>
      <w:r>
        <w:rPr>
          <w:rtl/>
        </w:rPr>
        <w:t xml:space="preserve">, </w:t>
      </w:r>
      <w:r>
        <w:rPr>
          <w:rtl/>
        </w:rPr>
        <w:t>אסור להרוג אותו</w:t>
      </w:r>
      <w:r>
        <w:rPr>
          <w:rtl/>
        </w:rPr>
        <w:t>.</w:t>
      </w:r>
    </w:p>
    <w:p w:rsidR="009E50E6" w:rsidRDefault="00833FFB">
      <w:pPr>
        <w:numPr>
          <w:ilvl w:val="1"/>
          <w:numId w:val="24"/>
        </w:numPr>
      </w:pPr>
      <w:r>
        <w:rPr>
          <w:rtl/>
        </w:rPr>
        <w:t>אם לא ישבה על משבר</w:t>
      </w:r>
      <w:r>
        <w:rPr>
          <w:rtl/>
        </w:rPr>
        <w:t xml:space="preserve">, </w:t>
      </w:r>
      <w:r>
        <w:rPr>
          <w:rtl/>
        </w:rPr>
        <w:t>לא משהים</w:t>
      </w:r>
      <w:r>
        <w:rPr>
          <w:rtl/>
        </w:rPr>
        <w:t xml:space="preserve">, </w:t>
      </w:r>
      <w:r>
        <w:rPr>
          <w:rtl/>
        </w:rPr>
        <w:t>שפסק דין היה אף על העובר</w:t>
      </w:r>
      <w:r>
        <w:rPr>
          <w:rtl/>
        </w:rPr>
        <w:t xml:space="preserve">, </w:t>
      </w:r>
      <w:r>
        <w:rPr>
          <w:rtl/>
        </w:rPr>
        <w:t>כיון שהוא חלק ממנה</w:t>
      </w:r>
      <w:r>
        <w:rPr>
          <w:rtl/>
        </w:rPr>
        <w:t>.</w:t>
      </w:r>
      <w:r>
        <w:rPr>
          <w:rStyle w:val="FootnoteAnchor"/>
          <w:rtl/>
        </w:rPr>
        <w:footnoteReference w:id="64"/>
      </w:r>
      <w:r>
        <w:rPr>
          <w:rtl/>
        </w:rPr>
        <w:t xml:space="preserve"> </w:t>
      </w:r>
      <w:r>
        <w:rPr>
          <w:rtl/>
        </w:rPr>
        <w:t>ישער חיד</w:t>
      </w:r>
      <w:r>
        <w:rPr>
          <w:rtl/>
        </w:rPr>
        <w:t>וש כאן</w:t>
      </w:r>
      <w:r>
        <w:rPr>
          <w:rtl/>
        </w:rPr>
        <w:t xml:space="preserve">, </w:t>
      </w:r>
      <w:r>
        <w:rPr>
          <w:rtl/>
        </w:rPr>
        <w:t>והוא שמפסידים עובר</w:t>
      </w:r>
      <w:r>
        <w:rPr>
          <w:rtl/>
        </w:rPr>
        <w:t xml:space="preserve">, </w:t>
      </w:r>
      <w:r>
        <w:rPr>
          <w:rtl/>
        </w:rPr>
        <w:t>אף שהוא ממון הבעל</w:t>
      </w:r>
      <w:r>
        <w:rPr>
          <w:rtl/>
        </w:rPr>
        <w:t xml:space="preserve">. </w:t>
      </w:r>
      <w:r>
        <w:rPr>
          <w:rtl/>
        </w:rPr>
        <w:t>דורשים זה מ</w:t>
      </w:r>
      <w:r>
        <w:rPr>
          <w:rtl/>
        </w:rPr>
        <w:t>"</w:t>
      </w:r>
      <w:r>
        <w:rPr>
          <w:rtl/>
        </w:rPr>
        <w:t>גם</w:t>
      </w:r>
      <w:r>
        <w:rPr>
          <w:rtl/>
        </w:rPr>
        <w:t>.”</w:t>
      </w:r>
    </w:p>
    <w:p w:rsidR="009E50E6" w:rsidRDefault="00833FFB">
      <w:pPr>
        <w:ind w:left="1080"/>
      </w:pPr>
      <w:r>
        <w:rPr>
          <w:rtl/>
        </w:rPr>
        <w:t>גמרא מוסיף שכשהורגים עובר</w:t>
      </w:r>
      <w:r>
        <w:rPr>
          <w:rtl/>
        </w:rPr>
        <w:t xml:space="preserve">, </w:t>
      </w:r>
      <w:r>
        <w:rPr>
          <w:rtl/>
        </w:rPr>
        <w:t>הורגים עובר ראשון</w:t>
      </w:r>
      <w:r>
        <w:rPr>
          <w:rtl/>
        </w:rPr>
        <w:t xml:space="preserve">, </w:t>
      </w:r>
      <w:r>
        <w:rPr>
          <w:rtl/>
        </w:rPr>
        <w:t xml:space="preserve">כדי שלא יפרכס </w:t>
      </w:r>
      <w:r>
        <w:rPr>
          <w:rtl/>
        </w:rPr>
        <w:t>(</w:t>
      </w:r>
      <w:r>
        <w:rPr>
          <w:rtl/>
        </w:rPr>
        <w:t>שזה גנאי לה</w:t>
      </w:r>
      <w:r>
        <w:rPr>
          <w:rtl/>
        </w:rPr>
        <w:t xml:space="preserve">). </w:t>
      </w:r>
      <w:r>
        <w:rPr>
          <w:rtl/>
        </w:rPr>
        <w:t>וא</w:t>
      </w:r>
      <w:r>
        <w:rPr>
          <w:rtl/>
        </w:rPr>
        <w:t>"</w:t>
      </w:r>
      <w:r>
        <w:rPr>
          <w:rtl/>
        </w:rPr>
        <w:t>ת הרי עובר מת ראשון</w:t>
      </w:r>
      <w:r>
        <w:rPr>
          <w:rtl/>
        </w:rPr>
        <w:t>:</w:t>
      </w:r>
    </w:p>
    <w:p w:rsidR="009E50E6" w:rsidRDefault="00833FFB">
      <w:pPr>
        <w:numPr>
          <w:ilvl w:val="2"/>
          <w:numId w:val="24"/>
        </w:numPr>
      </w:pPr>
      <w:r>
        <w:rPr>
          <w:rtl/>
        </w:rPr>
        <w:t>אף שכבר מת</w:t>
      </w:r>
      <w:r>
        <w:rPr>
          <w:rtl/>
        </w:rPr>
        <w:t xml:space="preserve">, </w:t>
      </w:r>
      <w:r>
        <w:rPr>
          <w:rtl/>
        </w:rPr>
        <w:t>יפרכס</w:t>
      </w:r>
      <w:r>
        <w:rPr>
          <w:rtl/>
        </w:rPr>
        <w:t>.</w:t>
      </w:r>
    </w:p>
    <w:p w:rsidR="009E50E6" w:rsidRDefault="00833FFB">
      <w:pPr>
        <w:numPr>
          <w:ilvl w:val="2"/>
          <w:numId w:val="24"/>
        </w:numPr>
      </w:pPr>
      <w:r>
        <w:rPr>
          <w:rtl/>
        </w:rPr>
        <w:t>לפעמים</w:t>
      </w:r>
      <w:r>
        <w:rPr>
          <w:rtl/>
        </w:rPr>
        <w:t xml:space="preserve">, </w:t>
      </w:r>
      <w:r>
        <w:rPr>
          <w:rtl/>
        </w:rPr>
        <w:t xml:space="preserve">לא ימות ראשון </w:t>
      </w:r>
      <w:r>
        <w:rPr>
          <w:rtl/>
        </w:rPr>
        <w:t>(</w:t>
      </w:r>
      <w:r>
        <w:rPr>
          <w:rtl/>
        </w:rPr>
        <w:t>ולכן מחללים שבת לו</w:t>
      </w:r>
      <w:r>
        <w:rPr>
          <w:rtl/>
        </w:rPr>
        <w:t xml:space="preserve">, </w:t>
      </w:r>
      <w:r>
        <w:rPr>
          <w:rtl/>
        </w:rPr>
        <w:t>אף שאין לו חזקת חיים</w:t>
      </w:r>
      <w:r>
        <w:rPr>
          <w:rtl/>
        </w:rPr>
        <w:t>)</w:t>
      </w:r>
      <w:r>
        <w:rPr>
          <w:rStyle w:val="FootnoteAnchor"/>
          <w:rtl/>
        </w:rPr>
        <w:footnoteReference w:id="65"/>
      </w:r>
      <w:r>
        <w:rPr>
          <w:rtl/>
        </w:rPr>
        <w:t xml:space="preserve">. </w:t>
      </w:r>
      <w:r>
        <w:rPr>
          <w:b/>
          <w:bCs/>
          <w:rtl/>
        </w:rPr>
        <w:t>(</w:t>
      </w:r>
      <w:r>
        <w:rPr>
          <w:b/>
          <w:bCs/>
          <w:rtl/>
        </w:rPr>
        <w:t>ז</w:t>
      </w:r>
      <w:r>
        <w:rPr>
          <w:b/>
          <w:bCs/>
          <w:rtl/>
        </w:rPr>
        <w:t>.)</w:t>
      </w:r>
    </w:p>
    <w:p w:rsidR="009E50E6" w:rsidRDefault="00833FFB">
      <w:pPr>
        <w:pStyle w:val="Heading1"/>
      </w:pPr>
      <w:r>
        <w:rPr>
          <w:rtl/>
        </w:rPr>
        <w:t>שער מת</w:t>
      </w:r>
    </w:p>
    <w:p w:rsidR="009E50E6" w:rsidRDefault="00833FFB">
      <w:r>
        <w:rPr>
          <w:rtl/>
        </w:rPr>
        <w:t xml:space="preserve">אסור להנות מגוף של מת. המקור לזה הוא ג"ש (“שם") מעגלה ערופה (עבודה זרה </w:t>
      </w:r>
      <w:r>
        <w:rPr>
          <w:b/>
          <w:bCs/>
          <w:rtl/>
        </w:rPr>
        <w:t>כט</w:t>
      </w:r>
      <w:r>
        <w:rPr>
          <w:b/>
          <w:bCs/>
          <w:rtl/>
        </w:rPr>
        <w:t>:</w:t>
      </w:r>
      <w:r>
        <w:rPr>
          <w:rtl/>
        </w:rPr>
        <w:t>)</w:t>
      </w:r>
      <w:r>
        <w:rPr>
          <w:rStyle w:val="FootnoteAnchor"/>
          <w:rtl/>
        </w:rPr>
        <w:footnoteReference w:id="66"/>
      </w:r>
      <w:r>
        <w:rPr>
          <w:rtl/>
        </w:rPr>
        <w:t xml:space="preserve">. </w:t>
      </w:r>
      <w:r>
        <w:rPr>
          <w:rtl/>
        </w:rPr>
        <w:t>דן גמרא בדין שער</w:t>
      </w:r>
      <w:r>
        <w:rPr>
          <w:rtl/>
        </w:rPr>
        <w:t>:</w:t>
      </w:r>
    </w:p>
    <w:p w:rsidR="009E50E6" w:rsidRDefault="00833FFB">
      <w:pPr>
        <w:numPr>
          <w:ilvl w:val="0"/>
          <w:numId w:val="25"/>
        </w:numPr>
      </w:pPr>
      <w:r>
        <w:rPr>
          <w:rtl/>
        </w:rPr>
        <w:t>שער אשה</w:t>
      </w:r>
      <w:r>
        <w:rPr>
          <w:rtl/>
        </w:rPr>
        <w:t>:</w:t>
      </w:r>
    </w:p>
    <w:p w:rsidR="009E50E6" w:rsidRDefault="00833FFB">
      <w:pPr>
        <w:numPr>
          <w:ilvl w:val="1"/>
          <w:numId w:val="25"/>
        </w:numPr>
      </w:pPr>
      <w:r>
        <w:rPr>
          <w:rtl/>
        </w:rPr>
        <w:t>שער ממש</w:t>
      </w:r>
      <w:r>
        <w:rPr>
          <w:rtl/>
        </w:rPr>
        <w:t xml:space="preserve">- </w:t>
      </w:r>
      <w:r>
        <w:rPr>
          <w:rtl/>
        </w:rPr>
        <w:t>חולקים בזה</w:t>
      </w:r>
      <w:r>
        <w:rPr>
          <w:rtl/>
        </w:rPr>
        <w:t>:</w:t>
      </w:r>
    </w:p>
    <w:p w:rsidR="009E50E6" w:rsidRDefault="00833FFB">
      <w:pPr>
        <w:numPr>
          <w:ilvl w:val="2"/>
          <w:numId w:val="25"/>
        </w:numPr>
      </w:pPr>
      <w:r>
        <w:rPr>
          <w:rtl/>
        </w:rPr>
        <w:t>רב אומר שלעולם אסורה</w:t>
      </w:r>
      <w:r>
        <w:rPr>
          <w:rtl/>
        </w:rPr>
        <w:t xml:space="preserve">, </w:t>
      </w:r>
      <w:r>
        <w:rPr>
          <w:rtl/>
        </w:rPr>
        <w:t>שהוא חלק מן המת</w:t>
      </w:r>
      <w:r>
        <w:rPr>
          <w:rtl/>
        </w:rPr>
        <w:t>.</w:t>
      </w:r>
    </w:p>
    <w:p w:rsidR="009E50E6" w:rsidRDefault="00833FFB">
      <w:pPr>
        <w:numPr>
          <w:ilvl w:val="2"/>
          <w:numId w:val="25"/>
        </w:numPr>
      </w:pPr>
      <w:r>
        <w:rPr>
          <w:rtl/>
        </w:rPr>
        <w:t>רב נחמן בר יצחק אומר שמותרת</w:t>
      </w:r>
      <w:r>
        <w:rPr>
          <w:rtl/>
        </w:rPr>
        <w:t xml:space="preserve">, </w:t>
      </w:r>
      <w:r>
        <w:rPr>
          <w:rtl/>
        </w:rPr>
        <w:t>שאין מיתה אוסרת שער</w:t>
      </w:r>
      <w:r>
        <w:rPr>
          <w:rtl/>
        </w:rPr>
        <w:t xml:space="preserve">, </w:t>
      </w:r>
      <w:r>
        <w:rPr>
          <w:rtl/>
        </w:rPr>
        <w:t>שהרי שער לא מת</w:t>
      </w:r>
      <w:r>
        <w:rPr>
          <w:rtl/>
        </w:rPr>
        <w:t>.</w:t>
      </w:r>
      <w:r>
        <w:rPr>
          <w:rStyle w:val="FootnoteAnchor"/>
          <w:rtl/>
        </w:rPr>
        <w:footnoteReference w:id="67"/>
      </w:r>
    </w:p>
    <w:p w:rsidR="009E50E6" w:rsidRDefault="00833FFB">
      <w:pPr>
        <w:numPr>
          <w:ilvl w:val="1"/>
          <w:numId w:val="25"/>
        </w:numPr>
      </w:pPr>
      <w:r>
        <w:rPr>
          <w:rtl/>
        </w:rPr>
        <w:t>פאה נכרית</w:t>
      </w:r>
      <w:r>
        <w:rPr>
          <w:rtl/>
        </w:rPr>
        <w:t>:</w:t>
      </w:r>
    </w:p>
    <w:p w:rsidR="009E50E6" w:rsidRDefault="00833FFB">
      <w:pPr>
        <w:numPr>
          <w:ilvl w:val="2"/>
          <w:numId w:val="25"/>
        </w:numPr>
      </w:pPr>
      <w:r>
        <w:rPr>
          <w:rtl/>
        </w:rPr>
        <w:t>אם אמר</w:t>
      </w:r>
      <w:r>
        <w:rPr>
          <w:rtl/>
        </w:rPr>
        <w:t xml:space="preserve"> לתת לבת</w:t>
      </w:r>
      <w:r>
        <w:rPr>
          <w:rtl/>
        </w:rPr>
        <w:t xml:space="preserve">- </w:t>
      </w:r>
      <w:r>
        <w:rPr>
          <w:rtl/>
        </w:rPr>
        <w:t xml:space="preserve">כולי עלמא מודה שמותר </w:t>
      </w:r>
      <w:r>
        <w:rPr>
          <w:rtl/>
        </w:rPr>
        <w:t>(</w:t>
      </w:r>
      <w:r>
        <w:rPr>
          <w:rtl/>
        </w:rPr>
        <w:t>רב נחמן ב</w:t>
      </w:r>
      <w:r>
        <w:rPr>
          <w:rtl/>
        </w:rPr>
        <w:t>"</w:t>
      </w:r>
      <w:r>
        <w:rPr>
          <w:rtl/>
        </w:rPr>
        <w:t>י מתיר מפני שלא מת</w:t>
      </w:r>
      <w:r>
        <w:rPr>
          <w:rtl/>
        </w:rPr>
        <w:t xml:space="preserve">, </w:t>
      </w:r>
      <w:r>
        <w:rPr>
          <w:rtl/>
        </w:rPr>
        <w:t>ורב מתיר מפני שאז אינו נחשב חלק ממנה</w:t>
      </w:r>
      <w:r>
        <w:rPr>
          <w:rtl/>
        </w:rPr>
        <w:t>).</w:t>
      </w:r>
    </w:p>
    <w:p w:rsidR="009E50E6" w:rsidRDefault="00833FFB">
      <w:pPr>
        <w:numPr>
          <w:ilvl w:val="2"/>
          <w:numId w:val="25"/>
        </w:numPr>
      </w:pPr>
      <w:r>
        <w:rPr>
          <w:rtl/>
        </w:rPr>
        <w:t>אם לא אמר לתת לבת</w:t>
      </w:r>
      <w:r>
        <w:rPr>
          <w:rtl/>
        </w:rPr>
        <w:t>:</w:t>
      </w:r>
    </w:p>
    <w:p w:rsidR="009E50E6" w:rsidRDefault="00833FFB">
      <w:pPr>
        <w:numPr>
          <w:ilvl w:val="3"/>
          <w:numId w:val="25"/>
        </w:numPr>
      </w:pPr>
      <w:r>
        <w:rPr>
          <w:rtl/>
        </w:rPr>
        <w:t>אם מחובר לה</w:t>
      </w:r>
      <w:r>
        <w:rPr>
          <w:rtl/>
        </w:rPr>
        <w:t xml:space="preserve">- </w:t>
      </w:r>
      <w:r>
        <w:rPr>
          <w:rtl/>
        </w:rPr>
        <w:t>דינו כשערה</w:t>
      </w:r>
      <w:r>
        <w:rPr>
          <w:rtl/>
        </w:rPr>
        <w:t>.</w:t>
      </w:r>
    </w:p>
    <w:p w:rsidR="009E50E6" w:rsidRDefault="00833FFB">
      <w:pPr>
        <w:numPr>
          <w:ilvl w:val="3"/>
          <w:numId w:val="25"/>
        </w:numPr>
      </w:pPr>
      <w:r>
        <w:rPr>
          <w:rtl/>
        </w:rPr>
        <w:t>אם תלוי בסיכתא שלובשת</w:t>
      </w:r>
      <w:r>
        <w:rPr>
          <w:rtl/>
        </w:rPr>
        <w:t xml:space="preserve">- </w:t>
      </w:r>
      <w:r>
        <w:rPr>
          <w:rtl/>
        </w:rPr>
        <w:t>חולקים בזה</w:t>
      </w:r>
      <w:r>
        <w:rPr>
          <w:rtl/>
        </w:rPr>
        <w:t>:</w:t>
      </w:r>
    </w:p>
    <w:p w:rsidR="009E50E6" w:rsidRDefault="00833FFB">
      <w:pPr>
        <w:numPr>
          <w:ilvl w:val="4"/>
          <w:numId w:val="25"/>
        </w:numPr>
      </w:pPr>
      <w:r>
        <w:rPr>
          <w:rtl/>
        </w:rPr>
        <w:t>לרנב</w:t>
      </w:r>
      <w:r>
        <w:rPr>
          <w:rtl/>
        </w:rPr>
        <w:t>"</w:t>
      </w:r>
      <w:r>
        <w:rPr>
          <w:rtl/>
        </w:rPr>
        <w:t>י</w:t>
      </w:r>
      <w:r>
        <w:rPr>
          <w:rtl/>
        </w:rPr>
        <w:t xml:space="preserve">, </w:t>
      </w:r>
      <w:r>
        <w:rPr>
          <w:rtl/>
        </w:rPr>
        <w:t xml:space="preserve">מותר </w:t>
      </w:r>
      <w:r>
        <w:rPr>
          <w:rtl/>
        </w:rPr>
        <w:t>(</w:t>
      </w:r>
      <w:r>
        <w:rPr>
          <w:rtl/>
        </w:rPr>
        <w:t>שלא מת</w:t>
      </w:r>
      <w:r>
        <w:rPr>
          <w:rtl/>
        </w:rPr>
        <w:t xml:space="preserve">). </w:t>
      </w:r>
    </w:p>
    <w:p w:rsidR="009E50E6" w:rsidRDefault="00833FFB">
      <w:pPr>
        <w:numPr>
          <w:ilvl w:val="4"/>
          <w:numId w:val="25"/>
        </w:numPr>
      </w:pPr>
      <w:r>
        <w:rPr>
          <w:rtl/>
        </w:rPr>
        <w:t>לרב</w:t>
      </w:r>
      <w:r>
        <w:rPr>
          <w:rtl/>
        </w:rPr>
        <w:t xml:space="preserve">, </w:t>
      </w:r>
      <w:r>
        <w:rPr>
          <w:rtl/>
        </w:rPr>
        <w:t>ספק הוא</w:t>
      </w:r>
      <w:r>
        <w:rPr>
          <w:rtl/>
        </w:rPr>
        <w:t xml:space="preserve">, </w:t>
      </w:r>
      <w:r>
        <w:rPr>
          <w:rtl/>
        </w:rPr>
        <w:t>שספק אם נח’ חלק ממנה</w:t>
      </w:r>
      <w:r>
        <w:rPr>
          <w:rtl/>
        </w:rPr>
        <w:t>.</w:t>
      </w:r>
    </w:p>
    <w:p w:rsidR="009E50E6" w:rsidRDefault="00833FFB">
      <w:pPr>
        <w:numPr>
          <w:ilvl w:val="0"/>
          <w:numId w:val="25"/>
        </w:numPr>
      </w:pPr>
      <w:r>
        <w:rPr>
          <w:rtl/>
        </w:rPr>
        <w:t>שער בהמה</w:t>
      </w:r>
      <w:r>
        <w:rPr>
          <w:rtl/>
        </w:rPr>
        <w:t xml:space="preserve">- </w:t>
      </w:r>
      <w:r>
        <w:rPr>
          <w:rtl/>
        </w:rPr>
        <w:t>לכאורה</w:t>
      </w:r>
      <w:r>
        <w:rPr>
          <w:rtl/>
        </w:rPr>
        <w:t xml:space="preserve">, </w:t>
      </w:r>
      <w:r>
        <w:rPr>
          <w:rtl/>
        </w:rPr>
        <w:t>אין בהמה לובש פאה נכרית</w:t>
      </w:r>
      <w:r>
        <w:rPr>
          <w:rStyle w:val="FootnoteAnchor"/>
          <w:rtl/>
        </w:rPr>
        <w:footnoteReference w:id="68"/>
      </w:r>
      <w:r>
        <w:rPr>
          <w:rtl/>
        </w:rPr>
        <w:t xml:space="preserve">. </w:t>
      </w:r>
      <w:r>
        <w:rPr>
          <w:rtl/>
        </w:rPr>
        <w:t>אז</w:t>
      </w:r>
      <w:r>
        <w:rPr>
          <w:rtl/>
        </w:rPr>
        <w:t xml:space="preserve">, </w:t>
      </w:r>
      <w:r>
        <w:rPr>
          <w:rtl/>
        </w:rPr>
        <w:t>יש רק שער</w:t>
      </w:r>
      <w:r>
        <w:rPr>
          <w:rtl/>
        </w:rPr>
        <w:t xml:space="preserve">. </w:t>
      </w:r>
      <w:r>
        <w:rPr>
          <w:rtl/>
        </w:rPr>
        <w:t>כאן כולי עלמא מודים שאסור</w:t>
      </w:r>
      <w:r>
        <w:rPr>
          <w:rtl/>
        </w:rPr>
        <w:t xml:space="preserve">. </w:t>
      </w:r>
      <w:r>
        <w:rPr>
          <w:rtl/>
        </w:rPr>
        <w:t>רב אומר שאסור כיון שהוא כשער אשה</w:t>
      </w:r>
      <w:r>
        <w:rPr>
          <w:rtl/>
        </w:rPr>
        <w:t xml:space="preserve">. </w:t>
      </w:r>
      <w:r>
        <w:rPr>
          <w:rtl/>
        </w:rPr>
        <w:t>רנב</w:t>
      </w:r>
      <w:r>
        <w:rPr>
          <w:rtl/>
        </w:rPr>
        <w:t>"</w:t>
      </w:r>
      <w:r>
        <w:rPr>
          <w:rtl/>
        </w:rPr>
        <w:t>י אומר שאסור כיון שאין מיתה אוסרת אותו</w:t>
      </w:r>
      <w:r>
        <w:rPr>
          <w:rtl/>
        </w:rPr>
        <w:t xml:space="preserve">, </w:t>
      </w:r>
      <w:r>
        <w:rPr>
          <w:rtl/>
        </w:rPr>
        <w:t xml:space="preserve">אלא גמר דין אוסרת </w:t>
      </w:r>
      <w:r>
        <w:rPr>
          <w:rtl/>
        </w:rPr>
        <w:t>(</w:t>
      </w:r>
      <w:r>
        <w:rPr>
          <w:rtl/>
        </w:rPr>
        <w:t>שדורשים מ</w:t>
      </w:r>
      <w:r>
        <w:rPr>
          <w:rtl/>
        </w:rPr>
        <w:t>"</w:t>
      </w:r>
      <w:r>
        <w:rPr>
          <w:rtl/>
        </w:rPr>
        <w:t>בעל השור נקי</w:t>
      </w:r>
      <w:r>
        <w:rPr>
          <w:rtl/>
        </w:rPr>
        <w:t xml:space="preserve">" </w:t>
      </w:r>
      <w:r>
        <w:rPr>
          <w:rtl/>
        </w:rPr>
        <w:t xml:space="preserve">ומאיסור אכילה שאסור להנות ממנו </w:t>
      </w:r>
      <w:r>
        <w:rPr>
          <w:rtl/>
        </w:rPr>
        <w:t>(</w:t>
      </w:r>
      <w:r>
        <w:rPr>
          <w:rtl/>
        </w:rPr>
        <w:t>ב</w:t>
      </w:r>
      <w:r>
        <w:rPr>
          <w:rtl/>
        </w:rPr>
        <w:t>"</w:t>
      </w:r>
      <w:r>
        <w:rPr>
          <w:rtl/>
        </w:rPr>
        <w:t>ק</w:t>
      </w:r>
      <w:r>
        <w:rPr>
          <w:rtl/>
        </w:rPr>
        <w:t xml:space="preserve">)). </w:t>
      </w:r>
      <w:r>
        <w:rPr>
          <w:rtl/>
        </w:rPr>
        <w:t>אז</w:t>
      </w:r>
      <w:r>
        <w:rPr>
          <w:rtl/>
        </w:rPr>
        <w:t xml:space="preserve">, </w:t>
      </w:r>
      <w:r>
        <w:rPr>
          <w:rtl/>
        </w:rPr>
        <w:t>אף שערו אסור</w:t>
      </w:r>
      <w:r>
        <w:rPr>
          <w:rtl/>
        </w:rPr>
        <w:t xml:space="preserve">, </w:t>
      </w:r>
      <w:r>
        <w:rPr>
          <w:rtl/>
        </w:rPr>
        <w:t xml:space="preserve">שאף הוא </w:t>
      </w:r>
      <w:r>
        <w:rPr>
          <w:rtl/>
        </w:rPr>
        <w:t>בכלל הפסק</w:t>
      </w:r>
      <w:r>
        <w:rPr>
          <w:rtl/>
        </w:rPr>
        <w:t>.</w:t>
      </w:r>
      <w:r>
        <w:rPr>
          <w:rStyle w:val="FootnoteAnchor"/>
          <w:rtl/>
        </w:rPr>
        <w:footnoteReference w:id="69"/>
      </w:r>
      <w:r>
        <w:rPr>
          <w:rtl/>
        </w:rPr>
        <w:t xml:space="preserve"> </w:t>
      </w:r>
      <w:r>
        <w:rPr>
          <w:b/>
          <w:bCs/>
          <w:rtl/>
        </w:rPr>
        <w:t>(</w:t>
      </w:r>
      <w:r>
        <w:rPr>
          <w:b/>
          <w:bCs/>
          <w:rtl/>
        </w:rPr>
        <w:t>ז</w:t>
      </w:r>
      <w:r>
        <w:rPr>
          <w:b/>
          <w:bCs/>
          <w:rtl/>
        </w:rPr>
        <w:t>:)</w:t>
      </w:r>
    </w:p>
    <w:sectPr w:rsidR="009E50E6">
      <w:pgSz w:w="12240" w:h="15840"/>
      <w:pgMar w:top="1134" w:right="1134" w:bottom="1134" w:left="1134" w:header="0" w:footer="0" w:gutter="0"/>
      <w:cols w:space="720"/>
      <w:formProt w:val="0"/>
      <w:bidi/>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FFB" w:rsidRDefault="00833FFB">
      <w:r>
        <w:separator/>
      </w:r>
    </w:p>
  </w:endnote>
  <w:endnote w:type="continuationSeparator" w:id="0">
    <w:p w:rsidR="00833FFB" w:rsidRDefault="00833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00"/>
    <w:family w:val="roman"/>
    <w:notTrueType/>
    <w:pitch w:val="default"/>
  </w:font>
  <w:font w:name="Shofar">
    <w:panose1 w:val="02000000000000000000"/>
    <w:charset w:val="00"/>
    <w:family w:val="auto"/>
    <w:pitch w:val="variable"/>
    <w:sig w:usb0="8000086F" w:usb1="4000204A" w:usb2="00000000" w:usb3="00000000" w:csb0="0000002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FFB" w:rsidRDefault="00833FFB">
      <w:pPr>
        <w:rPr>
          <w:sz w:val="12"/>
        </w:rPr>
      </w:pPr>
      <w:r>
        <w:separator/>
      </w:r>
    </w:p>
  </w:footnote>
  <w:footnote w:type="continuationSeparator" w:id="0">
    <w:p w:rsidR="00833FFB" w:rsidRDefault="00833FFB">
      <w:pPr>
        <w:rPr>
          <w:sz w:val="12"/>
        </w:rPr>
      </w:pPr>
      <w:r>
        <w:continuationSeparator/>
      </w:r>
    </w:p>
  </w:footnote>
  <w:footnote w:id="1">
    <w:p w:rsidR="009E50E6" w:rsidRDefault="00833FFB">
      <w:pPr>
        <w:pStyle w:val="FootnoteText"/>
      </w:pPr>
      <w:r>
        <w:rPr>
          <w:rStyle w:val="FootnoteCharacters"/>
        </w:rPr>
        <w:footnoteRef/>
      </w:r>
      <w:r>
        <w:rPr>
          <w:rtl/>
        </w:rPr>
        <w:tab/>
        <w:t>יש עוד חילוקים:</w:t>
      </w:r>
    </w:p>
    <w:p w:rsidR="009E50E6" w:rsidRDefault="00833FFB">
      <w:pPr>
        <w:pStyle w:val="FootnoteText"/>
        <w:numPr>
          <w:ilvl w:val="0"/>
          <w:numId w:val="29"/>
        </w:numPr>
      </w:pPr>
      <w:r>
        <w:rPr>
          <w:rtl/>
        </w:rPr>
        <w:t>יש חילוקים במי יכול להיות נודר או נידר.</w:t>
      </w:r>
    </w:p>
    <w:p w:rsidR="009E50E6" w:rsidRDefault="00833FFB">
      <w:pPr>
        <w:pStyle w:val="FootnoteText"/>
        <w:numPr>
          <w:ilvl w:val="0"/>
          <w:numId w:val="29"/>
        </w:numPr>
      </w:pPr>
      <w:r>
        <w:rPr>
          <w:rtl/>
        </w:rPr>
        <w:t>יש חילוק לענין השג יד.</w:t>
      </w:r>
    </w:p>
  </w:footnote>
  <w:footnote w:id="2">
    <w:p w:rsidR="009E50E6" w:rsidRDefault="00833FFB">
      <w:pPr>
        <w:pStyle w:val="FootnoteText"/>
      </w:pPr>
      <w:r>
        <w:rPr>
          <w:rStyle w:val="FootnoteCharacters"/>
        </w:rPr>
        <w:footnoteRef/>
      </w:r>
      <w:r>
        <w:rPr>
          <w:rtl/>
        </w:rPr>
        <w:tab/>
      </w:r>
      <w:r>
        <w:rPr>
          <w:rtl/>
        </w:rPr>
        <w:t xml:space="preserve">זה </w:t>
      </w:r>
      <w:r>
        <w:rPr>
          <w:rtl/>
        </w:rPr>
        <w:t xml:space="preserve">חרש שלא יכול לשמוע או לדבר, כמו בכל מקום שאומר חרש סתם (עם שוטה וקטן). </w:t>
      </w:r>
      <w:r>
        <w:rPr>
          <w:rtl/>
        </w:rPr>
        <w:t xml:space="preserve">כן אומר גמרא חגיגה </w:t>
      </w:r>
      <w:r>
        <w:rPr>
          <w:b/>
          <w:bCs/>
          <w:rtl/>
        </w:rPr>
        <w:t>(</w:t>
      </w:r>
      <w:r>
        <w:rPr>
          <w:b/>
          <w:bCs/>
          <w:rtl/>
        </w:rPr>
        <w:t>ב</w:t>
      </w:r>
      <w:r>
        <w:rPr>
          <w:b/>
          <w:bCs/>
          <w:rtl/>
        </w:rPr>
        <w:t>:</w:t>
      </w:r>
      <w:r>
        <w:rPr>
          <w:rtl/>
        </w:rPr>
        <w:t>)</w:t>
      </w:r>
    </w:p>
  </w:footnote>
  <w:footnote w:id="3">
    <w:p w:rsidR="009E50E6" w:rsidRDefault="00833FFB">
      <w:pPr>
        <w:pStyle w:val="FootnoteText"/>
      </w:pPr>
      <w:r>
        <w:rPr>
          <w:rStyle w:val="FootnoteCharacters"/>
        </w:rPr>
        <w:footnoteRef/>
      </w:r>
      <w:r>
        <w:rPr>
          <w:rtl/>
        </w:rPr>
        <w:tab/>
      </w:r>
      <w:r>
        <w:rPr>
          <w:rtl/>
        </w:rPr>
        <w:t>אגב, יש לציין לגמרא יבמות (</w:t>
      </w:r>
      <w:r>
        <w:rPr>
          <w:b/>
          <w:bCs/>
          <w:rtl/>
        </w:rPr>
        <w:t>קיג</w:t>
      </w:r>
      <w:r>
        <w:rPr>
          <w:rtl/>
        </w:rPr>
        <w:t xml:space="preserve">.) מה שיוצא מאותו גמרא הוא כך. חלקו רבנן ורבי אליעזר אם יש שום צד דעת לחרש. רבנן סוברים שאין שום דעת לו, והוא שווה לחרש. רבי אליעזר סובר שיש בו צד דעת, ומסופק אם תרומתו תרומה. </w:t>
      </w:r>
    </w:p>
    <w:p w:rsidR="009E50E6" w:rsidRDefault="00833FFB">
      <w:pPr>
        <w:pStyle w:val="FootnoteText"/>
      </w:pPr>
      <w:r>
        <w:rPr>
          <w:rtl/>
        </w:rPr>
        <w:tab/>
        <w:t>שם, דן מה סובר רבי אלי</w:t>
      </w:r>
      <w:r>
        <w:rPr>
          <w:rtl/>
        </w:rPr>
        <w:t xml:space="preserve">עזר. יש לגמרא שני צדדים: </w:t>
      </w:r>
    </w:p>
    <w:p w:rsidR="009E50E6" w:rsidRDefault="00833FFB">
      <w:pPr>
        <w:pStyle w:val="FootnoteText"/>
        <w:numPr>
          <w:ilvl w:val="0"/>
          <w:numId w:val="4"/>
        </w:numPr>
      </w:pPr>
      <w:r>
        <w:rPr>
          <w:rtl/>
        </w:rPr>
        <w:t xml:space="preserve">סובר שיש לו קצת דעת. רבי אליעזר מסופק אם אותו דעת נחשב דעת. </w:t>
      </w:r>
    </w:p>
    <w:p w:rsidR="009E50E6" w:rsidRDefault="00833FFB">
      <w:pPr>
        <w:pStyle w:val="FootnoteText"/>
        <w:numPr>
          <w:ilvl w:val="0"/>
          <w:numId w:val="4"/>
        </w:numPr>
      </w:pPr>
      <w:r>
        <w:rPr>
          <w:rtl/>
        </w:rPr>
        <w:t>סובר שלפעמים שי לו דעת ולפעמים אין לו. אז, כל מעשיו הם תלויים בספק אם היה בן דעת אז.</w:t>
      </w:r>
    </w:p>
    <w:p w:rsidR="009E50E6" w:rsidRDefault="00833FFB">
      <w:pPr>
        <w:pStyle w:val="FootnoteText"/>
      </w:pPr>
      <w:r>
        <w:rPr>
          <w:rtl/>
        </w:rPr>
        <w:tab/>
        <w:t>לרבנן, פשוט שדין של גמרא כאן נכון. נראה שאף לרבי אליעזר יהיה דין זה נכון, שמחמת המו</w:t>
      </w:r>
      <w:r>
        <w:rPr>
          <w:rtl/>
        </w:rPr>
        <w:t>ציא מחברו עליו הראיה לא יהיה חייב לשלם. ותחשב.</w:t>
      </w:r>
    </w:p>
  </w:footnote>
  <w:footnote w:id="4">
    <w:p w:rsidR="009E50E6" w:rsidRDefault="00833FFB">
      <w:pPr>
        <w:pStyle w:val="FootnoteText"/>
      </w:pPr>
      <w:r>
        <w:rPr>
          <w:rStyle w:val="FootnoteCharacters"/>
        </w:rPr>
        <w:footnoteRef/>
      </w:r>
      <w:r>
        <w:rPr>
          <w:rtl/>
        </w:rPr>
        <w:tab/>
      </w:r>
      <w:r>
        <w:rPr>
          <w:rtl/>
        </w:rPr>
        <w:t xml:space="preserve">תלוי </w:t>
      </w:r>
      <w:r>
        <w:rPr>
          <w:rtl/>
        </w:rPr>
        <w:t>בשני דברים: שנים וסימנים. אנו רק נידון בשנים, כיון שלא יודעים דין סימנים עם שנים כל כך טוב.</w:t>
      </w:r>
    </w:p>
  </w:footnote>
  <w:footnote w:id="5">
    <w:p w:rsidR="009E50E6" w:rsidRDefault="00833FFB">
      <w:pPr>
        <w:pStyle w:val="FootnoteText"/>
      </w:pPr>
      <w:r>
        <w:rPr>
          <w:rStyle w:val="FootnoteCharacters"/>
        </w:rPr>
        <w:footnoteRef/>
      </w:r>
      <w:r>
        <w:rPr>
          <w:rtl/>
        </w:rPr>
        <w:tab/>
      </w:r>
      <w:r>
        <w:rPr>
          <w:rtl/>
        </w:rPr>
        <w:t xml:space="preserve">גמרא </w:t>
      </w:r>
      <w:r>
        <w:rPr>
          <w:rtl/>
        </w:rPr>
        <w:t>בנדה דן אם תוך זמנו כלאחר זמנו או לא. להלכה, אינו כלאחר זמנו. גמרא גם מבאר שהשנים הם מיום ליום, שנחשב ש</w:t>
      </w:r>
      <w:r>
        <w:rPr>
          <w:rtl/>
        </w:rPr>
        <w:t>נה רק באותו יום, בשנה שאחרי כן.</w:t>
      </w:r>
    </w:p>
  </w:footnote>
  <w:footnote w:id="6">
    <w:p w:rsidR="009E50E6" w:rsidRDefault="00833FFB">
      <w:pPr>
        <w:pStyle w:val="FootnoteText"/>
      </w:pPr>
      <w:r>
        <w:rPr>
          <w:rStyle w:val="FootnoteCharacters"/>
        </w:rPr>
        <w:footnoteRef/>
      </w:r>
      <w:r>
        <w:rPr>
          <w:rtl/>
        </w:rPr>
        <w:tab/>
      </w:r>
      <w:r>
        <w:rPr>
          <w:rtl/>
        </w:rPr>
        <w:t xml:space="preserve">לכאורה, </w:t>
      </w:r>
      <w:r>
        <w:rPr>
          <w:rtl/>
        </w:rPr>
        <w:t>היה נראה לומר שיש חיוב דרבנן בקטן אם הגיע לשנות חינוך. צריך לבאר, אז, מהו החילוק בין מופלא סמוך לאיש וקטן. אפשר שהחילוק הוא אם החיוב הוא מדאורייתא או מדרבנן. קשה, שיש שיטה בגמרא שסובר שמופלא סמוך לאיש הוא מדרבנן. א</w:t>
      </w:r>
      <w:r>
        <w:rPr>
          <w:rtl/>
        </w:rPr>
        <w:t>פשר שהחילוק הוא אם החיוב הוא על הבן או על האב (ויהיה נפק"מ לדין באם אין האב כופה את הבין, כמו אילו אין אב). חולקים ראשונים על מי חיוב חינוך חל, ולפי ראשונים שהוא חיוב על הבן, קשה מהו החילוק. אולי יש נפק"מ אם לא כבר הגיע לגיל חינוך, אבל הוא מופלא. מוזר שיהי</w:t>
      </w:r>
      <w:r>
        <w:rPr>
          <w:rtl/>
        </w:rPr>
        <w:t>ה כבר ידוע למי מפלא, אבל אינו בר חינוך. אפשר שאין נפק"מ היום, אבל גזרו רבנן בזמנים שונים, ולפני גזירת חינוך היה נפק"מ, שרק מופלא סמוך לאיש חייב. לא נראה כן, שמשנה אומר דין מופלא סמוך לאיש, ומשמע שעדיין היה נהוג. אז, צריך ביאור.</w:t>
      </w:r>
    </w:p>
    <w:p w:rsidR="009E50E6" w:rsidRDefault="00833FFB">
      <w:pPr>
        <w:pStyle w:val="FootnoteText"/>
      </w:pPr>
      <w:r>
        <w:rPr>
          <w:rtl/>
        </w:rPr>
        <w:tab/>
        <w:t>שוב ראיתי שגמרא משמע שאם הו</w:t>
      </w:r>
      <w:r>
        <w:rPr>
          <w:rtl/>
        </w:rPr>
        <w:t>א דרבנן, אין החיוב עליו אלא על אביו. (נדה מו:) אם כן, אי אפשר לומר כמש"כ. באמת, לחולקים על רש"י וסוברים שחיוב חינוך הוא על הבן, צריך ביאור איך יפרשו גמרא זה. ותחשב. אפשר לומר שגמרא אומר (וזה יתרץ גם כן קושייתינו אף אם לא נאמר שגמרא אומר כן) שהחידוש הוא שאם</w:t>
      </w:r>
      <w:r>
        <w:rPr>
          <w:rtl/>
        </w:rPr>
        <w:t xml:space="preserve"> נודר, אחרים צריכים לנהוג כאותו נדר, מה שאין כן בשאר קטן. יש לדון למה יצטרכו אחרים לעשות כן. ויש לומר שהוא גזירה אטו גדול, שנראה כגדול.</w:t>
      </w:r>
    </w:p>
  </w:footnote>
  <w:footnote w:id="7">
    <w:p w:rsidR="009E50E6" w:rsidRDefault="00833FFB">
      <w:pPr>
        <w:pStyle w:val="FootnoteText"/>
      </w:pPr>
      <w:r>
        <w:rPr>
          <w:rStyle w:val="FootnoteCharacters"/>
        </w:rPr>
        <w:footnoteRef/>
      </w:r>
      <w:r>
        <w:rPr>
          <w:rtl/>
        </w:rPr>
        <w:tab/>
      </w:r>
      <w:r>
        <w:rPr>
          <w:rtl/>
        </w:rPr>
        <w:t xml:space="preserve">חולקים </w:t>
      </w:r>
      <w:r>
        <w:rPr>
          <w:rtl/>
        </w:rPr>
        <w:t>אביי ורבה באם הוה אמינא לכהנים כולל אף לויים, אבל מודים שיש הוה אמינא גבי כוהנים.</w:t>
      </w:r>
    </w:p>
  </w:footnote>
  <w:footnote w:id="8">
    <w:p w:rsidR="009E50E6" w:rsidRDefault="00833FFB">
      <w:pPr>
        <w:pStyle w:val="FootnoteText"/>
      </w:pPr>
      <w:r>
        <w:rPr>
          <w:rStyle w:val="FootnoteCharacters"/>
        </w:rPr>
        <w:footnoteRef/>
      </w:r>
      <w:r>
        <w:rPr>
          <w:rtl/>
        </w:rPr>
        <w:tab/>
      </w:r>
      <w:r>
        <w:rPr>
          <w:rtl/>
        </w:rPr>
        <w:t xml:space="preserve">לא </w:t>
      </w:r>
      <w:r>
        <w:rPr>
          <w:rtl/>
        </w:rPr>
        <w:t>הבנתי איך יכולים לדרוש כ</w:t>
      </w:r>
      <w:r>
        <w:rPr>
          <w:rtl/>
        </w:rPr>
        <w:t>ן מ"איש,” שלכאורה איש משמע שצריך להיות איש, ולא יכול להיות רק מופלא.</w:t>
      </w:r>
    </w:p>
  </w:footnote>
  <w:footnote w:id="9">
    <w:p w:rsidR="009E50E6" w:rsidRDefault="00833FFB">
      <w:pPr>
        <w:pStyle w:val="FootnoteText"/>
      </w:pPr>
      <w:r>
        <w:rPr>
          <w:rStyle w:val="FootnoteCharacters"/>
        </w:rPr>
        <w:footnoteRef/>
      </w:r>
      <w:r>
        <w:rPr>
          <w:rtl/>
        </w:rPr>
        <w:tab/>
      </w:r>
      <w:r>
        <w:rPr>
          <w:rtl/>
        </w:rPr>
        <w:t xml:space="preserve">לא </w:t>
      </w:r>
      <w:r>
        <w:rPr>
          <w:rtl/>
        </w:rPr>
        <w:t>פשוט מהו דיחוי של גמרא, שרק אומר "קמ"ל.” אביי דוחה כל ההו"א, ואומר שפשוט לדחות כך, כמו שפרשנו. מסתמא, אז, רבה שמבאר כן בהוה אמינא, יבאר שהמסקנא הוא כמה שהניח אביי להיות פשוט. ויש לדו</w:t>
      </w:r>
      <w:r>
        <w:rPr>
          <w:rtl/>
        </w:rPr>
        <w:t>ן</w:t>
      </w:r>
    </w:p>
  </w:footnote>
  <w:footnote w:id="10">
    <w:p w:rsidR="009E50E6" w:rsidRDefault="00833FFB">
      <w:pPr>
        <w:pStyle w:val="FootnoteText"/>
      </w:pPr>
      <w:r>
        <w:rPr>
          <w:rStyle w:val="FootnoteCharacters"/>
        </w:rPr>
        <w:footnoteRef/>
      </w:r>
      <w:r>
        <w:rPr>
          <w:rtl/>
        </w:rPr>
        <w:tab/>
      </w:r>
      <w:r>
        <w:rPr>
          <w:rtl/>
        </w:rPr>
        <w:t>הנחתי שזהו הוה אמינא של גמרא, אבל אינו מוכרח. גמרא בא לפרש למה צריך להזכיר שכהן מעריך. היה אפשר לומר שגמרא אומר שצריך להזכיר לומר שיש לו דין של כל שאר מעריכים, דהיינו שיש לו השג יד. ותחשב.</w:t>
      </w:r>
    </w:p>
  </w:footnote>
  <w:footnote w:id="11">
    <w:p w:rsidR="009E50E6" w:rsidRDefault="00833FFB">
      <w:pPr>
        <w:pStyle w:val="FootnoteText"/>
      </w:pPr>
      <w:r>
        <w:rPr>
          <w:rStyle w:val="FootnoteCharacters"/>
        </w:rPr>
        <w:footnoteRef/>
      </w:r>
      <w:r>
        <w:rPr>
          <w:rtl/>
        </w:rPr>
        <w:tab/>
      </w:r>
      <w:r>
        <w:rPr>
          <w:rtl/>
        </w:rPr>
        <w:t xml:space="preserve">יש </w:t>
      </w:r>
      <w:r>
        <w:rPr>
          <w:rtl/>
        </w:rPr>
        <w:t xml:space="preserve">לדון אם למסקנא אין דורשים שאין לו השג יד, או אין סוברים </w:t>
      </w:r>
      <w:r>
        <w:rPr>
          <w:rtl/>
        </w:rPr>
        <w:t>שמי שאין לו השג יד אינו מעריך.</w:t>
      </w:r>
    </w:p>
  </w:footnote>
  <w:footnote w:id="12">
    <w:p w:rsidR="009E50E6" w:rsidRDefault="00833FFB">
      <w:pPr>
        <w:pStyle w:val="FootnoteText"/>
      </w:pPr>
      <w:r>
        <w:rPr>
          <w:rStyle w:val="FootnoteCharacters"/>
        </w:rPr>
        <w:footnoteRef/>
      </w:r>
      <w:r>
        <w:rPr>
          <w:rtl/>
        </w:rPr>
        <w:tab/>
      </w:r>
      <w:r>
        <w:rPr>
          <w:rtl/>
        </w:rPr>
        <w:t xml:space="preserve">ויש </w:t>
      </w:r>
      <w:r>
        <w:rPr>
          <w:rtl/>
        </w:rPr>
        <w:t>עוד הוה אמינא לגבי כוהנים, והוא של אביי. כתבנו אותו באותם שיש בהם מחלקת, שאותו הוה אמינא הוא אף על לויים, ועל זה יש מחלקת.</w:t>
      </w:r>
    </w:p>
  </w:footnote>
  <w:footnote w:id="13">
    <w:p w:rsidR="009E50E6" w:rsidRDefault="00833FFB">
      <w:pPr>
        <w:pStyle w:val="FootnoteText"/>
      </w:pPr>
      <w:r>
        <w:rPr>
          <w:rStyle w:val="FootnoteCharacters"/>
        </w:rPr>
        <w:footnoteRef/>
      </w:r>
      <w:r>
        <w:rPr>
          <w:rtl/>
        </w:rPr>
        <w:tab/>
      </w:r>
      <w:r>
        <w:rPr>
          <w:rtl/>
        </w:rPr>
        <w:t xml:space="preserve">אף </w:t>
      </w:r>
      <w:r>
        <w:rPr>
          <w:rtl/>
        </w:rPr>
        <w:t>שמרבים דברים אחרים ממנו שם, שקולים הם, ודורשים כולם.</w:t>
      </w:r>
    </w:p>
  </w:footnote>
  <w:footnote w:id="14">
    <w:p w:rsidR="009E50E6" w:rsidRDefault="00833FFB">
      <w:pPr>
        <w:pStyle w:val="FootnoteText"/>
      </w:pPr>
      <w:r>
        <w:rPr>
          <w:rStyle w:val="FootnoteCharacters"/>
        </w:rPr>
        <w:footnoteRef/>
      </w:r>
      <w:r>
        <w:rPr>
          <w:rtl/>
        </w:rPr>
        <w:tab/>
      </w:r>
      <w:r>
        <w:rPr>
          <w:rtl/>
        </w:rPr>
        <w:t xml:space="preserve">ויש </w:t>
      </w:r>
      <w:r>
        <w:rPr>
          <w:rtl/>
        </w:rPr>
        <w:t xml:space="preserve">להעיר שאחד הוא מחלקת באם יש הוה </w:t>
      </w:r>
      <w:r>
        <w:rPr>
          <w:rtl/>
        </w:rPr>
        <w:t>אמינא, ושני הוא מחלקת בדין.</w:t>
      </w:r>
    </w:p>
  </w:footnote>
  <w:footnote w:id="15">
    <w:p w:rsidR="009E50E6" w:rsidRDefault="00833FFB">
      <w:pPr>
        <w:pStyle w:val="FootnoteText"/>
      </w:pPr>
      <w:r>
        <w:rPr>
          <w:rStyle w:val="FootnoteCharacters"/>
        </w:rPr>
        <w:footnoteRef/>
      </w:r>
      <w:r>
        <w:rPr>
          <w:rtl/>
        </w:rPr>
        <w:tab/>
      </w:r>
      <w:r>
        <w:rPr>
          <w:rtl/>
        </w:rPr>
        <w:t xml:space="preserve">יש </w:t>
      </w:r>
      <w:r>
        <w:rPr>
          <w:rtl/>
        </w:rPr>
        <w:t>לדון אם פוטר מי שלא צריך לפדות בנו או מי שלא צריך ליפדות. אם נאמר כשני, אף נפטור בן לויה ובן כהנת.</w:t>
      </w:r>
    </w:p>
  </w:footnote>
  <w:footnote w:id="16">
    <w:p w:rsidR="009E50E6" w:rsidRDefault="00833FFB">
      <w:pPr>
        <w:pStyle w:val="FootnoteText"/>
      </w:pPr>
      <w:r>
        <w:rPr>
          <w:rStyle w:val="FootnoteCharacters"/>
        </w:rPr>
        <w:footnoteRef/>
      </w:r>
      <w:r>
        <w:rPr>
          <w:rtl/>
        </w:rPr>
        <w:tab/>
      </w:r>
      <w:r>
        <w:rPr>
          <w:rtl/>
        </w:rPr>
        <w:t xml:space="preserve">לא </w:t>
      </w:r>
      <w:r>
        <w:rPr>
          <w:rtl/>
        </w:rPr>
        <w:t>מבאר גמרא אמאי לא, אלא מוכיחים אותו מקרא אחר (שמקיש ערכין לאשם כך), שלא דורשים אותו.</w:t>
      </w:r>
    </w:p>
  </w:footnote>
  <w:footnote w:id="17">
    <w:p w:rsidR="009E50E6" w:rsidRDefault="00833FFB">
      <w:pPr>
        <w:pStyle w:val="FootnoteText"/>
      </w:pPr>
      <w:r>
        <w:rPr>
          <w:rStyle w:val="FootnoteCharacters"/>
        </w:rPr>
        <w:footnoteRef/>
      </w:r>
      <w:r>
        <w:rPr>
          <w:rtl/>
        </w:rPr>
        <w:tab/>
      </w:r>
      <w:r>
        <w:rPr>
          <w:rtl/>
        </w:rPr>
        <w:t xml:space="preserve">לקמן, </w:t>
      </w:r>
      <w:r>
        <w:rPr>
          <w:rtl/>
        </w:rPr>
        <w:t>משנה יאמר שאם אמר אדם שערך</w:t>
      </w:r>
      <w:r>
        <w:rPr>
          <w:rtl/>
        </w:rPr>
        <w:t xml:space="preserve"> של פחות מבן חודש עליו, חולקים רבי מאיר ורבנן. אין ערך לפחות מבן חודש, ואז רבנן פוטרים אותו. רבי מאיר סבר שחייב דמיו.</w:t>
      </w:r>
    </w:p>
    <w:p w:rsidR="009E50E6" w:rsidRDefault="00833FFB">
      <w:pPr>
        <w:pStyle w:val="FootnoteText"/>
      </w:pPr>
      <w:r>
        <w:rPr>
          <w:rtl/>
        </w:rPr>
        <w:tab/>
        <w:t>רש"י כאן כ’ שני מהלכים בגמרא זה. כ’ שאפשר שהיה יכול לרבות כל מי שנידר שמשנה אומר לקמן. גם מוסיף שאולי נקט זה לרבות שאף לרבנן יש לו דמים א</w:t>
      </w:r>
      <w:r>
        <w:rPr>
          <w:rtl/>
        </w:rPr>
        <w:t>ם אמר לשון דמים (וצירך לומר שזה פשוט די עד שעדיין צריך לומר שתני והדר מפרש, אבל עדיין רצה לומר דבר שלא נאמר בפירוש).</w:t>
      </w:r>
    </w:p>
    <w:p w:rsidR="009E50E6" w:rsidRDefault="00833FFB">
      <w:pPr>
        <w:pStyle w:val="FootnoteText"/>
      </w:pPr>
      <w:r>
        <w:rPr>
          <w:rtl/>
        </w:rPr>
        <w:tab/>
        <w:t>יש לדון מהו צד ראשון של רש"י, אם מרבה כשאומר לשון דמים, וככולי עלמא, או מרבה אם אומר לשון ערך, וכרבי מאיר. הסיבה שלא נאמר כצד ראשון, להוקי</w:t>
      </w:r>
      <w:r>
        <w:rPr>
          <w:rtl/>
        </w:rPr>
        <w:t>ם אותו כדברי הכל, הוא שאולי זה פשוט ביותר, שלמה לא יהיה לו דמים.</w:t>
      </w:r>
    </w:p>
  </w:footnote>
  <w:footnote w:id="18">
    <w:p w:rsidR="009E50E6" w:rsidRDefault="00833FFB">
      <w:pPr>
        <w:pStyle w:val="FootnoteText"/>
      </w:pPr>
      <w:r>
        <w:rPr>
          <w:rStyle w:val="FootnoteCharacters"/>
        </w:rPr>
        <w:footnoteRef/>
      </w:r>
      <w:r>
        <w:rPr>
          <w:rtl/>
        </w:rPr>
        <w:tab/>
      </w:r>
      <w:r>
        <w:rPr>
          <w:rtl/>
        </w:rPr>
        <w:t xml:space="preserve">גמרא </w:t>
      </w:r>
      <w:r>
        <w:rPr>
          <w:rtl/>
        </w:rPr>
        <w:t>סוכה (כח:) מפרש שני שיטות. דבי רבי ינאי אומר שהוא כל שנפנה ואין אמו מקנחתו. רבי שמעון אומר שהוא כל שנעור ואינו קורא אמא אמא עד שתבוא. יש לדון אם חולקים.</w:t>
      </w:r>
    </w:p>
  </w:footnote>
  <w:footnote w:id="19">
    <w:p w:rsidR="009E50E6" w:rsidRDefault="00833FFB">
      <w:pPr>
        <w:pStyle w:val="FootnoteText"/>
      </w:pPr>
      <w:r>
        <w:rPr>
          <w:rStyle w:val="FootnoteCharacters"/>
        </w:rPr>
        <w:footnoteRef/>
      </w:r>
      <w:r>
        <w:rPr>
          <w:rtl/>
        </w:rPr>
        <w:tab/>
      </w:r>
      <w:r>
        <w:rPr>
          <w:rtl/>
        </w:rPr>
        <w:t xml:space="preserve">צריך </w:t>
      </w:r>
      <w:r>
        <w:rPr>
          <w:rtl/>
        </w:rPr>
        <w:t>ביאור קצת מהו החידוש באל</w:t>
      </w:r>
      <w:r>
        <w:rPr>
          <w:rtl/>
        </w:rPr>
        <w:t>ו. לכאורה, החידוש הוא שגזרו רבנן חינוך. ויש לדון למה צריך, אז, כל הני משניות לחדש כן. ותחשב. ויש לדון אם, אולי, היה הו"א שרבנן רק גזרו חינוך בזה אבל לא בזה. וצריך ביאור.</w:t>
      </w:r>
    </w:p>
  </w:footnote>
  <w:footnote w:id="20">
    <w:p w:rsidR="009E50E6" w:rsidRDefault="00833FFB">
      <w:pPr>
        <w:pStyle w:val="FootnoteText"/>
      </w:pPr>
      <w:r>
        <w:rPr>
          <w:rStyle w:val="FootnoteCharacters"/>
        </w:rPr>
        <w:footnoteRef/>
      </w:r>
      <w:r>
        <w:rPr>
          <w:rtl/>
        </w:rPr>
        <w:tab/>
      </w:r>
      <w:r>
        <w:rPr>
          <w:rtl/>
        </w:rPr>
        <w:t xml:space="preserve">רש"י </w:t>
      </w:r>
      <w:r>
        <w:rPr>
          <w:rtl/>
        </w:rPr>
        <w:t>בסוכה מב. מפרש שהוא שמירה מליכנס לבית הכסא בהם.</w:t>
      </w:r>
    </w:p>
  </w:footnote>
  <w:footnote w:id="21">
    <w:p w:rsidR="009E50E6" w:rsidRDefault="00833FFB">
      <w:pPr>
        <w:pStyle w:val="FootnoteText"/>
      </w:pPr>
      <w:r>
        <w:rPr>
          <w:rStyle w:val="FootnoteCharacters"/>
        </w:rPr>
        <w:footnoteRef/>
      </w:r>
      <w:r>
        <w:rPr>
          <w:rtl/>
        </w:rPr>
        <w:tab/>
      </w:r>
      <w:r>
        <w:rPr>
          <w:rtl/>
        </w:rPr>
        <w:t xml:space="preserve">חלקו </w:t>
      </w:r>
      <w:r>
        <w:rPr>
          <w:rtl/>
        </w:rPr>
        <w:t>בית שמאי ובית הלל אם חיי</w:t>
      </w:r>
      <w:r>
        <w:rPr>
          <w:rtl/>
        </w:rPr>
        <w:t>ב רבו לשחררו (כיון שלא יכול לישא שפחה או בת חורין). לסוף, כוע"מ שכופים אותו. רש"י מפרש שכיון שכופים אותו, אף כיון ששחרר אותו, נחשב כמשוחרר לדין זה, שאין רשות רבו עליו.</w:t>
      </w:r>
    </w:p>
  </w:footnote>
  <w:footnote w:id="22">
    <w:p w:rsidR="009E50E6" w:rsidRDefault="00833FFB">
      <w:pPr>
        <w:pStyle w:val="FootnoteText"/>
      </w:pPr>
      <w:r>
        <w:rPr>
          <w:rStyle w:val="FootnoteCharacters"/>
        </w:rPr>
        <w:footnoteRef/>
      </w:r>
      <w:r>
        <w:rPr>
          <w:rtl/>
        </w:rPr>
        <w:tab/>
      </w:r>
      <w:r>
        <w:rPr>
          <w:rtl/>
        </w:rPr>
        <w:t xml:space="preserve">ההלכה </w:t>
      </w:r>
      <w:r>
        <w:rPr>
          <w:rtl/>
        </w:rPr>
        <w:t>הוא שיכולים להביא עולת ראיה לשבע (ובסוכות, לשמנה) ימים. חולקים אמוראים אם כולם ת</w:t>
      </w:r>
      <w:r>
        <w:rPr>
          <w:rtl/>
        </w:rPr>
        <w:t>שלומים ליום ראשון או כל יום תשלום ליום שלפניו. לצד שני, יש חיוב חדש לכל יום, ואז אם נתפשט בתוך החג, חייב. לצד ראשון, כולם תשלומים לחיוב אחד, ואם נתפשט בתוך החג פטור. אז, חידוש זה נכון רק אם כולם תשלומים זל"ז.</w:t>
      </w:r>
    </w:p>
  </w:footnote>
  <w:footnote w:id="23">
    <w:p w:rsidR="009E50E6" w:rsidRDefault="00833FFB">
      <w:pPr>
        <w:pStyle w:val="FootnoteText"/>
      </w:pPr>
      <w:r>
        <w:rPr>
          <w:rStyle w:val="FootnoteCharacters"/>
        </w:rPr>
        <w:footnoteRef/>
      </w:r>
      <w:r>
        <w:rPr>
          <w:rtl/>
        </w:rPr>
        <w:tab/>
      </w:r>
      <w:r>
        <w:rPr>
          <w:rtl/>
        </w:rPr>
        <w:t xml:space="preserve">גמרא </w:t>
      </w:r>
      <w:r>
        <w:rPr>
          <w:rtl/>
        </w:rPr>
        <w:t>(ב:) מביא תנא שחולק על זה, שדורש מ"יראה</w:t>
      </w:r>
      <w:r>
        <w:rPr>
          <w:rtl/>
        </w:rPr>
        <w:t>" שצריך להיות נראה שלם כמו שה’ רואה אותך כשהוא שלם.</w:t>
      </w:r>
    </w:p>
  </w:footnote>
  <w:footnote w:id="24">
    <w:p w:rsidR="009E50E6" w:rsidRDefault="00833FFB">
      <w:pPr>
        <w:pStyle w:val="FootnoteText"/>
      </w:pPr>
      <w:r>
        <w:rPr>
          <w:rStyle w:val="FootnoteCharacters"/>
        </w:rPr>
        <w:footnoteRef/>
      </w:r>
      <w:r>
        <w:rPr>
          <w:rtl/>
        </w:rPr>
        <w:tab/>
      </w:r>
      <w:r>
        <w:rPr>
          <w:rtl/>
        </w:rPr>
        <w:t xml:space="preserve">חולקים </w:t>
      </w:r>
      <w:r>
        <w:rPr>
          <w:rtl/>
        </w:rPr>
        <w:t>ביומא (פב) איזה גיל הוא.</w:t>
      </w:r>
    </w:p>
  </w:footnote>
  <w:footnote w:id="25">
    <w:p w:rsidR="009E50E6" w:rsidRDefault="00833FFB">
      <w:pPr>
        <w:pStyle w:val="FootnoteText"/>
      </w:pPr>
      <w:r>
        <w:rPr>
          <w:rStyle w:val="FootnoteCharacters"/>
        </w:rPr>
        <w:footnoteRef/>
      </w:r>
      <w:r>
        <w:rPr>
          <w:rtl/>
        </w:rPr>
        <w:tab/>
      </w:r>
      <w:r>
        <w:rPr>
          <w:rtl/>
        </w:rPr>
        <w:t xml:space="preserve">מפני </w:t>
      </w:r>
      <w:r>
        <w:rPr>
          <w:rtl/>
        </w:rPr>
        <w:t>שאף הן היו באותו הנס (מגילה ד.).</w:t>
      </w:r>
    </w:p>
  </w:footnote>
  <w:footnote w:id="26">
    <w:p w:rsidR="009E50E6" w:rsidRDefault="00833FFB">
      <w:pPr>
        <w:pStyle w:val="FootnoteText"/>
      </w:pPr>
      <w:r>
        <w:rPr>
          <w:rStyle w:val="FootnoteCharacters"/>
        </w:rPr>
        <w:footnoteRef/>
      </w:r>
      <w:r>
        <w:rPr>
          <w:rtl/>
        </w:rPr>
        <w:tab/>
      </w:r>
      <w:r>
        <w:rPr>
          <w:rtl/>
        </w:rPr>
        <w:t xml:space="preserve">חולקים </w:t>
      </w:r>
      <w:r>
        <w:rPr>
          <w:rtl/>
        </w:rPr>
        <w:t>ראשונים אם אף יכולות נשים להוציא אנשים. רש"י כאן (ג.) כ’ שיכולות. בה"ג חולק.</w:t>
      </w:r>
    </w:p>
  </w:footnote>
  <w:footnote w:id="27">
    <w:p w:rsidR="009E50E6" w:rsidRDefault="00833FFB">
      <w:pPr>
        <w:pStyle w:val="FootnoteText"/>
      </w:pPr>
      <w:r>
        <w:rPr>
          <w:rStyle w:val="FootnoteCharacters"/>
        </w:rPr>
        <w:footnoteRef/>
      </w:r>
      <w:r>
        <w:rPr>
          <w:rtl/>
        </w:rPr>
        <w:tab/>
      </w:r>
      <w:r>
        <w:rPr>
          <w:rtl/>
        </w:rPr>
        <w:t xml:space="preserve">אלא </w:t>
      </w:r>
      <w:r>
        <w:rPr>
          <w:rtl/>
        </w:rPr>
        <w:t xml:space="preserve">שצריכים לזמן בפני עצמם- נשים עם נשים, </w:t>
      </w:r>
      <w:r>
        <w:rPr>
          <w:rtl/>
        </w:rPr>
        <w:t>ועבדים עם עבדים.</w:t>
      </w:r>
    </w:p>
  </w:footnote>
  <w:footnote w:id="28">
    <w:p w:rsidR="009E50E6" w:rsidRDefault="00833FFB">
      <w:pPr>
        <w:pStyle w:val="FootnoteText"/>
      </w:pPr>
      <w:r>
        <w:rPr>
          <w:rStyle w:val="FootnoteCharacters"/>
        </w:rPr>
        <w:footnoteRef/>
      </w:r>
      <w:r>
        <w:rPr>
          <w:rtl/>
        </w:rPr>
        <w:tab/>
      </w:r>
      <w:r>
        <w:rPr>
          <w:rtl/>
        </w:rPr>
        <w:t xml:space="preserve">מפרש </w:t>
      </w:r>
      <w:r>
        <w:rPr>
          <w:rtl/>
        </w:rPr>
        <w:t>תוי"ט שהוא מיעוט אחר מיעוט, ש"איש" משמע למעט קטן.</w:t>
      </w:r>
    </w:p>
  </w:footnote>
  <w:footnote w:id="29">
    <w:p w:rsidR="009E50E6" w:rsidRDefault="00833FFB">
      <w:pPr>
        <w:pStyle w:val="FootnoteText"/>
      </w:pPr>
      <w:r>
        <w:rPr>
          <w:rStyle w:val="FootnoteCharacters"/>
        </w:rPr>
        <w:footnoteRef/>
      </w:r>
      <w:r>
        <w:rPr>
          <w:rtl/>
        </w:rPr>
        <w:tab/>
      </w:r>
      <w:r>
        <w:rPr>
          <w:rtl/>
        </w:rPr>
        <w:t xml:space="preserve">עיין </w:t>
      </w:r>
      <w:r>
        <w:rPr>
          <w:rtl/>
        </w:rPr>
        <w:t>בנדה (לב:), שמאריך בזה.</w:t>
      </w:r>
    </w:p>
  </w:footnote>
  <w:footnote w:id="30">
    <w:p w:rsidR="009E50E6" w:rsidRDefault="00833FFB">
      <w:pPr>
        <w:pStyle w:val="FootnoteText"/>
      </w:pPr>
      <w:r>
        <w:rPr>
          <w:rStyle w:val="FootnoteCharacters"/>
        </w:rPr>
        <w:footnoteRef/>
      </w:r>
      <w:r>
        <w:rPr>
          <w:rtl/>
        </w:rPr>
        <w:tab/>
      </w:r>
      <w:r>
        <w:rPr>
          <w:rtl/>
        </w:rPr>
        <w:t xml:space="preserve">לא </w:t>
      </w:r>
      <w:r>
        <w:rPr>
          <w:rtl/>
        </w:rPr>
        <w:t>מזכיר גמרא בן כמה צריך להיות כדי לטמא. לכאורה, הוא אפילו תינוק בן יום אחד. יש לדון ל"ל פירש כאן כמו שפירש גבי טומאת זיבה. נראה שאולי בטומאת זיבה ה</w:t>
      </w:r>
      <w:r>
        <w:rPr>
          <w:rtl/>
        </w:rPr>
        <w:t>יה צריך לבאר, שבלי זה, הייתי אומר שתלוי בהיותו ראוי לביאה, ולא מטמא עד שהוא בן תשע. כאן, אין גיל אחר של תינוק שהיה מסתבר לנקוט, ואז מסתמא כל תינוק, ואף בן יום אחד, יש לו דין זה.</w:t>
      </w:r>
    </w:p>
  </w:footnote>
  <w:footnote w:id="31">
    <w:p w:rsidR="009E50E6" w:rsidRDefault="00833FFB">
      <w:pPr>
        <w:pStyle w:val="FootnoteText"/>
      </w:pPr>
      <w:r>
        <w:rPr>
          <w:rStyle w:val="FootnoteCharacters"/>
        </w:rPr>
        <w:footnoteRef/>
      </w:r>
      <w:r>
        <w:rPr>
          <w:rtl/>
        </w:rPr>
        <w:tab/>
      </w:r>
      <w:r>
        <w:rPr>
          <w:rtl/>
        </w:rPr>
        <w:t xml:space="preserve">ר"ל, </w:t>
      </w:r>
      <w:r>
        <w:rPr>
          <w:rtl/>
        </w:rPr>
        <w:t>שאף שהיא מטמאה בצרעת, שכ’, “והצרוע,” לא פורעת ופורמת.</w:t>
      </w:r>
    </w:p>
  </w:footnote>
  <w:footnote w:id="32">
    <w:p w:rsidR="009E50E6" w:rsidRDefault="00833FFB">
      <w:pPr>
        <w:pStyle w:val="FootnoteText"/>
      </w:pPr>
      <w:r>
        <w:rPr>
          <w:rStyle w:val="FootnoteCharacters"/>
        </w:rPr>
        <w:footnoteRef/>
      </w:r>
      <w:r>
        <w:rPr>
          <w:rtl/>
        </w:rPr>
        <w:tab/>
      </w:r>
      <w:r>
        <w:rPr>
          <w:rtl/>
        </w:rPr>
        <w:t xml:space="preserve">נלמד </w:t>
      </w:r>
      <w:r>
        <w:rPr>
          <w:rtl/>
        </w:rPr>
        <w:t xml:space="preserve">מקל וחומר </w:t>
      </w:r>
      <w:r>
        <w:rPr>
          <w:rtl/>
        </w:rPr>
        <w:t>מטבול יום ביבמות עב:.</w:t>
      </w:r>
    </w:p>
  </w:footnote>
  <w:footnote w:id="33">
    <w:p w:rsidR="009E50E6" w:rsidRDefault="00833FFB">
      <w:pPr>
        <w:pStyle w:val="FootnoteText"/>
      </w:pPr>
      <w:r>
        <w:rPr>
          <w:rStyle w:val="FootnoteCharacters"/>
        </w:rPr>
        <w:footnoteRef/>
      </w:r>
      <w:r>
        <w:rPr>
          <w:rtl/>
        </w:rPr>
        <w:tab/>
      </w:r>
      <w:r>
        <w:rPr>
          <w:rtl/>
        </w:rPr>
        <w:t xml:space="preserve">כך </w:t>
      </w:r>
      <w:r>
        <w:rPr>
          <w:rtl/>
        </w:rPr>
        <w:t>אומר גמרא כאן, אבל בחולין לא כל כך פשוט. משם יוצא ש"הכל" ראשון מכשיר שחיטה לכתחילה, ו"הכל" השני מכשיר רק בדיעבד. מזכיר ---- מהלכים:</w:t>
      </w:r>
    </w:p>
    <w:p w:rsidR="009E50E6" w:rsidRDefault="00833FFB">
      <w:pPr>
        <w:pStyle w:val="FootnoteText"/>
        <w:numPr>
          <w:ilvl w:val="0"/>
          <w:numId w:val="8"/>
        </w:numPr>
      </w:pPr>
      <w:r>
        <w:rPr>
          <w:rtl/>
        </w:rPr>
        <w:t xml:space="preserve">רבה בר עולא אומר שהראשון קאי על טמא ששוחט חולין בטהרת הקדש, ושני בשוחט קדשים. (ואם תאמר נשאל לו. </w:t>
      </w:r>
      <w:r>
        <w:rPr>
          <w:rtl/>
        </w:rPr>
        <w:t>גמ’ מת’ שאינו נמצא.)</w:t>
      </w:r>
    </w:p>
    <w:p w:rsidR="009E50E6" w:rsidRDefault="00833FFB">
      <w:pPr>
        <w:pStyle w:val="FootnoteText"/>
        <w:numPr>
          <w:ilvl w:val="0"/>
          <w:numId w:val="8"/>
        </w:numPr>
      </w:pPr>
      <w:r>
        <w:rPr>
          <w:rtl/>
        </w:rPr>
        <w:t>אביי אמר שהראשון קאי על כותי שהיה ישראל עומד על גביו. לא מפרש על מה קאי שני, שאם אין ישראל עומד על גביו, אינו כשר אלא אם כן אכל כותי ממנו, ואם ישראל עומד על גביו, יכשר לכתחילה.</w:t>
      </w:r>
    </w:p>
    <w:p w:rsidR="009E50E6" w:rsidRDefault="00833FFB">
      <w:pPr>
        <w:pStyle w:val="FootnoteText"/>
        <w:numPr>
          <w:ilvl w:val="0"/>
          <w:numId w:val="8"/>
        </w:numPr>
      </w:pPr>
      <w:r>
        <w:rPr>
          <w:rtl/>
        </w:rPr>
        <w:t xml:space="preserve">רבא אמר שהראשון קאי על כותי שהיה ישראל אף יוצא ונכנס. לא </w:t>
      </w:r>
      <w:r>
        <w:rPr>
          <w:rtl/>
        </w:rPr>
        <w:t>מפרש על מה קאי שני, שאם אין ישראל עומד על גביו, אינו כשר אלא אם כן אכל כותי ממנו, ואם ישראל יוצא ונכנס, יכשר לכתחילה.</w:t>
      </w:r>
    </w:p>
    <w:p w:rsidR="009E50E6" w:rsidRDefault="00833FFB">
      <w:pPr>
        <w:pStyle w:val="FootnoteText"/>
        <w:numPr>
          <w:ilvl w:val="0"/>
          <w:numId w:val="8"/>
        </w:numPr>
      </w:pPr>
      <w:r>
        <w:rPr>
          <w:rtl/>
        </w:rPr>
        <w:t>רב אשי אמר שהראשון קאי על מומר לאכול נבלות לתאבון כשבדק ישראל את סכינו. לא מפרש על מה קאי שני.</w:t>
      </w:r>
    </w:p>
    <w:p w:rsidR="009E50E6" w:rsidRDefault="00833FFB">
      <w:pPr>
        <w:pStyle w:val="FootnoteText"/>
        <w:numPr>
          <w:ilvl w:val="0"/>
          <w:numId w:val="8"/>
        </w:numPr>
      </w:pPr>
      <w:r>
        <w:rPr>
          <w:rtl/>
        </w:rPr>
        <w:t>רבינא (לשון ראשון) אמר שהראשון קאי על מי שא</w:t>
      </w:r>
      <w:r>
        <w:rPr>
          <w:rtl/>
        </w:rPr>
        <w:t>ינו מוחזק (שלא להתעלף), ושני קאי על מי שאינו מומחה.</w:t>
      </w:r>
    </w:p>
    <w:p w:rsidR="009E50E6" w:rsidRDefault="00833FFB">
      <w:pPr>
        <w:pStyle w:val="FootnoteText"/>
        <w:numPr>
          <w:ilvl w:val="0"/>
          <w:numId w:val="8"/>
        </w:numPr>
      </w:pPr>
      <w:r>
        <w:rPr>
          <w:rtl/>
        </w:rPr>
        <w:t>רבינא (לשון שני) אמר שהראשון קאי על מי שאינו מומחה, ושני קאי על מי שאינו מוחזק (שלא להתעלף).</w:t>
      </w:r>
    </w:p>
    <w:p w:rsidR="009E50E6" w:rsidRDefault="00833FFB">
      <w:pPr>
        <w:pStyle w:val="FootnoteText"/>
      </w:pPr>
      <w:r>
        <w:rPr>
          <w:rtl/>
        </w:rPr>
        <w:tab/>
        <w:t>נמצא שאין אף צד אחד שאומר כמה שאומר גמרא כאן.</w:t>
      </w:r>
    </w:p>
  </w:footnote>
  <w:footnote w:id="34">
    <w:p w:rsidR="009E50E6" w:rsidRDefault="00833FFB">
      <w:pPr>
        <w:pStyle w:val="FootnoteText"/>
      </w:pPr>
      <w:r>
        <w:rPr>
          <w:rStyle w:val="FootnoteCharacters"/>
        </w:rPr>
        <w:footnoteRef/>
      </w:r>
      <w:r>
        <w:rPr>
          <w:rtl/>
        </w:rPr>
        <w:tab/>
      </w:r>
      <w:r>
        <w:rPr>
          <w:rtl/>
        </w:rPr>
        <w:t xml:space="preserve">הוה </w:t>
      </w:r>
      <w:r>
        <w:rPr>
          <w:rtl/>
        </w:rPr>
        <w:t>אמינא זה קצת צריך ביאור, שנאמר שהכל אינו חייב בכלאים, שהרי</w:t>
      </w:r>
      <w:r>
        <w:rPr>
          <w:rtl/>
        </w:rPr>
        <w:t xml:space="preserve"> בסכנה יכול ללבוש כלאים. אפשר שאחד מהם הותרה ואחד מהם דחוייה. גם יש לחלק, אולי, בין מי שמוכרח לעבור עליו (שצריך כהן ללבוש בגדי כהונה), למי שלא מוכרח. ויש לדון, שאיני יודע אם מוכרח כהן לעבוד. ותחשב. גם צריך ביאור מה לנו בחילוק זה, שלכאורה תלוי באם הוא חייב </w:t>
      </w:r>
      <w:r>
        <w:rPr>
          <w:rtl/>
        </w:rPr>
        <w:t>בכלאים או לא, ולא אם יעבור. ותחשב. ודע שלכאורה, אינו קשה למה לא נפטור כולי עלמא, שקרא אומר שיש שום אדם שחייב. אלא, הקושיה הוא למה לא נוכיח מזה שלא לדרוש. אז, אפשר לומר שהיינו יכולים להוכיח מזה, אבל אין צריכים הוכחה.</w:t>
      </w:r>
    </w:p>
  </w:footnote>
  <w:footnote w:id="35">
    <w:p w:rsidR="009E50E6" w:rsidRDefault="00833FFB">
      <w:pPr>
        <w:pStyle w:val="FootnoteText"/>
      </w:pPr>
      <w:r>
        <w:rPr>
          <w:rStyle w:val="FootnoteCharacters"/>
        </w:rPr>
        <w:footnoteRef/>
      </w:r>
      <w:r>
        <w:rPr>
          <w:rtl/>
        </w:rPr>
        <w:tab/>
      </w:r>
      <w:r>
        <w:rPr>
          <w:rtl/>
        </w:rPr>
        <w:t xml:space="preserve">יש </w:t>
      </w:r>
      <w:r>
        <w:rPr>
          <w:rtl/>
        </w:rPr>
        <w:t>לדון אם הוה אמינא של גמרא הוא לפטור</w:t>
      </w:r>
      <w:r>
        <w:rPr>
          <w:rtl/>
        </w:rPr>
        <w:t xml:space="preserve"> אותו משל ראש בכל זמן או רק בזמן שפטור משל יד.</w:t>
      </w:r>
    </w:p>
  </w:footnote>
  <w:footnote w:id="36">
    <w:p w:rsidR="009E50E6" w:rsidRDefault="00833FFB">
      <w:pPr>
        <w:pStyle w:val="FootnoteText"/>
      </w:pPr>
      <w:r>
        <w:rPr>
          <w:rStyle w:val="FootnoteCharacters"/>
        </w:rPr>
        <w:footnoteRef/>
      </w:r>
      <w:r>
        <w:rPr>
          <w:rtl/>
        </w:rPr>
        <w:tab/>
      </w:r>
      <w:r>
        <w:rPr>
          <w:rtl/>
        </w:rPr>
        <w:t xml:space="preserve">ואי </w:t>
      </w:r>
      <w:r>
        <w:rPr>
          <w:rtl/>
        </w:rPr>
        <w:t>אפשר ללבוש אותם תחת בגדי כהונה, שבגדי כהונה צ"ל על בשרו בלי חציצה.</w:t>
      </w:r>
    </w:p>
  </w:footnote>
  <w:footnote w:id="37">
    <w:p w:rsidR="009E50E6" w:rsidRDefault="00833FFB">
      <w:pPr>
        <w:pStyle w:val="FootnoteText"/>
      </w:pPr>
      <w:r>
        <w:rPr>
          <w:rStyle w:val="FootnoteCharacters"/>
        </w:rPr>
        <w:footnoteRef/>
      </w:r>
      <w:r>
        <w:rPr>
          <w:rtl/>
        </w:rPr>
        <w:tab/>
      </w:r>
      <w:r>
        <w:rPr>
          <w:rtl/>
        </w:rPr>
        <w:t xml:space="preserve">אבל </w:t>
      </w:r>
      <w:r>
        <w:rPr>
          <w:rtl/>
        </w:rPr>
        <w:t>לא חוצצים בשל ראש, שיש מקום בין ציץ למצנפת, ואז אף כהן גדול לובש של ראש.</w:t>
      </w:r>
    </w:p>
  </w:footnote>
  <w:footnote w:id="38">
    <w:p w:rsidR="009E50E6" w:rsidRDefault="00833FFB">
      <w:pPr>
        <w:pStyle w:val="FootnoteText"/>
      </w:pPr>
      <w:r>
        <w:rPr>
          <w:rStyle w:val="FootnoteCharacters"/>
        </w:rPr>
        <w:footnoteRef/>
      </w:r>
      <w:r>
        <w:rPr>
          <w:rtl/>
        </w:rPr>
        <w:tab/>
      </w:r>
      <w:r>
        <w:rPr>
          <w:rtl/>
        </w:rPr>
        <w:t xml:space="preserve">יש </w:t>
      </w:r>
      <w:r>
        <w:rPr>
          <w:rtl/>
        </w:rPr>
        <w:t xml:space="preserve">לדון למה זה פוטר כל כהן, שאין כל כהן תוקע. אולי אין </w:t>
      </w:r>
      <w:r>
        <w:rPr>
          <w:rtl/>
        </w:rPr>
        <w:t xml:space="preserve">הכי נמי, ורק דן בכהן שתוקע. יש להעיר שמסתמא אין כהן אחד תוקע בכל יום. אז, אינם "בתקיעות דכולא שתא,” כמו שאומר גמרא, אלא של פעם אחת או שנים בכל השנה. ותו"ת. </w:t>
      </w:r>
    </w:p>
  </w:footnote>
  <w:footnote w:id="39">
    <w:p w:rsidR="009E50E6" w:rsidRDefault="00833FFB">
      <w:pPr>
        <w:pStyle w:val="FootnoteText"/>
      </w:pPr>
      <w:r>
        <w:rPr>
          <w:rStyle w:val="FootnoteCharacters"/>
        </w:rPr>
        <w:footnoteRef/>
      </w:r>
      <w:r>
        <w:rPr>
          <w:rtl/>
        </w:rPr>
        <w:tab/>
      </w:r>
      <w:r>
        <w:rPr>
          <w:rtl/>
        </w:rPr>
        <w:t xml:space="preserve">שקו"ט </w:t>
      </w:r>
      <w:r>
        <w:rPr>
          <w:rtl/>
        </w:rPr>
        <w:t>זה לא פשוט. לכאורה, ההו"א היה שמה שהוא בכלל כפרה עושה שאינו בכלל אכילה, והרי הקרא אמר אכילה</w:t>
      </w:r>
      <w:r>
        <w:rPr>
          <w:rtl/>
        </w:rPr>
        <w:t>. לכאורה, צריך ביאור, שמה שצריך לכפר הוא אכילה. ויש לדון, שאולי צריך מה שהיה אכילה לולי כפרתו. דחוק. צריך ביאור, אז, מהו המסקנא. נראה שהוא שאכילה הוא דבר שיש בו שביעה, והרי יש בזה שביעה. ויש לדון, שלא אומר שכל דבר שיש בו שביעה הוא אכילה, אלא שזה פרט בו. אז</w:t>
      </w:r>
      <w:r>
        <w:rPr>
          <w:rtl/>
        </w:rPr>
        <w:t>, מהיכי תיתי שזה אכילה. ויש לומר שמבאר שזהו הפרט החשוב, ומפני פרט זה צריך לברך. אז, כיון שיש בדבר שביעה, מסתבר שנקרא די אכילה. ותחשב.</w:t>
      </w:r>
    </w:p>
    <w:p w:rsidR="009E50E6" w:rsidRDefault="00833FFB">
      <w:pPr>
        <w:pStyle w:val="FootnoteText"/>
      </w:pPr>
      <w:r>
        <w:rPr>
          <w:rtl/>
        </w:rPr>
        <w:tab/>
        <w:t>גי"ל שההו"א הוא שמברכים מפני שצריכים להודות לה’ על מה שנתן לנו דבר, אבל גבי קרבנות, לטובתו נתן, שהרי מצווה הוא. לא נראה כ</w:t>
      </w:r>
      <w:r>
        <w:rPr>
          <w:rtl/>
        </w:rPr>
        <w:t>ן, שאם כן, יהיה אותו הו"א אף בסעודות שבת וכדומה. אז, אולי ההו"א הוא שצ’ לברך לעשות שהוא שלנו, כדי שנוכל לאכול. יכולים לאכול קרבנות, אף שאינם שלנו, שהם משלחן גבוה. לשון גמרא לא משמע שזה ההו"א. לזה המס’ טוב, והוא שלא תלוי בעשיית דבר שלנו, אלא קרא אומר שאכילה</w:t>
      </w:r>
      <w:r>
        <w:rPr>
          <w:rtl/>
        </w:rPr>
        <w:t xml:space="preserve"> צריך ברכה, והרי זה אכילה. וצריך ביאור.</w:t>
      </w:r>
    </w:p>
  </w:footnote>
  <w:footnote w:id="40">
    <w:p w:rsidR="009E50E6" w:rsidRDefault="00833FFB">
      <w:pPr>
        <w:pStyle w:val="FootnoteText"/>
      </w:pPr>
      <w:r>
        <w:rPr>
          <w:rStyle w:val="FootnoteCharacters"/>
        </w:rPr>
        <w:footnoteRef/>
      </w:r>
      <w:r>
        <w:rPr>
          <w:rtl/>
        </w:rPr>
        <w:tab/>
      </w:r>
      <w:r>
        <w:rPr>
          <w:rtl/>
        </w:rPr>
        <w:t xml:space="preserve">לכאורה, </w:t>
      </w:r>
      <w:r>
        <w:rPr>
          <w:rtl/>
        </w:rPr>
        <w:t>ר"ל שלא יכול לסמוך אף אם הוא שליח.</w:t>
      </w:r>
    </w:p>
  </w:footnote>
  <w:footnote w:id="41">
    <w:p w:rsidR="009E50E6" w:rsidRDefault="00833FFB">
      <w:pPr>
        <w:pStyle w:val="FootnoteText"/>
      </w:pPr>
      <w:r>
        <w:rPr>
          <w:rStyle w:val="FootnoteCharacters"/>
        </w:rPr>
        <w:footnoteRef/>
      </w:r>
      <w:r>
        <w:rPr>
          <w:rtl/>
        </w:rPr>
        <w:tab/>
      </w:r>
      <w:r>
        <w:rPr>
          <w:rtl/>
        </w:rPr>
        <w:t xml:space="preserve">ואם </w:t>
      </w:r>
      <w:r>
        <w:rPr>
          <w:rtl/>
        </w:rPr>
        <w:t>תאמר הרי זה כבכר בכלל ראשון. עיין לקמן. גם עיין ברעיון טוב על תמורה.</w:t>
      </w:r>
    </w:p>
  </w:footnote>
  <w:footnote w:id="42">
    <w:p w:rsidR="009E50E6" w:rsidRDefault="00833FFB">
      <w:pPr>
        <w:pStyle w:val="FootnoteText"/>
      </w:pPr>
      <w:r>
        <w:rPr>
          <w:rStyle w:val="FootnoteCharacters"/>
        </w:rPr>
        <w:footnoteRef/>
      </w:r>
      <w:r>
        <w:rPr>
          <w:rtl/>
        </w:rPr>
        <w:tab/>
      </w:r>
      <w:r>
        <w:rPr>
          <w:rtl/>
        </w:rPr>
        <w:t xml:space="preserve">ואם </w:t>
      </w:r>
      <w:r>
        <w:rPr>
          <w:rtl/>
        </w:rPr>
        <w:t>תאמר הרי זה פשוט, שאיך אחד יסמוך לכולם, שאין שליח סומך. ויש לומר שהוה אמינא שכיון שיש לו ח</w:t>
      </w:r>
      <w:r>
        <w:rPr>
          <w:rtl/>
        </w:rPr>
        <w:t xml:space="preserve">לק בו, יכול לעשות אותו לכולם. נראה שיש שני כוחות שצריך כדי לעשות חלות לאחר (אולי). צריך כוח לעשות אותו חלות, וצריך כוח לעשות אותו חלות למשלח. (אין זה מוכרח, שאפשר שלא צריך חלות של סמיכה שעשה בעל, אלא חלות של סמיכה.) אפשר, אז, שצריך קרא למעט שלא רק לא יכול </w:t>
      </w:r>
      <w:r>
        <w:rPr>
          <w:rtl/>
        </w:rPr>
        <w:t>לעשות הראשון, אלא אף לא יכול לעשות השני. ותחשב.</w:t>
      </w:r>
    </w:p>
    <w:p w:rsidR="009E50E6" w:rsidRDefault="00833FFB">
      <w:pPr>
        <w:pStyle w:val="FootnoteText"/>
      </w:pPr>
      <w:r>
        <w:rPr>
          <w:rtl/>
        </w:rPr>
        <w:tab/>
        <w:t>עיין בקידושין (מא) שמזכיר חילוק כעין זה (לא מבאר הסברה לחלק, אבל מחלק בין שותף לאחרים).</w:t>
      </w:r>
    </w:p>
  </w:footnote>
  <w:footnote w:id="43">
    <w:p w:rsidR="009E50E6" w:rsidRDefault="00833FFB">
      <w:pPr>
        <w:pStyle w:val="FootnoteText"/>
      </w:pPr>
      <w:r>
        <w:rPr>
          <w:rStyle w:val="FootnoteCharacters"/>
        </w:rPr>
        <w:footnoteRef/>
      </w:r>
      <w:r>
        <w:rPr>
          <w:rtl/>
        </w:rPr>
        <w:tab/>
      </w:r>
      <w:r>
        <w:rPr>
          <w:rtl/>
        </w:rPr>
        <w:t xml:space="preserve">רבי </w:t>
      </w:r>
      <w:r>
        <w:rPr>
          <w:rtl/>
        </w:rPr>
        <w:t>יהודה שחולק סובר (ב:) שמרבה אשה. רבנן דורשים את זה מ"ואם.”</w:t>
      </w:r>
    </w:p>
  </w:footnote>
  <w:footnote w:id="44">
    <w:p w:rsidR="009E50E6" w:rsidRDefault="00833FFB">
      <w:pPr>
        <w:pStyle w:val="FootnoteText"/>
      </w:pPr>
      <w:r>
        <w:rPr>
          <w:rStyle w:val="FootnoteCharacters"/>
        </w:rPr>
        <w:footnoteRef/>
      </w:r>
      <w:r>
        <w:rPr>
          <w:rtl/>
        </w:rPr>
        <w:tab/>
      </w:r>
      <w:r>
        <w:rPr>
          <w:rtl/>
        </w:rPr>
        <w:t xml:space="preserve">שהרי, </w:t>
      </w:r>
      <w:r>
        <w:rPr>
          <w:rtl/>
        </w:rPr>
        <w:t>בשניהם לא סומך על קרבן שלו.</w:t>
      </w:r>
    </w:p>
  </w:footnote>
  <w:footnote w:id="45">
    <w:p w:rsidR="009E50E6" w:rsidRDefault="00833FFB">
      <w:pPr>
        <w:pStyle w:val="FootnoteText"/>
      </w:pPr>
      <w:r>
        <w:rPr>
          <w:rStyle w:val="FootnoteCharacters"/>
        </w:rPr>
        <w:footnoteRef/>
      </w:r>
      <w:r>
        <w:rPr>
          <w:rtl/>
        </w:rPr>
        <w:tab/>
      </w:r>
      <w:r>
        <w:rPr>
          <w:rtl/>
        </w:rPr>
        <w:t xml:space="preserve">השג </w:t>
      </w:r>
      <w:r>
        <w:rPr>
          <w:rtl/>
        </w:rPr>
        <w:t>יד הוא שכשהו</w:t>
      </w:r>
      <w:r>
        <w:rPr>
          <w:rtl/>
        </w:rPr>
        <w:t>א עני, רק נותן שקל אחד, ופטור משאר הערך. כיון שזה לא תלה ערכו בדבר, הרי הוא כדמים, ואין לו השג יד. (גמרא אומר סברה זה להוה אמינא לצד שני; יש לדון אם הוא נכון בצד זה, שאולי כיון שנדרש מקרא, נאמר שהוא גזה"כ, ולא מחמת זה.)</w:t>
      </w:r>
    </w:p>
  </w:footnote>
  <w:footnote w:id="46">
    <w:p w:rsidR="009E50E6" w:rsidRDefault="00833FFB">
      <w:pPr>
        <w:pStyle w:val="FootnoteText"/>
      </w:pPr>
      <w:r>
        <w:rPr>
          <w:rStyle w:val="FootnoteCharacters"/>
        </w:rPr>
        <w:footnoteRef/>
      </w:r>
      <w:r>
        <w:rPr>
          <w:rtl/>
        </w:rPr>
        <w:tab/>
      </w:r>
      <w:r>
        <w:rPr>
          <w:rtl/>
        </w:rPr>
        <w:t xml:space="preserve">איני </w:t>
      </w:r>
      <w:r>
        <w:rPr>
          <w:rtl/>
        </w:rPr>
        <w:t>מבין כל כך מהו החידוש. אולי ה</w:t>
      </w:r>
      <w:r>
        <w:rPr>
          <w:rtl/>
        </w:rPr>
        <w:t>וא שמבינים שלשון זה אומר שהוא חייב ערך של כל אחת ואחת, ולא שחייב ערך של כולם- והרי לכולם אין ערך. יש לדון אם מחדש שמבינים כן או שלכולם יש ערך.</w:t>
      </w:r>
    </w:p>
  </w:footnote>
  <w:footnote w:id="47">
    <w:p w:rsidR="009E50E6" w:rsidRDefault="00833FFB">
      <w:pPr>
        <w:pStyle w:val="FootnoteText"/>
      </w:pPr>
      <w:r>
        <w:rPr>
          <w:rStyle w:val="FootnoteCharacters"/>
        </w:rPr>
        <w:footnoteRef/>
      </w:r>
      <w:r>
        <w:rPr>
          <w:rtl/>
        </w:rPr>
        <w:tab/>
      </w:r>
      <w:r>
        <w:rPr>
          <w:rtl/>
        </w:rPr>
        <w:t xml:space="preserve">יש </w:t>
      </w:r>
      <w:r>
        <w:rPr>
          <w:rtl/>
        </w:rPr>
        <w:t>נפק"מ, והוא שאדם שידו קטוע הוא יותר זיל, שכיון שנתבזה, מניחים לו שוויות יותר קטן.</w:t>
      </w:r>
    </w:p>
  </w:footnote>
  <w:footnote w:id="48">
    <w:p w:rsidR="009E50E6" w:rsidRDefault="00833FFB">
      <w:pPr>
        <w:pStyle w:val="FootnoteText"/>
      </w:pPr>
      <w:r>
        <w:rPr>
          <w:rStyle w:val="FootnoteCharacters"/>
        </w:rPr>
        <w:footnoteRef/>
      </w:r>
      <w:r>
        <w:rPr>
          <w:rtl/>
        </w:rPr>
        <w:tab/>
      </w:r>
      <w:r>
        <w:rPr>
          <w:rtl/>
        </w:rPr>
        <w:t xml:space="preserve">ההו"א </w:t>
      </w:r>
      <w:r>
        <w:rPr>
          <w:rtl/>
        </w:rPr>
        <w:t xml:space="preserve">הוא שמקור לדין זה </w:t>
      </w:r>
      <w:r>
        <w:rPr>
          <w:rtl/>
        </w:rPr>
        <w:t>הוא "נפש.” זה נאמר בפרשת ערכין. אז, הוה אמינא שדין זה רק נוהג במי שנוהג בו ערכין. אבל, זה, למסקנא, אינו, שכ’, “והיה ערכך" לרבות טומטום ואנדרוגינוס, שאינם בכלל ערכין.</w:t>
      </w:r>
    </w:p>
  </w:footnote>
  <w:footnote w:id="49">
    <w:p w:rsidR="009E50E6" w:rsidRDefault="00833FFB">
      <w:pPr>
        <w:pStyle w:val="FootnoteText"/>
      </w:pPr>
      <w:r>
        <w:rPr>
          <w:rStyle w:val="FootnoteCharacters"/>
        </w:rPr>
        <w:footnoteRef/>
      </w:r>
      <w:r>
        <w:rPr>
          <w:rtl/>
        </w:rPr>
        <w:tab/>
      </w:r>
      <w:r>
        <w:rPr>
          <w:rtl/>
        </w:rPr>
        <w:t xml:space="preserve">נראה </w:t>
      </w:r>
      <w:r>
        <w:rPr>
          <w:rtl/>
        </w:rPr>
        <w:t>שזה מקורו, שנראה שזהו הדרשה שאמר גמרא שאם מקדיש אבר שנשמה תלויה בה חייב. כן נראה, ג</w:t>
      </w:r>
      <w:r>
        <w:rPr>
          <w:rtl/>
        </w:rPr>
        <w:t>ם כן, מן ההו"א למעט טומטום ואנדרוגינוס. אבל, קשה, שלכאורה, אותו קרא מיירי בערכין. אז, היה יותר נראה לומר שמחדש שחייב בערך, אף שלא העריך אדם, אלא העריך אבר, כיון שנשמה תלויה בה. שוב ראיתי שגמרא לקמן (יח.) אומר שהוקשו שניהם זל"ז ללמד דין זה (שכתיב "נדר בערכך</w:t>
      </w:r>
      <w:r>
        <w:rPr>
          <w:rtl/>
        </w:rPr>
        <w:t>"; הראשון משמע דמים והשני משמע ערכין).</w:t>
      </w:r>
    </w:p>
  </w:footnote>
  <w:footnote w:id="50">
    <w:p w:rsidR="009E50E6" w:rsidRDefault="00833FFB">
      <w:pPr>
        <w:pStyle w:val="FootnoteText"/>
      </w:pPr>
      <w:r>
        <w:rPr>
          <w:rStyle w:val="FootnoteCharacters"/>
        </w:rPr>
        <w:footnoteRef/>
      </w:r>
      <w:r>
        <w:rPr>
          <w:rtl/>
        </w:rPr>
        <w:tab/>
      </w:r>
      <w:r>
        <w:rPr>
          <w:rtl/>
        </w:rPr>
        <w:t xml:space="preserve">גמרא </w:t>
      </w:r>
      <w:r>
        <w:rPr>
          <w:rtl/>
        </w:rPr>
        <w:t>מוקים ציור להיות בקדש למזבח, ולא לבדה"ב, ומק’ גמ’ ל"ל פשט קדושה. רש"י מפ’ שאם היה ק’ למזבח, אז הוא חצי להקרבה. לכאורה, החלוק הוא אם קדש למזבח או לבדק הבית. ותחשב.</w:t>
      </w:r>
    </w:p>
  </w:footnote>
  <w:footnote w:id="51">
    <w:p w:rsidR="009E50E6" w:rsidRDefault="00833FFB">
      <w:pPr>
        <w:pStyle w:val="FootnoteText"/>
      </w:pPr>
      <w:r>
        <w:rPr>
          <w:rStyle w:val="FootnoteCharacters"/>
        </w:rPr>
        <w:footnoteRef/>
      </w:r>
      <w:r>
        <w:rPr>
          <w:rtl/>
        </w:rPr>
        <w:tab/>
      </w:r>
      <w:r>
        <w:rPr>
          <w:rtl/>
        </w:rPr>
        <w:t xml:space="preserve">ר"ל, </w:t>
      </w:r>
      <w:r>
        <w:rPr>
          <w:rtl/>
        </w:rPr>
        <w:t xml:space="preserve">זהו מקורו, והשני הוא רק ראיה. ויש לדון, </w:t>
      </w:r>
      <w:r>
        <w:rPr>
          <w:rtl/>
        </w:rPr>
        <w:t xml:space="preserve">שאולי טעם לא ר"ל מקור, אלא ר"ל המקום שנכתב בתורה. ותו"ת. </w:t>
      </w:r>
    </w:p>
  </w:footnote>
  <w:footnote w:id="52">
    <w:p w:rsidR="009E50E6" w:rsidRDefault="00833FFB">
      <w:pPr>
        <w:pStyle w:val="FootnoteText"/>
      </w:pPr>
      <w:r>
        <w:rPr>
          <w:rStyle w:val="FootnoteCharacters"/>
        </w:rPr>
        <w:footnoteRef/>
      </w:r>
      <w:r>
        <w:rPr>
          <w:rtl/>
        </w:rPr>
        <w:tab/>
      </w:r>
      <w:r>
        <w:rPr>
          <w:rtl/>
        </w:rPr>
        <w:t xml:space="preserve">ק"ק, </w:t>
      </w:r>
      <w:r>
        <w:rPr>
          <w:rtl/>
        </w:rPr>
        <w:t>שלכאורה, אין מי שחולק לומר שאי אפשר לגוי לתת דמים. ויש לדון, שאולי בזה גם כן חולקים. יש לדון מה יהיה מקור לזה מקרא. אולי נלמד מן ההיקש (יח) מערכין. שוב הבנתי שמשנה אומר בפירוש שמודים שנודרים.</w:t>
      </w:r>
      <w:r>
        <w:rPr>
          <w:rtl/>
        </w:rPr>
        <w:t xml:space="preserve"> וצריך ביאור.</w:t>
      </w:r>
    </w:p>
  </w:footnote>
  <w:footnote w:id="53">
    <w:p w:rsidR="009E50E6" w:rsidRDefault="00833FFB">
      <w:pPr>
        <w:pStyle w:val="FootnoteText"/>
      </w:pPr>
      <w:r>
        <w:rPr>
          <w:rStyle w:val="FootnoteCharacters"/>
        </w:rPr>
        <w:footnoteRef/>
      </w:r>
      <w:r>
        <w:rPr>
          <w:rtl/>
        </w:rPr>
        <w:tab/>
      </w:r>
      <w:r>
        <w:rPr>
          <w:rtl/>
        </w:rPr>
        <w:t xml:space="preserve">עיין </w:t>
      </w:r>
      <w:r>
        <w:rPr>
          <w:rtl/>
        </w:rPr>
        <w:t>במה שבארנו לעיל, למה רבי יהודה חולק, ולמה רבי יהודה יותר מסתבר.</w:t>
      </w:r>
    </w:p>
  </w:footnote>
  <w:footnote w:id="54">
    <w:p w:rsidR="009E50E6" w:rsidRDefault="00833FFB">
      <w:pPr>
        <w:pStyle w:val="FootnoteText"/>
      </w:pPr>
      <w:r>
        <w:rPr>
          <w:rStyle w:val="FootnoteCharacters"/>
        </w:rPr>
        <w:footnoteRef/>
      </w:r>
      <w:r>
        <w:rPr>
          <w:rtl/>
        </w:rPr>
        <w:tab/>
      </w:r>
      <w:r>
        <w:rPr>
          <w:rtl/>
        </w:rPr>
        <w:t xml:space="preserve">לכאורה, </w:t>
      </w:r>
      <w:r>
        <w:rPr>
          <w:rtl/>
        </w:rPr>
        <w:t xml:space="preserve">זה רק לפי רבי יהודה, ולא לפי רבי מאיר. גמרא מניח שרבי מאיר יותר מסתבר כיון שאומר קרא שלא לקבל מגויים לבית שני. דוחה ששם מחמת רפיון ידים. משמע שרבי מאיר לא צריך </w:t>
      </w:r>
      <w:r>
        <w:rPr>
          <w:rtl/>
        </w:rPr>
        <w:t>אותו טעם, אלא לרבי מאיר, הדין הוא שאין מקבלים ממון מן הגויים. אם כן, לכאורה, אף לאחר תחילת בית שני לא יקבלו מהם. (ודע שללשון שני שברש"י, יכול להיות כרבי מאיר, שאז אף עכשיו לא נקבל מהם, אלא שכפופים אנו לקבל מהם. נראה שקשה לומר שהוא כרבי יהודה, של"ל נקבל מהם</w:t>
      </w:r>
      <w:r>
        <w:rPr>
          <w:rtl/>
        </w:rPr>
        <w:t xml:space="preserve"> עכשיו, אם לא שנאמר שנשאר עדיין רפיון ידים לאחר זמן, שצריך בית המק’, לפעמים, תיקון, ולא יכולים להניח שיבוא מיד מן בנ"י אם גויים יכוונו לרפות ידים (אבל בבית ראשון, למשל, היו יכולים להניח שאף אם גויים יכוונו לרפות ידים, ישראל יתנו). ותח’.</w:t>
      </w:r>
    </w:p>
  </w:footnote>
  <w:footnote w:id="55">
    <w:p w:rsidR="009E50E6" w:rsidRDefault="00833FFB">
      <w:pPr>
        <w:pStyle w:val="FootnoteText"/>
      </w:pPr>
      <w:r>
        <w:rPr>
          <w:rStyle w:val="FootnoteCharacters"/>
        </w:rPr>
        <w:footnoteRef/>
      </w:r>
      <w:r>
        <w:rPr>
          <w:rtl/>
        </w:rPr>
        <w:tab/>
      </w:r>
      <w:r>
        <w:rPr>
          <w:rtl/>
        </w:rPr>
        <w:t xml:space="preserve">לכאורה, </w:t>
      </w:r>
      <w:r>
        <w:rPr>
          <w:rtl/>
        </w:rPr>
        <w:t>התנדבו לב</w:t>
      </w:r>
      <w:r>
        <w:rPr>
          <w:rtl/>
        </w:rPr>
        <w:t>ית הכנסת וכדומה. אם כן, הצד שהוא הקדש הוא שסבר שמקדישו כדי שישתמש בו בבית הכנסת. גי"ל שהתנדב סתם, ולא יודעים אם כוונתו היה לבית הכנסת, ואז הוא חולין, או להקדש, ואז הקדש הוא הבעל, והוא קדוש. שוס\ב נראה שיכול להיות אף שהתנדב להקדש, שבונים בחול. ותחשב.</w:t>
      </w:r>
    </w:p>
    <w:p w:rsidR="009E50E6" w:rsidRDefault="00833FFB">
      <w:pPr>
        <w:pStyle w:val="FootnoteText"/>
      </w:pPr>
      <w:r>
        <w:rPr>
          <w:rtl/>
        </w:rPr>
        <w:tab/>
        <w:t>ואם ת</w:t>
      </w:r>
      <w:r>
        <w:rPr>
          <w:rtl/>
        </w:rPr>
        <w:t>אמר הרי זה דבר מסויים. ויש לדון מה בכלל מסויים. גי"ל שזה לבית הכנסת, ויש איסור רק כשנותן לבית המקדש.</w:t>
      </w:r>
    </w:p>
  </w:footnote>
  <w:footnote w:id="56">
    <w:p w:rsidR="009E50E6" w:rsidRDefault="00833FFB">
      <w:pPr>
        <w:pStyle w:val="FootnoteText"/>
      </w:pPr>
      <w:r>
        <w:rPr>
          <w:rStyle w:val="FootnoteCharacters"/>
        </w:rPr>
        <w:footnoteRef/>
      </w:r>
      <w:r>
        <w:rPr>
          <w:rtl/>
        </w:rPr>
        <w:tab/>
      </w:r>
      <w:r>
        <w:rPr>
          <w:rtl/>
        </w:rPr>
        <w:t xml:space="preserve">לא </w:t>
      </w:r>
      <w:r>
        <w:rPr>
          <w:rtl/>
        </w:rPr>
        <w:t xml:space="preserve">מבאר ל"ל נכון. לכאורה, הוא מפני שמניחים שדעתו היה שלא להפסיד את עצמו או מי שהיה רוצה ללוות לו. ותו"ת. </w:t>
      </w:r>
    </w:p>
  </w:footnote>
  <w:footnote w:id="57">
    <w:p w:rsidR="009E50E6" w:rsidRDefault="00833FFB">
      <w:pPr>
        <w:pStyle w:val="FootnoteText"/>
      </w:pPr>
      <w:r>
        <w:rPr>
          <w:rStyle w:val="FootnoteCharacters"/>
        </w:rPr>
        <w:footnoteRef/>
      </w:r>
      <w:r>
        <w:rPr>
          <w:rtl/>
        </w:rPr>
        <w:tab/>
      </w:r>
      <w:r>
        <w:rPr>
          <w:rtl/>
        </w:rPr>
        <w:t xml:space="preserve">מז’ </w:t>
      </w:r>
      <w:r>
        <w:rPr>
          <w:rtl/>
        </w:rPr>
        <w:t>שיש סברה לומר להיפך, שאם אמר הרי זו, רוצי</w:t>
      </w:r>
      <w:r>
        <w:rPr>
          <w:rtl/>
        </w:rPr>
        <w:t>ם שישתמש עמו, כדי לחייבו באחריות.</w:t>
      </w:r>
    </w:p>
  </w:footnote>
  <w:footnote w:id="58">
    <w:p w:rsidR="009E50E6" w:rsidRDefault="00833FFB">
      <w:pPr>
        <w:pStyle w:val="FootnoteText"/>
      </w:pPr>
      <w:r>
        <w:rPr>
          <w:rStyle w:val="FootnoteCharacters"/>
        </w:rPr>
        <w:footnoteRef/>
      </w:r>
      <w:r>
        <w:rPr>
          <w:rtl/>
        </w:rPr>
        <w:tab/>
      </w:r>
      <w:r>
        <w:rPr>
          <w:rtl/>
        </w:rPr>
        <w:t xml:space="preserve">לא </w:t>
      </w:r>
      <w:r>
        <w:rPr>
          <w:rtl/>
        </w:rPr>
        <w:t>מבאר אותו גמרא. לכאורה, הוא מפני שאז כבר קנה אותו צדקה. צריך ביאור, שלכאורה, המתיר כאן הוא שיש אומדנא שהתנה כן. אם כן, אף בחלות יהיה כן. ויש לדון בכוח תנאי זה, שלא אומרים כן בכל נותן מתנה (שאם רוצה לחזור, יכול לקחת או</w:t>
      </w:r>
      <w:r>
        <w:rPr>
          <w:rtl/>
        </w:rPr>
        <w:t>תו), ואף שלכאורה יהיה אותו הוכחה. וצריך לדון בזה.</w:t>
      </w:r>
    </w:p>
  </w:footnote>
  <w:footnote w:id="59">
    <w:p w:rsidR="009E50E6" w:rsidRDefault="00833FFB">
      <w:pPr>
        <w:pStyle w:val="FootnoteText"/>
      </w:pPr>
      <w:r>
        <w:rPr>
          <w:rStyle w:val="FootnoteCharacters"/>
        </w:rPr>
        <w:footnoteRef/>
      </w:r>
      <w:r>
        <w:rPr>
          <w:rtl/>
        </w:rPr>
        <w:tab/>
      </w:r>
      <w:r>
        <w:rPr>
          <w:rtl/>
        </w:rPr>
        <w:t xml:space="preserve">גמרא </w:t>
      </w:r>
      <w:r>
        <w:rPr>
          <w:rtl/>
        </w:rPr>
        <w:t xml:space="preserve">אומר: “ישראל שהתנדב אסור לשנותו.” גמרא מסיק שזה רק לדבר רשות. נראה שזה קאי על ציור שכבר בא ליד גבאי (או לבית הכנסת). ויש לדון, שאולי אין זה החילוק בין ציור זה למתנדב ממון (שמותר), אלא שזה לבית הכנסת </w:t>
      </w:r>
      <w:r>
        <w:rPr>
          <w:rtl/>
        </w:rPr>
        <w:t>וזה לצדקה. אם כן, ישנה הדין ממה שכתבנו.</w:t>
      </w:r>
    </w:p>
  </w:footnote>
  <w:footnote w:id="60">
    <w:p w:rsidR="009E50E6" w:rsidRDefault="00833FFB">
      <w:pPr>
        <w:pStyle w:val="FootnoteText"/>
      </w:pPr>
      <w:r>
        <w:rPr>
          <w:rStyle w:val="FootnoteCharacters"/>
        </w:rPr>
        <w:footnoteRef/>
      </w:r>
      <w:r>
        <w:rPr>
          <w:rtl/>
        </w:rPr>
        <w:tab/>
      </w:r>
      <w:r>
        <w:rPr>
          <w:rtl/>
        </w:rPr>
        <w:t xml:space="preserve">רש"י </w:t>
      </w:r>
      <w:r>
        <w:rPr>
          <w:rtl/>
        </w:rPr>
        <w:t xml:space="preserve">מפרש שכיון שדינו חרוץ לשלם , הוה כנכתב בשטר. </w:t>
      </w:r>
    </w:p>
  </w:footnote>
  <w:footnote w:id="61">
    <w:p w:rsidR="009E50E6" w:rsidRDefault="00833FFB">
      <w:pPr>
        <w:pStyle w:val="FootnoteText"/>
      </w:pPr>
      <w:r>
        <w:rPr>
          <w:rStyle w:val="FootnoteCharacters"/>
        </w:rPr>
        <w:footnoteRef/>
      </w:r>
      <w:r>
        <w:rPr>
          <w:rtl/>
        </w:rPr>
        <w:tab/>
      </w:r>
      <w:r>
        <w:rPr>
          <w:rtl/>
        </w:rPr>
        <w:t xml:space="preserve">לכאורה, </w:t>
      </w:r>
      <w:r>
        <w:rPr>
          <w:rtl/>
        </w:rPr>
        <w:t>המקור לזה הוא "ואהבת לרעך כמוך.” גם יש לומר שהוא בכלל אחד מן הציווים לדון יפה.</w:t>
      </w:r>
    </w:p>
  </w:footnote>
  <w:footnote w:id="62">
    <w:p w:rsidR="009E50E6" w:rsidRDefault="00833FFB">
      <w:pPr>
        <w:pStyle w:val="FootnoteText"/>
      </w:pPr>
      <w:r>
        <w:rPr>
          <w:rStyle w:val="FootnoteCharacters"/>
        </w:rPr>
        <w:footnoteRef/>
      </w:r>
      <w:r>
        <w:rPr>
          <w:rtl/>
        </w:rPr>
        <w:tab/>
      </w:r>
      <w:r>
        <w:rPr>
          <w:rtl/>
        </w:rPr>
        <w:t xml:space="preserve">גמרא </w:t>
      </w:r>
      <w:r>
        <w:rPr>
          <w:rtl/>
        </w:rPr>
        <w:t>אומר זה רק גבי חטאת ואשם. אפשר שאינו גבי שאר קרבנות, שאולי הוא רק ב</w:t>
      </w:r>
      <w:r>
        <w:rPr>
          <w:rtl/>
        </w:rPr>
        <w:t>אלו שמכפרים לו. עיין לקמן, בביאור טעם הדבר.</w:t>
      </w:r>
    </w:p>
  </w:footnote>
  <w:footnote w:id="63">
    <w:p w:rsidR="009E50E6" w:rsidRDefault="00833FFB">
      <w:pPr>
        <w:pStyle w:val="FootnoteText"/>
      </w:pPr>
      <w:r>
        <w:rPr>
          <w:rStyle w:val="FootnoteCharacters"/>
        </w:rPr>
        <w:footnoteRef/>
      </w:r>
      <w:r>
        <w:rPr>
          <w:rtl/>
        </w:rPr>
        <w:tab/>
      </w:r>
      <w:r>
        <w:rPr>
          <w:rtl/>
        </w:rPr>
        <w:t xml:space="preserve">גמרא </w:t>
      </w:r>
      <w:r>
        <w:rPr>
          <w:rtl/>
        </w:rPr>
        <w:t>אומר שאם יוצא ליהרג, לא שוחטים קרבנו, אבל זורקים דמו אם כבר נשחט. הנחנו ששוהים כדי לזרוק דמו. אז, גמרא אומר שכיון שאין משהים לזמן הרבה, ויש לו רווח מזה, שהרי נתכפר (או בא לו מצווה) על ידי קרבנו, משהים אתו.</w:t>
      </w:r>
      <w:r>
        <w:rPr>
          <w:rtl/>
        </w:rPr>
        <w:t xml:space="preserve"> אינו מוכרח כן, שהיה אפשר לומר שכיון שכבר נשחט, אין שהייה כלל. סתימות גמרא (שכדי לת’ למה אינו אסור מח’ עינוי הדין, רק אומר שזבחו זבוח) משמע כן. קשה, אז, מהו החידוש, של"ל נזרק דמו. ותחשב. לכן, לא הנחתי כאותו צד. (שוב הבנתי שאולי החידוש הוא שזורקים, ולא חושש</w:t>
      </w:r>
      <w:r>
        <w:rPr>
          <w:rtl/>
        </w:rPr>
        <w:t>ים שכבר מת, ואז צריכים לשפוך את דמו.)</w:t>
      </w:r>
    </w:p>
  </w:footnote>
  <w:footnote w:id="64">
    <w:p w:rsidR="009E50E6" w:rsidRDefault="00833FFB">
      <w:pPr>
        <w:pStyle w:val="FootnoteText"/>
      </w:pPr>
      <w:r>
        <w:rPr>
          <w:rStyle w:val="FootnoteCharacters"/>
        </w:rPr>
        <w:footnoteRef/>
      </w:r>
      <w:r>
        <w:rPr>
          <w:rtl/>
        </w:rPr>
        <w:tab/>
      </w:r>
      <w:r>
        <w:rPr>
          <w:rtl/>
        </w:rPr>
        <w:t xml:space="preserve">לכאורה, </w:t>
      </w:r>
      <w:r>
        <w:rPr>
          <w:rtl/>
        </w:rPr>
        <w:t>משנה זה כמאן דאמר עובר ירך אמו. מקשה גמרא שדין של משנה פשוט; ממה שלא משני שמחדש דין זה אף למד"א שעובר לאו ירך אמו (ואין לומר שאף לו פשוט, שגמג’ אומר שהוא פשוט כיון שגופה היא) צריך לומר שאין דין זה נכון אם עוב</w:t>
      </w:r>
      <w:r>
        <w:rPr>
          <w:rtl/>
        </w:rPr>
        <w:t>ר לאו ירך אמו. (ויש לדון למה פשוט לגמרא שאי אפשר לדרוש "גם" למד"א עובר לאו ירך אמו. אולי אף אילו היה אפשר, היה קשה למה לא יחשוב שהקמ"ל הוא שירך אמו הוא. אז, ממה שסובר שאין עובר ירך אמו, צריך לומר שלא דרש "גם.” ותחשב.</w:t>
      </w:r>
    </w:p>
  </w:footnote>
  <w:footnote w:id="65">
    <w:p w:rsidR="009E50E6" w:rsidRDefault="00833FFB">
      <w:pPr>
        <w:pStyle w:val="FootnoteText"/>
      </w:pPr>
      <w:r>
        <w:rPr>
          <w:rStyle w:val="FootnoteCharacters"/>
        </w:rPr>
        <w:footnoteRef/>
      </w:r>
      <w:r>
        <w:rPr>
          <w:rtl/>
        </w:rPr>
        <w:tab/>
      </w:r>
      <w:r>
        <w:rPr>
          <w:rtl/>
        </w:rPr>
        <w:t xml:space="preserve">לא </w:t>
      </w:r>
      <w:r>
        <w:rPr>
          <w:rtl/>
        </w:rPr>
        <w:t>מבאר גמרא בפירוש להיות סיבה שממיתי</w:t>
      </w:r>
      <w:r>
        <w:rPr>
          <w:rtl/>
        </w:rPr>
        <w:t xml:space="preserve">ם עובר, אבל נראה שהוא נכון, שלמה יהיה נכון. אולי לא היינו הורגים אותו יותר מוקדם מחמת ספק (שגורם עינוי הדין לאשה). ודע שאם נכון אנו בזה, אולי אין </w:t>
      </w:r>
      <w:r>
        <w:t>1</w:t>
      </w:r>
      <w:r>
        <w:rPr>
          <w:rtl/>
        </w:rPr>
        <w:t xml:space="preserve"> נכון, שחדש אותו גמרא כשתירץ לקושיה זה, ואז אולי לא היה מחדש אותו אם לא היה צריך כדי לת’ לזה. ותחשב.</w:t>
      </w:r>
    </w:p>
  </w:footnote>
  <w:footnote w:id="66">
    <w:p w:rsidR="009E50E6" w:rsidRDefault="00833FFB">
      <w:pPr>
        <w:pStyle w:val="FootnoteText"/>
      </w:pPr>
      <w:r>
        <w:rPr>
          <w:rStyle w:val="FootnoteCharacters"/>
        </w:rPr>
        <w:footnoteRef/>
      </w:r>
      <w:r>
        <w:rPr>
          <w:rtl/>
        </w:rPr>
        <w:tab/>
      </w:r>
      <w:r>
        <w:rPr>
          <w:rtl/>
        </w:rPr>
        <w:t xml:space="preserve">עיין </w:t>
      </w:r>
      <w:r>
        <w:rPr>
          <w:rtl/>
        </w:rPr>
        <w:t>ב</w:t>
      </w:r>
      <w:r>
        <w:rPr>
          <w:rtl/>
        </w:rPr>
        <w:t>תוס’ שם בביאור המקור (ל"ל לומדים מע"ז).</w:t>
      </w:r>
    </w:p>
  </w:footnote>
  <w:footnote w:id="67">
    <w:p w:rsidR="009E50E6" w:rsidRDefault="00833FFB">
      <w:pPr>
        <w:pStyle w:val="FootnoteText"/>
      </w:pPr>
      <w:r>
        <w:rPr>
          <w:rStyle w:val="FootnoteCharacters"/>
        </w:rPr>
        <w:footnoteRef/>
      </w:r>
      <w:r>
        <w:rPr>
          <w:rtl/>
        </w:rPr>
        <w:tab/>
      </w:r>
      <w:r>
        <w:rPr>
          <w:rtl/>
        </w:rPr>
        <w:t xml:space="preserve">ר"ל, </w:t>
      </w:r>
      <w:r>
        <w:rPr>
          <w:rtl/>
        </w:rPr>
        <w:t>שאין מיתה עושה שינוי בשער. צריך לומר שמה שלא מגדל אינו שינוי גדול די. גם יש לומר שאין השער גדול, אלא שער חדש בא ומוסיף. אם כן, אין שינוי כלל. ותחשב.</w:t>
      </w:r>
    </w:p>
  </w:footnote>
  <w:footnote w:id="68">
    <w:p w:rsidR="009E50E6" w:rsidRDefault="00833FFB">
      <w:pPr>
        <w:pStyle w:val="FootnoteText"/>
      </w:pPr>
      <w:r>
        <w:rPr>
          <w:rStyle w:val="FootnoteCharacters"/>
        </w:rPr>
        <w:footnoteRef/>
      </w:r>
      <w:r>
        <w:rPr>
          <w:rtl/>
        </w:rPr>
        <w:tab/>
      </w:r>
      <w:r>
        <w:rPr>
          <w:rtl/>
        </w:rPr>
        <w:t xml:space="preserve">רנב"י </w:t>
      </w:r>
      <w:r>
        <w:rPr>
          <w:rtl/>
        </w:rPr>
        <w:t>מקשה על רב מזה. משנה אומר ששער אשה מותרת ושער בהמה א</w:t>
      </w:r>
      <w:r>
        <w:rPr>
          <w:rtl/>
        </w:rPr>
        <w:t xml:space="preserve">סורה. מקשה שאין הציורים דומים. אם נאמר שרב משיב לזה, שצריך לומר שרב מוקים משנה בבהמה שלובשת פאה. אם כן, לכאורה מה שהוא אסור הוא מפני שלא אומר לתת לבת. עדיין יש לדון, שעדיין לא כל כך דומה לציור של אשה. ותו"ת. </w:t>
      </w:r>
    </w:p>
  </w:footnote>
  <w:footnote w:id="69">
    <w:p w:rsidR="009E50E6" w:rsidRDefault="00833FFB">
      <w:pPr>
        <w:pStyle w:val="FootnoteText"/>
      </w:pPr>
      <w:r>
        <w:rPr>
          <w:rStyle w:val="FootnoteCharacters"/>
        </w:rPr>
        <w:footnoteRef/>
      </w:r>
      <w:r>
        <w:rPr>
          <w:rtl/>
        </w:rPr>
        <w:tab/>
      </w:r>
      <w:r>
        <w:rPr>
          <w:rtl/>
        </w:rPr>
        <w:t xml:space="preserve">מעניין </w:t>
      </w:r>
      <w:r>
        <w:rPr>
          <w:rtl/>
        </w:rPr>
        <w:t>שנחשב בכלל הפסק, שאי אפשר לעשות הפסק ל</w:t>
      </w:r>
      <w:r>
        <w:rPr>
          <w:rtl/>
        </w:rPr>
        <w:t>ו, שאי אפשר להמיתו. ותחשב. אולי פסק ר"ל שיש סיבת מיתה עליו, ויש זה על השער, אלא שאי אפשר להמיתו. ותחשב.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A0099"/>
    <w:multiLevelType w:val="multilevel"/>
    <w:tmpl w:val="4DEA90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F8605F"/>
    <w:multiLevelType w:val="multilevel"/>
    <w:tmpl w:val="EC5AE2BA"/>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2" w15:restartNumberingAfterBreak="0">
    <w:nsid w:val="0CD57C63"/>
    <w:multiLevelType w:val="multilevel"/>
    <w:tmpl w:val="6C8A70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1273052B"/>
    <w:multiLevelType w:val="multilevel"/>
    <w:tmpl w:val="04463D9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157D1436"/>
    <w:multiLevelType w:val="multilevel"/>
    <w:tmpl w:val="FC76F32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17472622"/>
    <w:multiLevelType w:val="multilevel"/>
    <w:tmpl w:val="27B8252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1F29328A"/>
    <w:multiLevelType w:val="multilevel"/>
    <w:tmpl w:val="1FB835D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2E7923A4"/>
    <w:multiLevelType w:val="multilevel"/>
    <w:tmpl w:val="F7ECB5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33DA766A"/>
    <w:multiLevelType w:val="multilevel"/>
    <w:tmpl w:val="48F0940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358F73EE"/>
    <w:multiLevelType w:val="multilevel"/>
    <w:tmpl w:val="A11E7C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38055E75"/>
    <w:multiLevelType w:val="multilevel"/>
    <w:tmpl w:val="185A8FE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1" w15:restartNumberingAfterBreak="0">
    <w:nsid w:val="3DEF407A"/>
    <w:multiLevelType w:val="multilevel"/>
    <w:tmpl w:val="AACAB494"/>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12" w15:restartNumberingAfterBreak="0">
    <w:nsid w:val="3F9E4689"/>
    <w:multiLevelType w:val="multilevel"/>
    <w:tmpl w:val="60C26360"/>
    <w:lvl w:ilvl="0">
      <w:start w:val="1"/>
      <w:numFmt w:val="none"/>
      <w:pStyle w:val="Heading1"/>
      <w:suff w:val="nothing"/>
      <w:lvlText w:val=""/>
      <w:lvlJc w:val="left"/>
      <w:pPr>
        <w:tabs>
          <w:tab w:val="num" w:pos="0"/>
        </w:tabs>
        <w:ind w:left="0" w:firstLine="0"/>
      </w:pPr>
      <w:rPr>
        <w:b w:val="0"/>
      </w:rPr>
    </w:lvl>
    <w:lvl w:ilvl="1">
      <w:start w:val="1"/>
      <w:numFmt w:val="none"/>
      <w:pStyle w:val="Heading2"/>
      <w:suff w:val="nothing"/>
      <w:lvlText w:val=""/>
      <w:lvlJc w:val="left"/>
      <w:pPr>
        <w:tabs>
          <w:tab w:val="num" w:pos="0"/>
        </w:tabs>
        <w:ind w:left="0" w:firstLine="0"/>
      </w:pPr>
      <w:rPr>
        <w:b w:val="0"/>
        <w:sz w:val="24"/>
      </w:r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037374C"/>
    <w:multiLevelType w:val="multilevel"/>
    <w:tmpl w:val="21C28D0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40B94612"/>
    <w:multiLevelType w:val="multilevel"/>
    <w:tmpl w:val="C9BE2FE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42E76A37"/>
    <w:multiLevelType w:val="multilevel"/>
    <w:tmpl w:val="2862B3D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6" w15:restartNumberingAfterBreak="0">
    <w:nsid w:val="42FF6E6B"/>
    <w:multiLevelType w:val="multilevel"/>
    <w:tmpl w:val="B69ABC3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43FC5586"/>
    <w:multiLevelType w:val="multilevel"/>
    <w:tmpl w:val="5948A59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4A491356"/>
    <w:multiLevelType w:val="multilevel"/>
    <w:tmpl w:val="071E4F9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9" w15:restartNumberingAfterBreak="0">
    <w:nsid w:val="4BB94438"/>
    <w:multiLevelType w:val="multilevel"/>
    <w:tmpl w:val="CD001D7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15:restartNumberingAfterBreak="0">
    <w:nsid w:val="4FBF2122"/>
    <w:multiLevelType w:val="multilevel"/>
    <w:tmpl w:val="99BE7E6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1" w15:restartNumberingAfterBreak="0">
    <w:nsid w:val="523B6AD8"/>
    <w:multiLevelType w:val="multilevel"/>
    <w:tmpl w:val="684204D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54E80920"/>
    <w:multiLevelType w:val="multilevel"/>
    <w:tmpl w:val="7430C1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3" w15:restartNumberingAfterBreak="0">
    <w:nsid w:val="5A676178"/>
    <w:multiLevelType w:val="multilevel"/>
    <w:tmpl w:val="211EE18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63C246F5"/>
    <w:multiLevelType w:val="multilevel"/>
    <w:tmpl w:val="F058F90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5" w15:restartNumberingAfterBreak="0">
    <w:nsid w:val="650F4980"/>
    <w:multiLevelType w:val="multilevel"/>
    <w:tmpl w:val="D0A6294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6" w15:restartNumberingAfterBreak="0">
    <w:nsid w:val="69911D79"/>
    <w:multiLevelType w:val="multilevel"/>
    <w:tmpl w:val="AA90D51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7" w15:restartNumberingAfterBreak="0">
    <w:nsid w:val="7F7923C3"/>
    <w:multiLevelType w:val="multilevel"/>
    <w:tmpl w:val="34C844C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8" w15:restartNumberingAfterBreak="0">
    <w:nsid w:val="7F860D4A"/>
    <w:multiLevelType w:val="multilevel"/>
    <w:tmpl w:val="179E472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0"/>
  </w:num>
  <w:num w:numId="2">
    <w:abstractNumId w:val="12"/>
  </w:num>
  <w:num w:numId="3">
    <w:abstractNumId w:val="24"/>
  </w:num>
  <w:num w:numId="4">
    <w:abstractNumId w:val="1"/>
  </w:num>
  <w:num w:numId="5">
    <w:abstractNumId w:val="17"/>
  </w:num>
  <w:num w:numId="6">
    <w:abstractNumId w:val="22"/>
  </w:num>
  <w:num w:numId="7">
    <w:abstractNumId w:val="16"/>
  </w:num>
  <w:num w:numId="8">
    <w:abstractNumId w:val="11"/>
  </w:num>
  <w:num w:numId="9">
    <w:abstractNumId w:val="3"/>
  </w:num>
  <w:num w:numId="10">
    <w:abstractNumId w:val="28"/>
  </w:num>
  <w:num w:numId="11">
    <w:abstractNumId w:val="18"/>
  </w:num>
  <w:num w:numId="12">
    <w:abstractNumId w:val="7"/>
  </w:num>
  <w:num w:numId="13">
    <w:abstractNumId w:val="15"/>
  </w:num>
  <w:num w:numId="14">
    <w:abstractNumId w:val="27"/>
  </w:num>
  <w:num w:numId="15">
    <w:abstractNumId w:val="23"/>
  </w:num>
  <w:num w:numId="16">
    <w:abstractNumId w:val="19"/>
  </w:num>
  <w:num w:numId="17">
    <w:abstractNumId w:val="20"/>
  </w:num>
  <w:num w:numId="18">
    <w:abstractNumId w:val="14"/>
  </w:num>
  <w:num w:numId="19">
    <w:abstractNumId w:val="9"/>
  </w:num>
  <w:num w:numId="20">
    <w:abstractNumId w:val="6"/>
  </w:num>
  <w:num w:numId="21">
    <w:abstractNumId w:val="25"/>
  </w:num>
  <w:num w:numId="22">
    <w:abstractNumId w:val="26"/>
  </w:num>
  <w:num w:numId="23">
    <w:abstractNumId w:val="2"/>
  </w:num>
  <w:num w:numId="24">
    <w:abstractNumId w:val="8"/>
  </w:num>
  <w:num w:numId="25">
    <w:abstractNumId w:val="10"/>
  </w:num>
  <w:num w:numId="26">
    <w:abstractNumId w:val="4"/>
  </w:num>
  <w:num w:numId="27">
    <w:abstractNumId w:val="21"/>
  </w:num>
  <w:num w:numId="28">
    <w:abstractNumId w:val="5"/>
  </w:num>
  <w:num w:numId="29">
    <w:abstractNumId w:val="13"/>
  </w:num>
  <w:num w:numId="30">
    <w:abstractNumId w:val="24"/>
    <w:lvlOverride w:ilvl="0">
      <w:startOverride w:val="1"/>
    </w:lvlOverride>
  </w:num>
  <w:num w:numId="31">
    <w:abstractNumId w:val="21"/>
    <w:lvlOverride w:ilvl="0">
      <w:startOverride w:val="1"/>
    </w:lvlOverride>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0E6"/>
    <w:rsid w:val="00112C7B"/>
    <w:rsid w:val="00773E68"/>
    <w:rsid w:val="00833FFB"/>
    <w:rsid w:val="009E50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9274"/>
  <w15:docId w15:val="{8B4AE240-A859-43BA-9929-860B4D22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Heading"/>
    <w:next w:val="BodyText"/>
    <w:qFormat/>
    <w:pPr>
      <w:numPr>
        <w:numId w:val="2"/>
      </w:numPr>
      <w:spacing w:before="0" w:after="0"/>
      <w:jc w:val="center"/>
      <w:outlineLvl w:val="0"/>
    </w:pPr>
    <w:rPr>
      <w:b/>
      <w:bCs/>
      <w:sz w:val="36"/>
      <w:szCs w:val="24"/>
    </w:rPr>
  </w:style>
  <w:style w:type="paragraph" w:styleId="Heading2">
    <w:name w:val="heading 2"/>
    <w:basedOn w:val="Heading"/>
    <w:next w:val="BodyText"/>
    <w:qFormat/>
    <w:pPr>
      <w:numPr>
        <w:ilvl w:val="1"/>
        <w:numId w:val="2"/>
      </w:numPr>
      <w:spacing w:before="0" w:after="0"/>
      <w:outlineLvl w:val="1"/>
    </w:pPr>
    <w:rPr>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FootnoteAnchor">
    <w:name w:val="Footnote Anchor"/>
    <w:rPr>
      <w:vertAlign w:val="superscript"/>
    </w:rPr>
  </w:style>
  <w:style w:type="character" w:customStyle="1" w:styleId="FootnoteCharacters">
    <w:name w:val="Footnote Characters"/>
    <w:qFormat/>
  </w:style>
  <w:style w:type="character" w:customStyle="1" w:styleId="EndnoteAnchor">
    <w:name w:val="Endnote Anchor"/>
    <w:rPr>
      <w:vertAlign w:val="superscript"/>
    </w:rPr>
  </w:style>
  <w:style w:type="character" w:customStyle="1" w:styleId="EndnoteCharacters">
    <w:name w:val="Endnote Characters"/>
    <w:qFormat/>
  </w:style>
  <w:style w:type="character" w:styleId="Hyperlink">
    <w:name w:val="Hyperlink"/>
    <w:rPr>
      <w:color w:val="000080"/>
      <w:u w:val="single"/>
    </w:rPr>
  </w:style>
  <w:style w:type="character" w:customStyle="1" w:styleId="IndexLink">
    <w:name w:val="Index Link"/>
    <w:qFormat/>
  </w:style>
  <w:style w:type="character" w:customStyle="1" w:styleId="LineNumbering">
    <w:name w:val="Line Numbering"/>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IndexHeading"/>
  </w:style>
  <w:style w:type="paragraph" w:styleId="TOC1">
    <w:name w:val="toc 1"/>
    <w:basedOn w:val="Index"/>
    <w:pPr>
      <w:tabs>
        <w:tab w:val="right" w:leader="dot" w:pos="9972"/>
      </w:tabs>
    </w:pPr>
  </w:style>
  <w:style w:type="paragraph" w:styleId="TOC2">
    <w:name w:val="toc 2"/>
    <w:basedOn w:val="Index"/>
    <w:pPr>
      <w:tabs>
        <w:tab w:val="right" w:leader="dot" w:pos="9689"/>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4911</TotalTime>
  <Pages>8</Pages>
  <Words>1886</Words>
  <Characters>10756</Characters>
  <Application>Microsoft Office Word</Application>
  <DocSecurity>0</DocSecurity>
  <Lines>89</Lines>
  <Paragraphs>25</Paragraphs>
  <ScaleCrop>false</ScaleCrop>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שי הכהן</cp:lastModifiedBy>
  <cp:revision>235</cp:revision>
  <dcterms:created xsi:type="dcterms:W3CDTF">2023-02-21T22:08:00Z</dcterms:created>
  <dcterms:modified xsi:type="dcterms:W3CDTF">2023-08-23T05:02:00Z</dcterms:modified>
  <dc:language>en-US</dc:language>
</cp:coreProperties>
</file>