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62E4" w14:textId="77777777" w:rsidR="007C0E82" w:rsidRDefault="00000000">
      <w:pPr>
        <w:pStyle w:val="Heading1"/>
        <w:rPr>
          <w:sz w:val="24"/>
        </w:rPr>
      </w:pPr>
      <w:r>
        <w:rPr>
          <w:sz w:val="24"/>
          <w:rtl/>
          <w:lang w:bidi="he-IL"/>
        </w:rPr>
        <w:t>משנה א</w:t>
      </w:r>
      <w:r>
        <w:rPr>
          <w:rStyle w:val="FootnoteReference"/>
          <w:sz w:val="24"/>
          <w:rtl/>
        </w:rPr>
        <w:footnoteReference w:id="1"/>
      </w:r>
    </w:p>
    <w:p w14:paraId="307C966D" w14:textId="77777777" w:rsidR="007C0E82" w:rsidRDefault="00000000">
      <w:pPr>
        <w:rPr>
          <w:sz w:val="28"/>
          <w:szCs w:val="28"/>
        </w:rPr>
      </w:pPr>
      <w:r>
        <w:rPr>
          <w:rStyle w:val="FootnoteReference"/>
          <w:rtl/>
        </w:rPr>
        <w:footnoteReference w:id="2"/>
      </w:r>
      <w:r>
        <w:rPr>
          <w:rStyle w:val="FootnoteReference"/>
          <w:rtl/>
        </w:rPr>
        <w:footnoteReference w:id="3"/>
      </w:r>
      <w:r>
        <w:rPr>
          <w:rtl/>
        </w:rPr>
        <w:t>מֵאֵימָתַי</w:t>
      </w:r>
      <w:r>
        <w:rPr>
          <w:rStyle w:val="FootnoteReference"/>
          <w:rtl/>
        </w:rPr>
        <w:footnoteReference w:id="4"/>
      </w:r>
      <w:r>
        <w:rPr>
          <w:rStyle w:val="FootnoteReference"/>
          <w:rtl/>
        </w:rPr>
        <w:footnoteReference w:id="5"/>
      </w:r>
      <w:r>
        <w:rPr>
          <w:rtl/>
        </w:rPr>
        <w:t xml:space="preserve"> קוֹרִין אֶת שְׁמַע בְּעַרְבִית</w:t>
      </w:r>
      <w:r>
        <w:rPr>
          <w:rStyle w:val="FootnoteReference"/>
          <w:rtl/>
        </w:rPr>
        <w:footnoteReference w:id="6"/>
      </w:r>
      <w:r>
        <w:rPr>
          <w:rtl/>
        </w:rPr>
        <w:t>? מִשָּׁעָה שֶׁהַכֹּהֲנִים נִכְנָסִים לֶאֱכֹל בִּתְרוּמָתָן</w:t>
      </w:r>
      <w:r>
        <w:rPr>
          <w:rStyle w:val="FootnoteReference"/>
          <w:rtl/>
        </w:rPr>
        <w:footnoteReference w:id="7"/>
      </w:r>
      <w:r>
        <w:rPr>
          <w:rStyle w:val="FootnoteReference"/>
          <w:rtl/>
        </w:rPr>
        <w:footnoteReference w:id="8"/>
      </w:r>
      <w:r>
        <w:rPr>
          <w:rStyle w:val="FootnoteReference"/>
          <w:rtl/>
        </w:rPr>
        <w:footnoteReference w:id="9"/>
      </w:r>
      <w:r>
        <w:rPr>
          <w:rtl/>
        </w:rPr>
        <w:t>, עַד סוֹף הָאַשְׁמוּרָה</w:t>
      </w:r>
      <w:r>
        <w:rPr>
          <w:rStyle w:val="FootnoteReference"/>
          <w:rtl/>
        </w:rPr>
        <w:footnoteReference w:id="10"/>
      </w:r>
      <w:r>
        <w:rPr>
          <w:rtl/>
        </w:rPr>
        <w:t xml:space="preserve"> הָרִאשׁוֹנָה</w:t>
      </w:r>
      <w:r>
        <w:rPr>
          <w:rStyle w:val="FootnoteReference"/>
          <w:rtl/>
        </w:rPr>
        <w:footnoteReference w:id="11"/>
      </w:r>
      <w:r>
        <w:rPr>
          <w:rtl/>
        </w:rPr>
        <w:t>, דִּבְרֵי רַבִּי אֱלִיעֶזֶר. וַחֲכָמִים אוֹמְרִים, עַד חֲצוֹת</w:t>
      </w:r>
      <w:r>
        <w:rPr>
          <w:rStyle w:val="FootnoteReference"/>
          <w:rtl/>
        </w:rPr>
        <w:footnoteReference w:id="12"/>
      </w:r>
      <w:r>
        <w:rPr>
          <w:rtl/>
        </w:rPr>
        <w:t>. רַבָּן גַּמְלִיאֵל אוֹמֵר, עַד שֶׁיַּעֲלֶה עַמּוּד הַשָּׁחַר</w:t>
      </w:r>
      <w:r>
        <w:rPr>
          <w:rStyle w:val="FootnoteReference"/>
          <w:rtl/>
        </w:rPr>
        <w:footnoteReference w:id="13"/>
      </w:r>
      <w:r>
        <w:rPr>
          <w:rtl/>
        </w:rPr>
        <w:t xml:space="preserve">. </w:t>
      </w:r>
    </w:p>
    <w:p w14:paraId="36A3A605" w14:textId="77777777" w:rsidR="007C0E82" w:rsidRDefault="00000000">
      <w:pPr>
        <w:rPr>
          <w:sz w:val="28"/>
          <w:szCs w:val="28"/>
        </w:rPr>
      </w:pPr>
      <w:r>
        <w:rPr>
          <w:rtl/>
        </w:rPr>
        <w:lastRenderedPageBreak/>
        <w:t>מַעֲשֶׂה שֶׁבָּאוּ בָנָיו מִבֵּית הַמִּשְׁתֶּה</w:t>
      </w:r>
      <w:r>
        <w:rPr>
          <w:rStyle w:val="FootnoteReference"/>
          <w:rtl/>
        </w:rPr>
        <w:footnoteReference w:id="14"/>
      </w:r>
      <w:r>
        <w:rPr>
          <w:rtl/>
        </w:rPr>
        <w:t>, אָמְרוּ לוֹ, לֹא קָרִינוּ אֶת שְׁמַע</w:t>
      </w:r>
      <w:r>
        <w:rPr>
          <w:rStyle w:val="FootnoteReference"/>
          <w:rtl/>
        </w:rPr>
        <w:footnoteReference w:id="15"/>
      </w:r>
      <w:r>
        <w:rPr>
          <w:rtl/>
        </w:rPr>
        <w:t>. אָמַר לָהֶם, אִם לֹא עָלָה עַמּוּד הַשַּׁחַר, חַיָּבִין אַתֶּם לִקְרוֹת. וְלֹא זוֹ בִּלְבַד, אֶלָּא כָּל מַה שֶּׁאָמְרוּ חֲכָמִים עַד חֲצוֹת, מִצְוָתָן</w:t>
      </w:r>
      <w:r>
        <w:rPr>
          <w:rtl/>
          <w:lang w:bidi="he-IL"/>
        </w:rPr>
        <w:t xml:space="preserve"> [כ] </w:t>
      </w:r>
      <w:r>
        <w:rPr>
          <w:rtl/>
        </w:rPr>
        <w:t xml:space="preserve">עַד שֶׁיַּעֲלֶה עַמּוּד הַשָּׁחַר. </w:t>
      </w:r>
      <w:r>
        <w:rPr>
          <w:rtl/>
          <w:lang w:bidi="he-IL"/>
        </w:rPr>
        <w:t xml:space="preserve">[כא] </w:t>
      </w:r>
      <w:r>
        <w:rPr>
          <w:rtl/>
        </w:rPr>
        <w:t>הֶקְטֵר חֲלָבִים וְאֵבָרִים</w:t>
      </w:r>
      <w:r>
        <w:rPr>
          <w:rStyle w:val="FootnoteReference"/>
          <w:rtl/>
        </w:rPr>
        <w:footnoteReference w:id="16"/>
      </w:r>
      <w:r>
        <w:rPr>
          <w:rtl/>
        </w:rPr>
        <w:t>, מִצְוָתָן עַד שֶׁיַּעֲלֶה עַמּוּד הַשָּׁחַר</w:t>
      </w:r>
      <w:r>
        <w:rPr>
          <w:rStyle w:val="FootnoteReference"/>
          <w:rtl/>
        </w:rPr>
        <w:footnoteReference w:id="17"/>
      </w:r>
      <w:r>
        <w:rPr>
          <w:rtl/>
        </w:rPr>
        <w:t>. וְכָל הַנֶּאֱכָלִים לְיוֹם אֶחָד</w:t>
      </w:r>
      <w:r>
        <w:rPr>
          <w:rStyle w:val="FootnoteReference"/>
          <w:rtl/>
        </w:rPr>
        <w:footnoteReference w:id="18"/>
      </w:r>
      <w:r>
        <w:rPr>
          <w:rtl/>
        </w:rPr>
        <w:t>, מִצְוָתָן עַד שֶׁיַּעֲלֶה עַמּוּד הַשָּׁחַר</w:t>
      </w:r>
      <w:r>
        <w:rPr>
          <w:rStyle w:val="FootnoteReference"/>
          <w:rtl/>
        </w:rPr>
        <w:footnoteReference w:id="19"/>
      </w:r>
      <w:r>
        <w:rPr>
          <w:rtl/>
        </w:rPr>
        <w:t xml:space="preserve">. אִם כֵּן, לָמָּה אָמְרוּ חֲכָמִים עַד חֲצוֹת? כְּדֵי לְהַרְחִיק אֶת הָאָדָם מִן הָעֲבֵרָה </w:t>
      </w:r>
      <w:r>
        <w:rPr>
          <w:rtl/>
          <w:lang w:bidi="he-IL"/>
        </w:rPr>
        <w:t>[כד]</w:t>
      </w:r>
      <w:r>
        <w:rPr>
          <w:rtl/>
        </w:rPr>
        <w:t>:</w:t>
      </w:r>
      <w:r>
        <w:rPr>
          <w:rStyle w:val="FootnoteReference"/>
          <w:rtl/>
        </w:rPr>
        <w:footnoteReference w:id="20"/>
      </w:r>
      <w:r>
        <w:rPr>
          <w:rtl/>
        </w:rPr>
        <w:t xml:space="preserve"> </w:t>
      </w:r>
    </w:p>
    <w:p w14:paraId="3F24E02A" w14:textId="77777777" w:rsidR="007C0E82" w:rsidRDefault="007C0E82">
      <w:pPr>
        <w:rPr>
          <w:sz w:val="28"/>
          <w:szCs w:val="28"/>
        </w:rPr>
      </w:pPr>
    </w:p>
    <w:sectPr w:rsidR="007C0E82">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EF95" w14:textId="77777777" w:rsidR="00A33A17" w:rsidRDefault="00A33A17">
      <w:pPr>
        <w:spacing w:before="0" w:after="0" w:line="240" w:lineRule="auto"/>
      </w:pPr>
      <w:r>
        <w:separator/>
      </w:r>
    </w:p>
  </w:endnote>
  <w:endnote w:type="continuationSeparator" w:id="0">
    <w:p w14:paraId="7A5EE5EC" w14:textId="77777777" w:rsidR="00A33A17" w:rsidRDefault="00A33A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BC879" w14:textId="77777777" w:rsidR="00A33A17" w:rsidRDefault="00A33A17">
      <w:r>
        <w:separator/>
      </w:r>
    </w:p>
  </w:footnote>
  <w:footnote w:type="continuationSeparator" w:id="0">
    <w:p w14:paraId="306E0593" w14:textId="77777777" w:rsidR="00A33A17" w:rsidRDefault="00A33A17">
      <w:r>
        <w:continuationSeparator/>
      </w:r>
    </w:p>
  </w:footnote>
  <w:footnote w:id="1">
    <w:p w14:paraId="14DE2660" w14:textId="77777777" w:rsidR="007C0E82" w:rsidRDefault="00000000">
      <w:pPr>
        <w:pStyle w:val="FootnoteText"/>
        <w:rPr>
          <w:b/>
          <w:bCs/>
          <w:lang w:bidi="he-IL"/>
        </w:rPr>
      </w:pPr>
      <w:r>
        <w:rPr>
          <w:rStyle w:val="FootnoteCharacters"/>
        </w:rPr>
        <w:footnoteRef/>
      </w:r>
      <w:r>
        <w:rPr>
          <w:b/>
          <w:bCs/>
          <w:rtl/>
          <w:lang w:bidi="he-IL"/>
        </w:rPr>
        <w:tab/>
        <w:t>משנה א:</w:t>
      </w:r>
    </w:p>
  </w:footnote>
  <w:footnote w:id="2">
    <w:p w14:paraId="2972E88C" w14:textId="77777777" w:rsidR="007C0E82" w:rsidRDefault="00000000">
      <w:pPr>
        <w:pStyle w:val="FootnoteText"/>
      </w:pPr>
      <w:r>
        <w:rPr>
          <w:rStyle w:val="FootnoteCharacters"/>
        </w:rPr>
        <w:footnoteRef/>
      </w:r>
      <w:r>
        <w:rPr>
          <w:rtl/>
        </w:rPr>
        <w:tab/>
      </w:r>
      <w:r>
        <w:rPr>
          <w:b/>
          <w:bCs/>
          <w:rtl/>
          <w:lang w:bidi="he-IL"/>
        </w:rPr>
        <w:t>הקדמה:</w:t>
      </w:r>
    </w:p>
    <w:p w14:paraId="38501B20" w14:textId="77777777" w:rsidR="007C0E82" w:rsidRDefault="00000000">
      <w:pPr>
        <w:pStyle w:val="FootnoteText"/>
        <w:rPr>
          <w:b/>
          <w:bCs/>
          <w:lang w:bidi="he-IL"/>
        </w:rPr>
      </w:pPr>
      <w:r>
        <w:rPr>
          <w:b/>
          <w:bCs/>
          <w:rtl/>
          <w:lang w:bidi="he-IL"/>
        </w:rPr>
        <w:tab/>
      </w:r>
      <w:r>
        <w:rPr>
          <w:rtl/>
          <w:lang w:bidi="he-IL"/>
        </w:rPr>
        <w:t>אדם חייב לקרוא קריאת שמע בכל ערב, שנאמר, “ודברת בם… בשכבך.” משנה זה יבאר זמן שבו יכול אדם לקיים מצוה זו – יבאר תחילת זמן שלו ויבאר סוף זמן שלו.</w:t>
      </w:r>
    </w:p>
  </w:footnote>
  <w:footnote w:id="3">
    <w:p w14:paraId="742D736A" w14:textId="77777777" w:rsidR="007C0E82" w:rsidRDefault="00000000">
      <w:pPr>
        <w:pStyle w:val="FootnoteText"/>
      </w:pPr>
      <w:r>
        <w:rPr>
          <w:rStyle w:val="FootnoteCharacters"/>
        </w:rPr>
        <w:footnoteRef/>
      </w:r>
      <w:r>
        <w:rPr>
          <w:rtl/>
        </w:rPr>
        <w:tab/>
      </w:r>
      <w:r>
        <w:rPr>
          <w:b/>
          <w:bCs/>
          <w:rtl/>
          <w:lang w:bidi="he-IL"/>
        </w:rPr>
        <w:t>ביאור:</w:t>
      </w:r>
    </w:p>
  </w:footnote>
  <w:footnote w:id="4">
    <w:p w14:paraId="0EB18CB7" w14:textId="77777777" w:rsidR="007C0E82" w:rsidRDefault="00000000">
      <w:pPr>
        <w:pStyle w:val="FootnoteText"/>
      </w:pPr>
      <w:r>
        <w:rPr>
          <w:rStyle w:val="FootnoteCharacters"/>
        </w:rPr>
        <w:footnoteRef/>
      </w:r>
      <w:r>
        <w:rPr>
          <w:rtl/>
        </w:rPr>
        <w:tab/>
      </w:r>
      <w:r>
        <w:rPr>
          <w:rtl/>
        </w:rPr>
        <w:t xml:space="preserve">גמרא </w:t>
      </w:r>
      <w:r>
        <w:rPr>
          <w:b/>
          <w:bCs/>
          <w:u w:val="single"/>
          <w:rtl/>
        </w:rPr>
        <w:t>(ב.)</w:t>
      </w:r>
      <w:r>
        <w:rPr>
          <w:b/>
          <w:bCs/>
          <w:rtl/>
        </w:rPr>
        <w:t xml:space="preserve"> </w:t>
      </w:r>
      <w:r>
        <w:rPr>
          <w:rtl/>
          <w:lang w:bidi="he-IL"/>
        </w:rPr>
        <w:t>מקשה שלשון הגמ’ משמע שכבר ידוע שצריך לקרוא קריאת שמע (שרק שואל מתי צריך לקרוא). [א] מפרש שכבר ידוע שצריך לקרוא כיון שידוע צ</w:t>
      </w:r>
      <w:r>
        <w:rPr>
          <w:rtl/>
        </w:rPr>
        <w:t>יווי הקרא לקרוא קריאת שמע.</w:t>
      </w:r>
      <w:r>
        <w:rPr>
          <w:rtl/>
          <w:lang w:bidi="he-IL"/>
        </w:rPr>
        <w:t xml:space="preserve"> [ב] </w:t>
      </w:r>
      <w:r>
        <w:rPr>
          <w:rtl/>
        </w:rPr>
        <w:t xml:space="preserve">אז, כבר ידוע החיוב, ורק שואל על החיוב מתי זמנו. </w:t>
      </w:r>
      <w:r>
        <w:rPr>
          <w:rtl/>
          <w:lang w:bidi="he-IL"/>
        </w:rPr>
        <w:t>[ג]</w:t>
      </w:r>
    </w:p>
  </w:footnote>
  <w:footnote w:id="5">
    <w:p w14:paraId="4C700ED6" w14:textId="77777777" w:rsidR="007C0E82" w:rsidRDefault="00000000">
      <w:pPr>
        <w:pStyle w:val="FootnoteText"/>
      </w:pPr>
      <w:r>
        <w:rPr>
          <w:rStyle w:val="FootnoteCharacters"/>
        </w:rPr>
        <w:footnoteRef/>
      </w:r>
      <w:r>
        <w:rPr>
          <w:rtl/>
        </w:rPr>
        <w:tab/>
      </w:r>
      <w:r>
        <w:rPr>
          <w:rtl/>
        </w:rPr>
        <w:t xml:space="preserve">קרא אומר, “בשכבך.” זה אומר שצריכים לקרוא קריאת שמע בזמן שכיבה. </w:t>
      </w:r>
      <w:r>
        <w:rPr>
          <w:rtl/>
          <w:lang w:bidi="he-IL"/>
        </w:rPr>
        <w:t>[ד]</w:t>
      </w:r>
      <w:r>
        <w:rPr>
          <w:rtl/>
        </w:rPr>
        <w:t xml:space="preserve"> משנה יבאר מתי נחשב זמן שכיבה ובו קוראים קריאת שמע.</w:t>
      </w:r>
    </w:p>
  </w:footnote>
  <w:footnote w:id="6">
    <w:p w14:paraId="01F61717" w14:textId="77777777" w:rsidR="007C0E82" w:rsidRDefault="00000000">
      <w:pPr>
        <w:pStyle w:val="FootnoteText"/>
      </w:pPr>
      <w:r>
        <w:rPr>
          <w:rStyle w:val="FootnoteCharacters"/>
        </w:rPr>
        <w:footnoteRef/>
      </w:r>
      <w:r>
        <w:rPr>
          <w:rtl/>
        </w:rPr>
        <w:tab/>
      </w:r>
      <w:r>
        <w:rPr>
          <w:rtl/>
        </w:rPr>
        <w:t xml:space="preserve">גמרא </w:t>
      </w:r>
      <w:r>
        <w:rPr>
          <w:b/>
          <w:bCs/>
          <w:u w:val="single"/>
          <w:rtl/>
        </w:rPr>
        <w:t>(ב.)</w:t>
      </w:r>
      <w:r>
        <w:rPr>
          <w:rtl/>
        </w:rPr>
        <w:t xml:space="preserve"> מבאר שני טעמים למה </w:t>
      </w:r>
      <w:r>
        <w:rPr>
          <w:rtl/>
          <w:lang w:bidi="he-IL"/>
        </w:rPr>
        <w:t>מ</w:t>
      </w:r>
      <w:r>
        <w:rPr>
          <w:rtl/>
        </w:rPr>
        <w:t xml:space="preserve">באר זמן ק"ש של ערבית קודם שמבאר (במשנה ב) זמן ק"ש של שחרית </w:t>
      </w:r>
      <w:r>
        <w:rPr>
          <w:rtl/>
          <w:lang w:bidi="he-IL"/>
        </w:rPr>
        <w:t>[ה]</w:t>
      </w:r>
      <w:r>
        <w:rPr>
          <w:rtl/>
        </w:rPr>
        <w:t>:</w:t>
      </w:r>
    </w:p>
    <w:p w14:paraId="58E07DAF" w14:textId="77777777" w:rsidR="007C0E82" w:rsidRDefault="00000000">
      <w:pPr>
        <w:pStyle w:val="FootnoteText"/>
        <w:numPr>
          <w:ilvl w:val="0"/>
          <w:numId w:val="1"/>
        </w:numPr>
        <w:ind w:left="1060" w:hanging="360"/>
      </w:pPr>
      <w:r>
        <w:rPr>
          <w:rtl/>
          <w:lang w:bidi="he-IL"/>
        </w:rPr>
        <w:t>המשנה ממשיך מן הפסוק שמחייב קריאת שמע</w:t>
      </w:r>
      <w:r>
        <w:rPr>
          <w:rtl/>
        </w:rPr>
        <w:t xml:space="preserve"> (כמו שבארנו לעיל), וכמו שקרא אמר חיוב לילה ראשון, כך משנה מבאר חיוב לילה ראשון. </w:t>
      </w:r>
      <w:r>
        <w:rPr>
          <w:rtl/>
          <w:lang w:bidi="he-IL"/>
        </w:rPr>
        <w:t>[ו] [ז]</w:t>
      </w:r>
    </w:p>
    <w:p w14:paraId="3742827C" w14:textId="77777777" w:rsidR="007C0E82" w:rsidRDefault="00000000">
      <w:pPr>
        <w:pStyle w:val="FootnoteText"/>
        <w:numPr>
          <w:ilvl w:val="0"/>
          <w:numId w:val="1"/>
        </w:numPr>
        <w:ind w:left="1060" w:hanging="360"/>
      </w:pPr>
      <w:r>
        <w:rPr>
          <w:rtl/>
        </w:rPr>
        <w:t xml:space="preserve">לומד </w:t>
      </w:r>
      <w:r>
        <w:rPr>
          <w:rtl/>
          <w:lang w:bidi="he-IL"/>
        </w:rPr>
        <w:t xml:space="preserve">אותו הסדר מסדר </w:t>
      </w:r>
      <w:r>
        <w:rPr>
          <w:rtl/>
        </w:rPr>
        <w:t xml:space="preserve">מבריאת העולם, ששם כ’, “ויהי ערב ויהי בקר,” שמשמע שלילה בא קודם יום. </w:t>
      </w:r>
      <w:r>
        <w:rPr>
          <w:rtl/>
          <w:lang w:bidi="he-IL"/>
        </w:rPr>
        <w:t>[ח]</w:t>
      </w:r>
    </w:p>
  </w:footnote>
  <w:footnote w:id="7">
    <w:p w14:paraId="0D94ACB6" w14:textId="0F23A6B0" w:rsidR="007C0E82" w:rsidRDefault="00000000">
      <w:pPr>
        <w:pStyle w:val="FootnoteText"/>
      </w:pPr>
      <w:r>
        <w:rPr>
          <w:rStyle w:val="FootnoteCharacters"/>
        </w:rPr>
        <w:footnoteRef/>
      </w:r>
      <w:r>
        <w:rPr>
          <w:rtl/>
        </w:rPr>
        <w:tab/>
      </w:r>
      <w:r>
        <w:rPr>
          <w:rtl/>
        </w:rPr>
        <w:t xml:space="preserve">גמרא </w:t>
      </w:r>
      <w:r>
        <w:rPr>
          <w:u w:val="single"/>
          <w:rtl/>
        </w:rPr>
        <w:t>(</w:t>
      </w:r>
      <w:r>
        <w:rPr>
          <w:b/>
          <w:bCs/>
          <w:u w:val="single"/>
          <w:rtl/>
        </w:rPr>
        <w:t>ב.,ב:)</w:t>
      </w:r>
      <w:r>
        <w:rPr>
          <w:b/>
          <w:bCs/>
          <w:rtl/>
        </w:rPr>
        <w:t xml:space="preserve"> </w:t>
      </w:r>
      <w:r>
        <w:rPr>
          <w:rtl/>
        </w:rPr>
        <w:t xml:space="preserve">מבאר שזה צאת הכוכבים. לומד את זה מן הקרא. קרא </w:t>
      </w:r>
      <w:r>
        <w:rPr>
          <w:b/>
          <w:bCs/>
          <w:rtl/>
        </w:rPr>
        <w:t>(ויקרא כב)</w:t>
      </w:r>
      <w:r>
        <w:rPr>
          <w:rtl/>
        </w:rPr>
        <w:t xml:space="preserve"> אומר, “ובא השמש וטהר" (ומבאר גמרא</w:t>
      </w:r>
      <w:r w:rsidR="00507964">
        <w:rPr>
          <w:rFonts w:hint="cs"/>
          <w:rtl/>
          <w:lang w:bidi="he-IL"/>
        </w:rPr>
        <w:t xml:space="preserve"> ביבמות</w:t>
      </w:r>
      <w:r>
        <w:rPr>
          <w:rtl/>
        </w:rPr>
        <w:t xml:space="preserve"> שזה אומר זמן שמותר לאכול תרומה). דורש גמרא ש"ובא השמש" אומר סוף היום, ו"וטהר" אומר שאז הטמא נטהר. (מבאר גמרא </w:t>
      </w:r>
      <w:r>
        <w:rPr>
          <w:b/>
          <w:bCs/>
          <w:u w:val="single"/>
          <w:rtl/>
        </w:rPr>
        <w:t>(ב:)</w:t>
      </w:r>
      <w:r>
        <w:rPr>
          <w:rtl/>
        </w:rPr>
        <w:t xml:space="preserve"> שהיה אפשר </w:t>
      </w:r>
      <w:r>
        <w:rPr>
          <w:rtl/>
          <w:lang w:bidi="he-IL"/>
        </w:rPr>
        <w:t>לפרש</w:t>
      </w:r>
      <w:r>
        <w:rPr>
          <w:rtl/>
        </w:rPr>
        <w:t xml:space="preserve"> ש"ובא השמש" ר"ל שיתחיל היום, ו"וטהר" אומר שיקרב קרבנות לטהר עצמו, אלא שלשון "וטהר,” ולא "ויטהר,” מורה שאין הקרא אומר כן.)</w:t>
      </w:r>
    </w:p>
    <w:p w14:paraId="1BB2778B" w14:textId="77777777" w:rsidR="007C0E82" w:rsidRDefault="00000000">
      <w:pPr>
        <w:pStyle w:val="FootnoteText"/>
      </w:pPr>
      <w:r>
        <w:rPr>
          <w:rtl/>
        </w:rPr>
        <w:tab/>
      </w:r>
      <w:r>
        <w:rPr>
          <w:rtl/>
          <w:lang w:bidi="he-IL"/>
        </w:rPr>
        <w:t>[ט]</w:t>
      </w:r>
    </w:p>
  </w:footnote>
  <w:footnote w:id="8">
    <w:p w14:paraId="28A0D688" w14:textId="77777777" w:rsidR="007C0E82" w:rsidRDefault="00000000">
      <w:pPr>
        <w:pStyle w:val="FootnoteText"/>
      </w:pPr>
      <w:r>
        <w:rPr>
          <w:rStyle w:val="FootnoteCharacters"/>
        </w:rPr>
        <w:footnoteRef/>
      </w:r>
      <w:r>
        <w:rPr>
          <w:rtl/>
        </w:rPr>
        <w:tab/>
      </w:r>
      <w:r>
        <w:rPr>
          <w:rtl/>
        </w:rPr>
        <w:t xml:space="preserve">גמרא </w:t>
      </w:r>
      <w:r>
        <w:rPr>
          <w:b/>
          <w:bCs/>
          <w:u w:val="single"/>
          <w:rtl/>
        </w:rPr>
        <w:t>(ב.)</w:t>
      </w:r>
      <w:r>
        <w:rPr>
          <w:rtl/>
        </w:rPr>
        <w:t xml:space="preserve"> מבאר שתלה אותו בזמן טהרת כהנים, ולא רק אמר "צאת הכוכבים,” </w:t>
      </w:r>
      <w:r>
        <w:rPr>
          <w:rtl/>
          <w:lang w:bidi="he-IL"/>
        </w:rPr>
        <w:t>[י]</w:t>
      </w:r>
      <w:r>
        <w:rPr>
          <w:rtl/>
        </w:rPr>
        <w:t xml:space="preserve"> כדי לחדש שכהנים נטהרים </w:t>
      </w:r>
      <w:r>
        <w:rPr>
          <w:rtl/>
          <w:lang w:bidi="he-IL"/>
        </w:rPr>
        <w:t xml:space="preserve">(ויכולים לאכול תרומה) </w:t>
      </w:r>
      <w:r>
        <w:rPr>
          <w:rtl/>
        </w:rPr>
        <w:t>בהערב שמ</w:t>
      </w:r>
      <w:r>
        <w:rPr>
          <w:rtl/>
          <w:lang w:bidi="he-IL"/>
        </w:rPr>
        <w:t>ש</w:t>
      </w:r>
      <w:r>
        <w:rPr>
          <w:rtl/>
        </w:rPr>
        <w:t xml:space="preserve"> (בצאת </w:t>
      </w:r>
      <w:r>
        <w:rPr>
          <w:rtl/>
          <w:lang w:bidi="he-IL"/>
        </w:rPr>
        <w:t>הכוכבים</w:t>
      </w:r>
      <w:r>
        <w:rPr>
          <w:rtl/>
        </w:rPr>
        <w:t xml:space="preserve">), </w:t>
      </w:r>
      <w:r>
        <w:rPr>
          <w:rtl/>
          <w:lang w:bidi="he-IL"/>
        </w:rPr>
        <w:t>ושכהנים מחוסרי כפרה לא צריכים לחכות עד הבאת קרבנות שלהם</w:t>
      </w:r>
      <w:r>
        <w:rPr>
          <w:rtl/>
        </w:rPr>
        <w:t>.</w:t>
      </w:r>
    </w:p>
  </w:footnote>
  <w:footnote w:id="9">
    <w:p w14:paraId="3D52DA60" w14:textId="77777777" w:rsidR="007C0E82" w:rsidRDefault="00000000">
      <w:pPr>
        <w:pStyle w:val="FootnoteText"/>
      </w:pPr>
      <w:r>
        <w:rPr>
          <w:rStyle w:val="FootnoteCharacters"/>
        </w:rPr>
        <w:footnoteRef/>
      </w:r>
      <w:r>
        <w:rPr>
          <w:rtl/>
        </w:rPr>
        <w:tab/>
      </w:r>
      <w:r>
        <w:rPr>
          <w:rtl/>
        </w:rPr>
        <w:t xml:space="preserve">גמרא </w:t>
      </w:r>
      <w:r>
        <w:rPr>
          <w:rtl/>
        </w:rPr>
        <w:t xml:space="preserve">מביא חולקים על המשנה. לסוף, נמצא </w:t>
      </w:r>
      <w:r>
        <w:rPr>
          <w:b/>
          <w:bCs/>
          <w:rtl/>
        </w:rPr>
        <w:t>שש</w:t>
      </w:r>
      <w:r>
        <w:rPr>
          <w:rtl/>
        </w:rPr>
        <w:t xml:space="preserve"> שיטות בזה, </w:t>
      </w:r>
      <w:r>
        <w:rPr>
          <w:rtl/>
          <w:lang w:bidi="he-IL"/>
        </w:rPr>
        <w:t>כולל שיטת המשנה</w:t>
      </w:r>
      <w:r>
        <w:rPr>
          <w:rtl/>
        </w:rPr>
        <w:t>. נמנה אותם ממוקדם למאוחר:</w:t>
      </w:r>
    </w:p>
    <w:p w14:paraId="2E906CD8" w14:textId="77777777" w:rsidR="007C0E82" w:rsidRDefault="00000000">
      <w:pPr>
        <w:pStyle w:val="FootnoteText"/>
        <w:numPr>
          <w:ilvl w:val="0"/>
          <w:numId w:val="2"/>
        </w:numPr>
        <w:ind w:left="1060" w:hanging="360"/>
      </w:pPr>
      <w:r>
        <w:rPr>
          <w:rtl/>
        </w:rPr>
        <w:t>משעה שהכהנים טובלים.</w:t>
      </w:r>
      <w:r>
        <w:rPr>
          <w:rtl/>
          <w:lang w:bidi="he-IL"/>
        </w:rPr>
        <w:t xml:space="preserve"> [יא] </w:t>
      </w:r>
      <w:r>
        <w:rPr>
          <w:rtl/>
        </w:rPr>
        <w:t xml:space="preserve">(שיטת רבי מאיר לברייתא אחד בגמ’ </w:t>
      </w:r>
      <w:r>
        <w:rPr>
          <w:b/>
          <w:bCs/>
          <w:rtl/>
        </w:rPr>
        <w:t>ב:</w:t>
      </w:r>
      <w:r>
        <w:rPr>
          <w:rtl/>
        </w:rPr>
        <w:t>)</w:t>
      </w:r>
    </w:p>
    <w:p w14:paraId="75AC5762" w14:textId="77777777" w:rsidR="007C0E82" w:rsidRDefault="00000000">
      <w:pPr>
        <w:pStyle w:val="FootnoteText"/>
        <w:numPr>
          <w:ilvl w:val="0"/>
          <w:numId w:val="2"/>
        </w:numPr>
        <w:ind w:left="1060" w:hanging="360"/>
      </w:pPr>
      <w:r>
        <w:rPr>
          <w:rtl/>
        </w:rPr>
        <w:t xml:space="preserve">משעה שקדש היום, שהוא בין השמשות (שיטת רבי אליעזר בגמ’ </w:t>
      </w:r>
      <w:r>
        <w:rPr>
          <w:b/>
          <w:bCs/>
          <w:rtl/>
        </w:rPr>
        <w:t>ב:</w:t>
      </w:r>
      <w:r>
        <w:rPr>
          <w:rtl/>
        </w:rPr>
        <w:t xml:space="preserve">) </w:t>
      </w:r>
      <w:r>
        <w:rPr>
          <w:rtl/>
          <w:lang w:bidi="he-IL"/>
        </w:rPr>
        <w:t>[יב]</w:t>
      </w:r>
    </w:p>
    <w:p w14:paraId="6FA13E4A" w14:textId="77777777" w:rsidR="007C0E82" w:rsidRDefault="00000000">
      <w:pPr>
        <w:pStyle w:val="FootnoteText"/>
        <w:numPr>
          <w:ilvl w:val="0"/>
          <w:numId w:val="2"/>
        </w:numPr>
        <w:ind w:left="1060" w:hanging="360"/>
      </w:pPr>
      <w:r>
        <w:rPr>
          <w:rtl/>
        </w:rPr>
        <w:t xml:space="preserve">משעה שהכהנים </w:t>
      </w:r>
      <w:r>
        <w:rPr>
          <w:rtl/>
          <w:lang w:bidi="he-IL"/>
        </w:rPr>
        <w:t>מותרים לאכול</w:t>
      </w:r>
      <w:r>
        <w:rPr>
          <w:rtl/>
        </w:rPr>
        <w:t xml:space="preserve"> </w:t>
      </w:r>
      <w:r>
        <w:rPr>
          <w:rtl/>
          <w:lang w:bidi="he-IL"/>
        </w:rPr>
        <w:t>תרומה</w:t>
      </w:r>
      <w:r>
        <w:rPr>
          <w:rtl/>
        </w:rPr>
        <w:t>. זה צאת הכוכבים. (משנה</w:t>
      </w:r>
      <w:r>
        <w:rPr>
          <w:b/>
          <w:bCs/>
          <w:rtl/>
        </w:rPr>
        <w:t xml:space="preserve"> ב.</w:t>
      </w:r>
      <w:r>
        <w:rPr>
          <w:rtl/>
        </w:rPr>
        <w:t xml:space="preserve">, רבי יהושע </w:t>
      </w:r>
      <w:r>
        <w:rPr>
          <w:b/>
          <w:bCs/>
          <w:rtl/>
        </w:rPr>
        <w:t>ב:</w:t>
      </w:r>
      <w:r>
        <w:rPr>
          <w:rtl/>
        </w:rPr>
        <w:t>)</w:t>
      </w:r>
    </w:p>
    <w:p w14:paraId="17DF881C" w14:textId="77777777" w:rsidR="007C0E82" w:rsidRDefault="00000000">
      <w:pPr>
        <w:pStyle w:val="FootnoteText"/>
        <w:numPr>
          <w:ilvl w:val="0"/>
          <w:numId w:val="2"/>
        </w:numPr>
        <w:ind w:left="1060" w:hanging="360"/>
      </w:pPr>
      <w:r>
        <w:rPr>
          <w:rtl/>
        </w:rPr>
        <w:t xml:space="preserve">משעה שהעני אוכל (שיטת רבי מאיר לברייתא אחד בגמ’ </w:t>
      </w:r>
      <w:r>
        <w:rPr>
          <w:b/>
          <w:bCs/>
          <w:rtl/>
        </w:rPr>
        <w:t>ב:</w:t>
      </w:r>
      <w:r>
        <w:rPr>
          <w:rtl/>
        </w:rPr>
        <w:t>)</w:t>
      </w:r>
    </w:p>
    <w:p w14:paraId="75754AF2" w14:textId="77777777" w:rsidR="007C0E82" w:rsidRDefault="00000000">
      <w:pPr>
        <w:pStyle w:val="FootnoteText"/>
        <w:numPr>
          <w:ilvl w:val="0"/>
          <w:numId w:val="2"/>
        </w:numPr>
        <w:ind w:left="1060" w:hanging="360"/>
      </w:pPr>
      <w:r>
        <w:rPr>
          <w:rtl/>
        </w:rPr>
        <w:t>משעה שכל אדם נכנס לאכול בשבת (סתם, פשט אחד ברב אחא ב</w:t>
      </w:r>
      <w:r>
        <w:rPr>
          <w:b/>
          <w:bCs/>
          <w:rtl/>
        </w:rPr>
        <w:t>רש"י ב:</w:t>
      </w:r>
      <w:r>
        <w:rPr>
          <w:rtl/>
        </w:rPr>
        <w:t>).</w:t>
      </w:r>
      <w:r>
        <w:rPr>
          <w:rtl/>
          <w:lang w:bidi="he-IL"/>
        </w:rPr>
        <w:t xml:space="preserve"> [יג]</w:t>
      </w:r>
    </w:p>
    <w:p w14:paraId="2FC92FA2" w14:textId="77777777" w:rsidR="007C0E82" w:rsidRDefault="00000000">
      <w:pPr>
        <w:pStyle w:val="FootnoteText"/>
        <w:numPr>
          <w:ilvl w:val="0"/>
          <w:numId w:val="2"/>
        </w:numPr>
        <w:ind w:left="1060" w:hanging="360"/>
      </w:pPr>
      <w:r>
        <w:rPr>
          <w:rtl/>
        </w:rPr>
        <w:t>משעה שכל אדם נכנס לאכול בחול. (פשט אחד ברב אחא ב</w:t>
      </w:r>
      <w:r>
        <w:rPr>
          <w:b/>
          <w:bCs/>
          <w:rtl/>
        </w:rPr>
        <w:t>רש"י ב:)</w:t>
      </w:r>
    </w:p>
    <w:p w14:paraId="54352E4B" w14:textId="77777777" w:rsidR="007C0E82" w:rsidRDefault="00000000">
      <w:pPr>
        <w:pStyle w:val="FootnoteText"/>
      </w:pPr>
      <w:r>
        <w:rPr>
          <w:b/>
          <w:bCs/>
          <w:rtl/>
        </w:rPr>
        <w:tab/>
      </w:r>
      <w:r>
        <w:rPr>
          <w:rtl/>
          <w:lang w:bidi="he-IL"/>
        </w:rPr>
        <w:t>[יד]</w:t>
      </w:r>
      <w:r>
        <w:rPr>
          <w:b/>
          <w:bCs/>
          <w:rtl/>
        </w:rPr>
        <w:tab/>
      </w:r>
    </w:p>
  </w:footnote>
  <w:footnote w:id="10">
    <w:p w14:paraId="173DE849" w14:textId="77777777" w:rsidR="007C0E82" w:rsidRDefault="00000000">
      <w:pPr>
        <w:pStyle w:val="FootnoteText"/>
      </w:pPr>
      <w:r>
        <w:rPr>
          <w:rStyle w:val="FootnoteCharacters"/>
        </w:rPr>
        <w:footnoteRef/>
      </w:r>
      <w:r>
        <w:rPr>
          <w:rtl/>
        </w:rPr>
        <w:tab/>
      </w:r>
      <w:r>
        <w:rPr>
          <w:rtl/>
        </w:rPr>
        <w:t xml:space="preserve">אשמורה היא חלק של לילה שבו יש כת מיוחדת של מלאכים הממונים על השמירה.  גמרא </w:t>
      </w:r>
      <w:r>
        <w:rPr>
          <w:b/>
          <w:bCs/>
          <w:rtl/>
        </w:rPr>
        <w:t>(ג.)</w:t>
      </w:r>
      <w:r>
        <w:rPr>
          <w:rtl/>
        </w:rPr>
        <w:t xml:space="preserve"> מבאר שר"א סובר שיש שלש. אז, זמן זה הוא ארבע שעות בתוך הלילה. </w:t>
      </w:r>
      <w:r>
        <w:rPr>
          <w:rtl/>
          <w:lang w:bidi="he-IL"/>
        </w:rPr>
        <w:t>[טו]</w:t>
      </w:r>
    </w:p>
  </w:footnote>
  <w:footnote w:id="11">
    <w:p w14:paraId="3D0507B8" w14:textId="77777777" w:rsidR="007C0E82" w:rsidRDefault="00000000">
      <w:pPr>
        <w:pStyle w:val="FootnoteText"/>
      </w:pPr>
      <w:r>
        <w:rPr>
          <w:rStyle w:val="FootnoteCharacters"/>
        </w:rPr>
        <w:footnoteRef/>
      </w:r>
      <w:r>
        <w:rPr>
          <w:rtl/>
        </w:rPr>
        <w:tab/>
      </w:r>
      <w:r>
        <w:rPr>
          <w:rtl/>
        </w:rPr>
        <w:t xml:space="preserve">אומר לשון אשמורה, ולא אומר ארבע שעות בלילה, להודיע שיש סימנים </w:t>
      </w:r>
      <w:r>
        <w:rPr>
          <w:rtl/>
          <w:lang w:bidi="he-IL"/>
        </w:rPr>
        <w:t xml:space="preserve">ניכרים </w:t>
      </w:r>
      <w:r>
        <w:rPr>
          <w:rtl/>
        </w:rPr>
        <w:t>למשמרות בארץ. בסוף משמרה ראשונה, חמור נוער.</w:t>
      </w:r>
    </w:p>
  </w:footnote>
  <w:footnote w:id="12">
    <w:p w14:paraId="0505F776" w14:textId="77777777" w:rsidR="007C0E82" w:rsidRDefault="00000000">
      <w:pPr>
        <w:pStyle w:val="FootnoteText"/>
      </w:pPr>
      <w:r>
        <w:rPr>
          <w:rStyle w:val="FootnoteCharacters"/>
        </w:rPr>
        <w:footnoteRef/>
      </w:r>
      <w:r>
        <w:rPr>
          <w:rtl/>
        </w:rPr>
        <w:tab/>
      </w:r>
      <w:r>
        <w:rPr>
          <w:rtl/>
        </w:rPr>
        <w:t xml:space="preserve">גמרא </w:t>
      </w:r>
      <w:r>
        <w:rPr>
          <w:b/>
          <w:bCs/>
          <w:rtl/>
        </w:rPr>
        <w:t>(ד:)</w:t>
      </w:r>
      <w:r>
        <w:rPr>
          <w:rtl/>
        </w:rPr>
        <w:t xml:space="preserve"> מבאר</w:t>
      </w:r>
      <w:r>
        <w:rPr>
          <w:rtl/>
          <w:lang w:bidi="he-IL"/>
        </w:rPr>
        <w:t xml:space="preserve"> (וכן ייצא מהמשך המשנה) </w:t>
      </w:r>
      <w:r>
        <w:rPr>
          <w:rtl/>
        </w:rPr>
        <w:t>שסוברים שמדאורייתא זמנו הוא עד הבקר, אבל גזרו רבנן שיקרא קודם חצות כדי שלא יעבור ויישן ולא יקרא.</w:t>
      </w:r>
      <w:r>
        <w:rPr>
          <w:rtl/>
          <w:lang w:bidi="he-IL"/>
        </w:rPr>
        <w:t xml:space="preserve"> [טז]</w:t>
      </w:r>
    </w:p>
  </w:footnote>
  <w:footnote w:id="13">
    <w:p w14:paraId="50F326A2" w14:textId="77777777" w:rsidR="007C0E82" w:rsidRDefault="00000000">
      <w:pPr>
        <w:pStyle w:val="FootnoteText"/>
      </w:pPr>
      <w:r>
        <w:rPr>
          <w:rStyle w:val="FootnoteCharacters"/>
        </w:rPr>
        <w:footnoteRef/>
      </w:r>
      <w:r>
        <w:rPr>
          <w:rtl/>
        </w:rPr>
        <w:tab/>
      </w:r>
      <w:r>
        <w:rPr>
          <w:rtl/>
        </w:rPr>
        <w:t xml:space="preserve">מצאנו במשנה, אז, </w:t>
      </w:r>
      <w:r>
        <w:rPr>
          <w:b/>
          <w:bCs/>
          <w:rtl/>
        </w:rPr>
        <w:t>שלש</w:t>
      </w:r>
      <w:r>
        <w:rPr>
          <w:rtl/>
        </w:rPr>
        <w:t xml:space="preserve"> שיטות:</w:t>
      </w:r>
    </w:p>
    <w:p w14:paraId="1B1DFA9B" w14:textId="77777777" w:rsidR="007C0E82" w:rsidRDefault="00000000">
      <w:pPr>
        <w:pStyle w:val="FootnoteText"/>
        <w:numPr>
          <w:ilvl w:val="0"/>
          <w:numId w:val="3"/>
        </w:numPr>
        <w:ind w:left="1060" w:hanging="360"/>
      </w:pPr>
      <w:r>
        <w:rPr>
          <w:rtl/>
        </w:rPr>
        <w:t>עד סוף אשמורה הראשונה מדאורייתא.</w:t>
      </w:r>
    </w:p>
    <w:p w14:paraId="6823D968" w14:textId="77777777" w:rsidR="007C0E82" w:rsidRDefault="00000000">
      <w:pPr>
        <w:pStyle w:val="FootnoteText"/>
        <w:numPr>
          <w:ilvl w:val="0"/>
          <w:numId w:val="3"/>
        </w:numPr>
        <w:ind w:left="1060" w:hanging="360"/>
      </w:pPr>
      <w:r>
        <w:rPr>
          <w:rtl/>
        </w:rPr>
        <w:t>עד חצות מדרבנן (ועד עלות השחר מדאורייתא)</w:t>
      </w:r>
    </w:p>
    <w:p w14:paraId="42586776" w14:textId="77777777" w:rsidR="007C0E82" w:rsidRDefault="00000000">
      <w:pPr>
        <w:pStyle w:val="FootnoteText"/>
        <w:numPr>
          <w:ilvl w:val="0"/>
          <w:numId w:val="3"/>
        </w:numPr>
        <w:ind w:left="1060" w:hanging="360"/>
      </w:pPr>
      <w:r>
        <w:rPr>
          <w:rtl/>
        </w:rPr>
        <w:t xml:space="preserve">עד עלות השחר. </w:t>
      </w:r>
      <w:r>
        <w:rPr>
          <w:rtl/>
          <w:lang w:bidi="he-IL"/>
        </w:rPr>
        <w:t>[יז]</w:t>
      </w:r>
    </w:p>
    <w:p w14:paraId="5485FD4C" w14:textId="77777777" w:rsidR="007C0E82" w:rsidRDefault="00000000">
      <w:pPr>
        <w:pStyle w:val="FootnoteText"/>
      </w:pPr>
      <w:r>
        <w:rPr>
          <w:rtl/>
        </w:rPr>
        <w:tab/>
        <w:t xml:space="preserve">גמרא </w:t>
      </w:r>
      <w:r>
        <w:rPr>
          <w:b/>
          <w:bCs/>
          <w:rtl/>
        </w:rPr>
        <w:t>(ב:)</w:t>
      </w:r>
      <w:r>
        <w:rPr>
          <w:rtl/>
        </w:rPr>
        <w:t xml:space="preserve"> מביא עוד שיטה: קוראים עד שעה שעני עומד לצאת מסעודתו. </w:t>
      </w:r>
      <w:r>
        <w:rPr>
          <w:rtl/>
          <w:lang w:bidi="he-IL"/>
        </w:rPr>
        <w:t xml:space="preserve">[יח] </w:t>
      </w:r>
      <w:r>
        <w:rPr>
          <w:rtl/>
        </w:rPr>
        <w:t>גם מביא</w:t>
      </w:r>
      <w:r>
        <w:rPr>
          <w:b/>
          <w:bCs/>
          <w:rtl/>
        </w:rPr>
        <w:t xml:space="preserve"> (ח:) </w:t>
      </w:r>
      <w:r>
        <w:rPr>
          <w:rtl/>
        </w:rPr>
        <w:t xml:space="preserve">שיטה אחרת (חד צד ברשב"י) שיכול לקרוא עד הנץ החמה. </w:t>
      </w:r>
      <w:r>
        <w:rPr>
          <w:rtl/>
          <w:lang w:bidi="he-IL"/>
        </w:rPr>
        <w:t>[יט]</w:t>
      </w:r>
    </w:p>
    <w:p w14:paraId="335327E0" w14:textId="77777777" w:rsidR="007C0E82" w:rsidRDefault="00000000">
      <w:pPr>
        <w:pStyle w:val="FootnoteText"/>
      </w:pPr>
      <w:r>
        <w:rPr>
          <w:rtl/>
        </w:rPr>
        <w:tab/>
        <w:t xml:space="preserve">רש"י מבאר שיש מחלקת אחת יסודית, והוא אם זמן שכיבה הוא הזמן שבני אדם הולכים לישון או (אף) זמן שבני אדם שוכבים. שיטה המובאה בגמ’ ור“א סוברים שהוא הזמן שבני אדם הולכים לישון, וחולקים מתי הוא זמן זה. רבנן ור“ג </w:t>
      </w:r>
      <w:r>
        <w:rPr>
          <w:rtl/>
          <w:lang w:bidi="he-IL"/>
        </w:rPr>
        <w:t xml:space="preserve">וחד צד ברשב"י </w:t>
      </w:r>
      <w:r>
        <w:rPr>
          <w:rtl/>
        </w:rPr>
        <w:t>סוברים שהוא הזמן שבני אדם שוכבים, ורק חולקים אם לגזור כדי שיקרא קודם חצות אם לא.</w:t>
      </w:r>
    </w:p>
  </w:footnote>
  <w:footnote w:id="14">
    <w:p w14:paraId="182D78FF" w14:textId="77777777" w:rsidR="007C0E82" w:rsidRDefault="00000000">
      <w:pPr>
        <w:pStyle w:val="FootnoteText"/>
      </w:pPr>
      <w:r>
        <w:rPr>
          <w:rStyle w:val="FootnoteCharacters"/>
        </w:rPr>
        <w:footnoteRef/>
      </w:r>
      <w:r>
        <w:rPr>
          <w:rtl/>
        </w:rPr>
        <w:tab/>
      </w:r>
      <w:r>
        <w:rPr>
          <w:rtl/>
        </w:rPr>
        <w:t xml:space="preserve">היו </w:t>
      </w:r>
      <w:r>
        <w:rPr>
          <w:rtl/>
          <w:lang w:bidi="he-IL"/>
        </w:rPr>
        <w:t>שיכורים</w:t>
      </w:r>
      <w:r>
        <w:rPr>
          <w:rtl/>
        </w:rPr>
        <w:t xml:space="preserve"> מבית המשתה, ואז לא קראו קריאת שמע. ה</w:t>
      </w:r>
      <w:r>
        <w:rPr>
          <w:rtl/>
          <w:lang w:bidi="he-IL"/>
        </w:rPr>
        <w:t>יה</w:t>
      </w:r>
      <w:r>
        <w:rPr>
          <w:rtl/>
        </w:rPr>
        <w:t xml:space="preserve"> </w:t>
      </w:r>
      <w:r>
        <w:rPr>
          <w:rtl/>
          <w:lang w:bidi="he-IL"/>
        </w:rPr>
        <w:t>מותר להם</w:t>
      </w:r>
      <w:r>
        <w:rPr>
          <w:rtl/>
        </w:rPr>
        <w:t xml:space="preserve"> לשתות ולפטור את עצמם כיון </w:t>
      </w:r>
      <w:r>
        <w:rPr>
          <w:rtl/>
          <w:lang w:bidi="he-IL"/>
        </w:rPr>
        <w:t>שהיו עסוקים במצוות שמחת חתן וכלה, והעוסק</w:t>
      </w:r>
      <w:r>
        <w:rPr>
          <w:rtl/>
        </w:rPr>
        <w:t xml:space="preserve"> במצווה פטור מן המצווה. (</w:t>
      </w:r>
      <w:r>
        <w:rPr>
          <w:b/>
          <w:bCs/>
          <w:rtl/>
        </w:rPr>
        <w:t>סוכה כה:</w:t>
      </w:r>
      <w:r>
        <w:rPr>
          <w:rtl/>
        </w:rPr>
        <w:t>)</w:t>
      </w:r>
    </w:p>
  </w:footnote>
  <w:footnote w:id="15">
    <w:p w14:paraId="23878017" w14:textId="77777777" w:rsidR="007C0E82" w:rsidRDefault="00000000">
      <w:pPr>
        <w:pStyle w:val="FootnoteText"/>
      </w:pPr>
      <w:r>
        <w:rPr>
          <w:rStyle w:val="FootnoteCharacters"/>
        </w:rPr>
        <w:footnoteRef/>
      </w:r>
      <w:r>
        <w:rPr>
          <w:rtl/>
        </w:rPr>
        <w:tab/>
      </w:r>
      <w:r>
        <w:rPr>
          <w:rtl/>
        </w:rPr>
        <w:t>גמרא (</w:t>
      </w:r>
      <w:r>
        <w:rPr>
          <w:b/>
          <w:bCs/>
          <w:rtl/>
        </w:rPr>
        <w:t>ט.</w:t>
      </w:r>
      <w:r>
        <w:rPr>
          <w:rtl/>
        </w:rPr>
        <w:t>) מבאר ששאלו לו אם רבנן חולקים עליו בדין דאו’, שאם חלקו, לא היו קוראים, שהלכה כחכמים כיון שהם הרבים.</w:t>
      </w:r>
    </w:p>
  </w:footnote>
  <w:footnote w:id="16">
    <w:p w14:paraId="2049C7B3" w14:textId="77777777" w:rsidR="007C0E82" w:rsidRDefault="00000000">
      <w:pPr>
        <w:pStyle w:val="FootnoteText"/>
      </w:pPr>
      <w:r>
        <w:rPr>
          <w:rStyle w:val="FootnoteCharacters"/>
        </w:rPr>
        <w:footnoteRef/>
      </w:r>
      <w:r>
        <w:rPr>
          <w:rtl/>
        </w:rPr>
        <w:tab/>
      </w:r>
      <w:r>
        <w:rPr>
          <w:rtl/>
          <w:lang w:bidi="he-IL"/>
        </w:rPr>
        <w:t>“הקטרת חלבים ואברים" הוא הקרבת אימורים (שהם חלבים) ובשר עולה (שהוא איברים) על המזבח.</w:t>
      </w:r>
    </w:p>
  </w:footnote>
  <w:footnote w:id="17">
    <w:p w14:paraId="497EF398" w14:textId="77777777" w:rsidR="007C0E82" w:rsidRDefault="00000000">
      <w:pPr>
        <w:pStyle w:val="FootnoteText"/>
      </w:pPr>
      <w:r>
        <w:rPr>
          <w:rStyle w:val="FootnoteCharacters"/>
        </w:rPr>
        <w:footnoteRef/>
      </w:r>
      <w:r>
        <w:rPr>
          <w:rtl/>
        </w:rPr>
        <w:tab/>
      </w:r>
      <w:r>
        <w:rPr>
          <w:rtl/>
        </w:rPr>
        <w:t>אבל כאן לא גזרו רבנן, אלא ממשיך להעלותם כל הלילה</w:t>
      </w:r>
      <w:r>
        <w:rPr>
          <w:rtl/>
          <w:lang w:bidi="he-IL"/>
        </w:rPr>
        <w:t xml:space="preserve"> [כב] </w:t>
      </w:r>
      <w:r>
        <w:rPr>
          <w:rtl/>
        </w:rPr>
        <w:t xml:space="preserve">. רק הזכיר את זה להוכיח להם שמצוות קריאת שמע- כיון שהוא דבר שמצוותו בלילה- הוא כל הלילה. </w:t>
      </w:r>
      <w:r>
        <w:rPr>
          <w:b/>
          <w:bCs/>
          <w:rtl/>
        </w:rPr>
        <w:t>(רש"י ב.)</w:t>
      </w:r>
    </w:p>
  </w:footnote>
  <w:footnote w:id="18">
    <w:p w14:paraId="2653F8B2" w14:textId="77777777" w:rsidR="007C0E82" w:rsidRDefault="00000000">
      <w:pPr>
        <w:pStyle w:val="FootnoteText"/>
      </w:pPr>
      <w:r>
        <w:rPr>
          <w:rStyle w:val="FootnoteCharacters"/>
        </w:rPr>
        <w:footnoteRef/>
      </w:r>
      <w:r>
        <w:rPr>
          <w:rtl/>
        </w:rPr>
        <w:tab/>
      </w:r>
      <w:r>
        <w:rPr>
          <w:rtl/>
          <w:lang w:bidi="he-IL"/>
        </w:rPr>
        <w:t>קדשי קדשים (חטאת, אשם, זבחי שלמי ציבור, חטאת העוף, ומנחות), ומקצת קדשים קלים (תודה ואיל נזיר) נאכלים רק ליום אחד.</w:t>
      </w:r>
    </w:p>
  </w:footnote>
  <w:footnote w:id="19">
    <w:p w14:paraId="7E787C68" w14:textId="77777777" w:rsidR="007C0E82" w:rsidRDefault="00000000">
      <w:pPr>
        <w:pStyle w:val="FootnoteText"/>
      </w:pPr>
      <w:r>
        <w:rPr>
          <w:rStyle w:val="FootnoteCharacters"/>
        </w:rPr>
        <w:footnoteRef/>
      </w:r>
      <w:r>
        <w:rPr>
          <w:rtl/>
        </w:rPr>
        <w:tab/>
      </w:r>
      <w:r>
        <w:rPr>
          <w:rtl/>
        </w:rPr>
        <w:t xml:space="preserve">גמרא </w:t>
      </w:r>
      <w:r>
        <w:rPr>
          <w:b/>
          <w:bCs/>
          <w:rtl/>
        </w:rPr>
        <w:t>(ט.)</w:t>
      </w:r>
      <w:r>
        <w:rPr>
          <w:rtl/>
        </w:rPr>
        <w:t xml:space="preserve"> מדייק ממה שלא מזכיר אכילת קרבן פסח שסובר שאין זה נכון גבי אותו מצווה. זה אומר שקרבן פסח נאכל עד חצות מדאורייתא. חלקו בזה ראב"ע ור"ע, שראב"ע סובר שרק נאכל עד חצות מדאורייתא, ורבי עקיבא סובר שנאכל עד הבקר. </w:t>
      </w:r>
      <w:r>
        <w:rPr>
          <w:rtl/>
          <w:lang w:bidi="he-IL"/>
        </w:rPr>
        <w:t>[כג]</w:t>
      </w:r>
    </w:p>
  </w:footnote>
  <w:footnote w:id="20">
    <w:p w14:paraId="6F49A760" w14:textId="77777777" w:rsidR="007C0E82" w:rsidRDefault="00000000">
      <w:pPr>
        <w:pStyle w:val="FootnoteText"/>
      </w:pPr>
      <w:r>
        <w:rPr>
          <w:rStyle w:val="FootnoteCharacters"/>
        </w:rPr>
        <w:footnoteRef/>
      </w:r>
      <w:r>
        <w:rPr>
          <w:rtl/>
        </w:rPr>
        <w:tab/>
      </w:r>
      <w:r>
        <w:rPr>
          <w:b/>
          <w:bCs/>
          <w:rtl/>
          <w:lang w:bidi="he-IL"/>
        </w:rPr>
        <w:t xml:space="preserve">דיני </w:t>
      </w:r>
      <w:r>
        <w:rPr>
          <w:b/>
          <w:bCs/>
          <w:rtl/>
          <w:lang w:bidi="he-IL"/>
        </w:rPr>
        <w:t>המשנה:</w:t>
      </w:r>
    </w:p>
    <w:p w14:paraId="77A708FB" w14:textId="77777777" w:rsidR="007C0E82" w:rsidRDefault="00000000">
      <w:pPr>
        <w:pStyle w:val="FootnoteText"/>
        <w:numPr>
          <w:ilvl w:val="0"/>
          <w:numId w:val="4"/>
        </w:numPr>
        <w:rPr>
          <w:lang w:bidi="he-IL"/>
        </w:rPr>
      </w:pPr>
      <w:r>
        <w:rPr>
          <w:rtl/>
          <w:lang w:bidi="he-IL"/>
        </w:rPr>
        <w:t>תחילת זמן קריאת שמע:</w:t>
      </w:r>
    </w:p>
    <w:p w14:paraId="5E106FCE" w14:textId="77777777" w:rsidR="007C0E82" w:rsidRDefault="00000000">
      <w:pPr>
        <w:pStyle w:val="FootnoteText"/>
        <w:numPr>
          <w:ilvl w:val="1"/>
          <w:numId w:val="4"/>
        </w:numPr>
        <w:rPr>
          <w:lang w:bidi="he-IL"/>
        </w:rPr>
      </w:pPr>
      <w:r>
        <w:rPr>
          <w:rtl/>
          <w:lang w:bidi="he-IL"/>
        </w:rPr>
        <w:t>משעה שהכהנים טובלים. (ר"מ בבריי’)</w:t>
      </w:r>
    </w:p>
    <w:p w14:paraId="379E1DF5" w14:textId="77777777" w:rsidR="007C0E82" w:rsidRDefault="00000000">
      <w:pPr>
        <w:pStyle w:val="FootnoteText"/>
        <w:numPr>
          <w:ilvl w:val="1"/>
          <w:numId w:val="4"/>
        </w:numPr>
        <w:rPr>
          <w:lang w:bidi="he-IL"/>
        </w:rPr>
      </w:pPr>
      <w:r>
        <w:rPr>
          <w:rtl/>
          <w:lang w:bidi="he-IL"/>
        </w:rPr>
        <w:t>משעה שקדש היום, שהוא בין השמשות. (ר"א בבריי’)</w:t>
      </w:r>
    </w:p>
    <w:p w14:paraId="47F01DF7" w14:textId="77777777" w:rsidR="007C0E82" w:rsidRDefault="00000000">
      <w:pPr>
        <w:pStyle w:val="FootnoteText"/>
        <w:numPr>
          <w:ilvl w:val="1"/>
          <w:numId w:val="4"/>
        </w:numPr>
        <w:rPr>
          <w:lang w:bidi="he-IL"/>
        </w:rPr>
      </w:pPr>
      <w:r>
        <w:rPr>
          <w:rtl/>
          <w:lang w:bidi="he-IL"/>
        </w:rPr>
        <w:t>משעה שהכהנים מותרים לאכול תרומה. זה צאת הכוכבים. (משנה, רבי יהושע בבריי’)</w:t>
      </w:r>
    </w:p>
    <w:p w14:paraId="61BA5E07" w14:textId="77777777" w:rsidR="007C0E82" w:rsidRDefault="00000000">
      <w:pPr>
        <w:pStyle w:val="FootnoteText"/>
        <w:numPr>
          <w:ilvl w:val="1"/>
          <w:numId w:val="4"/>
        </w:numPr>
        <w:rPr>
          <w:lang w:bidi="he-IL"/>
        </w:rPr>
      </w:pPr>
      <w:r>
        <w:rPr>
          <w:rtl/>
          <w:lang w:bidi="he-IL"/>
        </w:rPr>
        <w:t>משעה שהעני אוכל. (ר"מ בבריי’)</w:t>
      </w:r>
    </w:p>
    <w:p w14:paraId="45B60F74" w14:textId="77777777" w:rsidR="007C0E82" w:rsidRDefault="00000000">
      <w:pPr>
        <w:pStyle w:val="FootnoteText"/>
        <w:numPr>
          <w:ilvl w:val="1"/>
          <w:numId w:val="4"/>
        </w:numPr>
        <w:rPr>
          <w:lang w:bidi="he-IL"/>
        </w:rPr>
      </w:pPr>
      <w:r>
        <w:rPr>
          <w:rtl/>
          <w:lang w:bidi="he-IL"/>
        </w:rPr>
        <w:t>משעה שכל אדם נכנס לאכול בשבת. (בריי’, פשט אחד ברש"י ברב אחא בבריי’)</w:t>
      </w:r>
    </w:p>
    <w:p w14:paraId="747BB7F8" w14:textId="77777777" w:rsidR="007C0E82" w:rsidRDefault="00000000">
      <w:pPr>
        <w:pStyle w:val="FootnoteText"/>
        <w:numPr>
          <w:ilvl w:val="1"/>
          <w:numId w:val="4"/>
        </w:numPr>
        <w:rPr>
          <w:lang w:bidi="he-IL"/>
        </w:rPr>
      </w:pPr>
      <w:r>
        <w:rPr>
          <w:rtl/>
          <w:lang w:bidi="he-IL"/>
        </w:rPr>
        <w:t>משעה שכל אדם נכנס לאכול בחול. (פשט אחד ברש"י ברב אחא בבריי’)</w:t>
      </w:r>
    </w:p>
    <w:p w14:paraId="494D9556" w14:textId="77777777" w:rsidR="007C0E82" w:rsidRDefault="00000000">
      <w:pPr>
        <w:pStyle w:val="FootnoteText"/>
        <w:numPr>
          <w:ilvl w:val="0"/>
          <w:numId w:val="4"/>
        </w:numPr>
        <w:rPr>
          <w:lang w:bidi="he-IL"/>
        </w:rPr>
      </w:pPr>
      <w:r>
        <w:rPr>
          <w:rtl/>
          <w:lang w:bidi="he-IL"/>
        </w:rPr>
        <w:t>סוף זמן קריאת שמע:</w:t>
      </w:r>
    </w:p>
    <w:p w14:paraId="4066E1FA" w14:textId="77777777" w:rsidR="007C0E82" w:rsidRDefault="00000000">
      <w:pPr>
        <w:pStyle w:val="FootnoteText"/>
        <w:numPr>
          <w:ilvl w:val="1"/>
          <w:numId w:val="4"/>
        </w:numPr>
        <w:rPr>
          <w:lang w:bidi="he-IL"/>
        </w:rPr>
      </w:pPr>
      <w:r>
        <w:rPr>
          <w:rtl/>
          <w:lang w:bidi="he-IL"/>
        </w:rPr>
        <w:t>שעה שעני גומר סעודתו. (בריי’)</w:t>
      </w:r>
    </w:p>
    <w:p w14:paraId="45F81693" w14:textId="77777777" w:rsidR="007C0E82" w:rsidRDefault="00000000">
      <w:pPr>
        <w:pStyle w:val="FootnoteText"/>
        <w:numPr>
          <w:ilvl w:val="1"/>
          <w:numId w:val="4"/>
        </w:numPr>
        <w:rPr>
          <w:lang w:bidi="he-IL"/>
        </w:rPr>
      </w:pPr>
      <w:r>
        <w:rPr>
          <w:rtl/>
          <w:lang w:bidi="he-IL"/>
        </w:rPr>
        <w:t>סוף אשמורה הראשונה, שהוא סוף ארבע שעות בלילה. (ר"א)</w:t>
      </w:r>
    </w:p>
    <w:p w14:paraId="5986EEAD" w14:textId="77777777" w:rsidR="007C0E82" w:rsidRDefault="00000000">
      <w:pPr>
        <w:pStyle w:val="FootnoteText"/>
        <w:numPr>
          <w:ilvl w:val="1"/>
          <w:numId w:val="4"/>
        </w:numPr>
        <w:rPr>
          <w:lang w:bidi="he-IL"/>
        </w:rPr>
      </w:pPr>
      <w:r>
        <w:rPr>
          <w:rtl/>
          <w:lang w:bidi="he-IL"/>
        </w:rPr>
        <w:t>חצות הלילה. (רבנן)</w:t>
      </w:r>
    </w:p>
    <w:p w14:paraId="287F448E" w14:textId="77777777" w:rsidR="007C0E82" w:rsidRDefault="00000000">
      <w:pPr>
        <w:pStyle w:val="FootnoteText"/>
        <w:numPr>
          <w:ilvl w:val="1"/>
          <w:numId w:val="4"/>
        </w:numPr>
        <w:rPr>
          <w:lang w:bidi="he-IL"/>
        </w:rPr>
      </w:pPr>
      <w:r>
        <w:rPr>
          <w:rtl/>
          <w:lang w:bidi="he-IL"/>
        </w:rPr>
        <w:t>עלות השחר. (ר"ג)</w:t>
      </w:r>
    </w:p>
    <w:p w14:paraId="3575D008" w14:textId="77777777" w:rsidR="007C0E82" w:rsidRDefault="00000000">
      <w:pPr>
        <w:pStyle w:val="FootnoteText"/>
        <w:numPr>
          <w:ilvl w:val="1"/>
          <w:numId w:val="4"/>
        </w:numPr>
        <w:rPr>
          <w:lang w:bidi="he-IL"/>
        </w:rPr>
      </w:pPr>
      <w:r>
        <w:rPr>
          <w:rtl/>
          <w:lang w:bidi="he-IL"/>
        </w:rPr>
        <w:t>הנץ החמה. (רשב"י)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744"/>
    <w:multiLevelType w:val="multilevel"/>
    <w:tmpl w:val="9F3C2D4A"/>
    <w:lvl w:ilvl="0">
      <w:numFmt w:val="bullet"/>
      <w:lvlText w:val=""/>
      <w:lvlJc w:val="right"/>
      <w:pPr>
        <w:tabs>
          <w:tab w:val="num" w:pos="0"/>
        </w:tabs>
        <w:ind w:left="700" w:firstLine="0"/>
      </w:pPr>
      <w:rPr>
        <w:rFonts w:ascii="Symbol" w:hAnsi="Symbol" w:cs="Symbol" w:hint="default"/>
      </w:rPr>
    </w:lvl>
    <w:lvl w:ilvl="1">
      <w:numFmt w:val="bullet"/>
      <w:lvlText w:val="◦"/>
      <w:lvlJc w:val="right"/>
      <w:pPr>
        <w:tabs>
          <w:tab w:val="num" w:pos="0"/>
        </w:tabs>
        <w:ind w:left="1060" w:firstLine="0"/>
      </w:pPr>
      <w:rPr>
        <w:rFonts w:ascii="OpenSymbol" w:hAnsi="OpenSymbol" w:cs="OpenSymbol" w:hint="default"/>
      </w:rPr>
    </w:lvl>
    <w:lvl w:ilvl="2">
      <w:numFmt w:val="bullet"/>
      <w:lvlText w:val="▪"/>
      <w:lvlJc w:val="right"/>
      <w:pPr>
        <w:tabs>
          <w:tab w:val="num" w:pos="0"/>
        </w:tabs>
        <w:ind w:left="1420" w:firstLine="0"/>
      </w:pPr>
      <w:rPr>
        <w:rFonts w:ascii="OpenSymbol" w:hAnsi="OpenSymbol" w:cs="OpenSymbol" w:hint="default"/>
      </w:rPr>
    </w:lvl>
    <w:lvl w:ilvl="3">
      <w:numFmt w:val="bullet"/>
      <w:lvlText w:val=""/>
      <w:lvlJc w:val="right"/>
      <w:pPr>
        <w:tabs>
          <w:tab w:val="num" w:pos="0"/>
        </w:tabs>
        <w:ind w:left="1780" w:firstLine="0"/>
      </w:pPr>
      <w:rPr>
        <w:rFonts w:ascii="Symbol" w:hAnsi="Symbol" w:cs="Symbol" w:hint="default"/>
      </w:rPr>
    </w:lvl>
    <w:lvl w:ilvl="4">
      <w:numFmt w:val="bullet"/>
      <w:lvlText w:val="◦"/>
      <w:lvlJc w:val="right"/>
      <w:pPr>
        <w:tabs>
          <w:tab w:val="num" w:pos="0"/>
        </w:tabs>
        <w:ind w:left="2140" w:firstLine="0"/>
      </w:pPr>
      <w:rPr>
        <w:rFonts w:ascii="OpenSymbol" w:hAnsi="OpenSymbol" w:cs="OpenSymbol" w:hint="default"/>
      </w:rPr>
    </w:lvl>
    <w:lvl w:ilvl="5">
      <w:numFmt w:val="bullet"/>
      <w:lvlText w:val="▪"/>
      <w:lvlJc w:val="right"/>
      <w:pPr>
        <w:tabs>
          <w:tab w:val="num" w:pos="0"/>
        </w:tabs>
        <w:ind w:left="2500" w:firstLine="0"/>
      </w:pPr>
      <w:rPr>
        <w:rFonts w:ascii="OpenSymbol" w:hAnsi="OpenSymbol" w:cs="OpenSymbol" w:hint="default"/>
      </w:rPr>
    </w:lvl>
    <w:lvl w:ilvl="6">
      <w:numFmt w:val="bullet"/>
      <w:lvlText w:val=""/>
      <w:lvlJc w:val="right"/>
      <w:pPr>
        <w:tabs>
          <w:tab w:val="num" w:pos="0"/>
        </w:tabs>
        <w:ind w:left="2860" w:firstLine="0"/>
      </w:pPr>
      <w:rPr>
        <w:rFonts w:ascii="Symbol" w:hAnsi="Symbol" w:cs="Symbol" w:hint="default"/>
      </w:rPr>
    </w:lvl>
    <w:lvl w:ilvl="7">
      <w:numFmt w:val="bullet"/>
      <w:lvlText w:val="◦"/>
      <w:lvlJc w:val="right"/>
      <w:pPr>
        <w:tabs>
          <w:tab w:val="num" w:pos="0"/>
        </w:tabs>
        <w:ind w:left="3220" w:firstLine="0"/>
      </w:pPr>
      <w:rPr>
        <w:rFonts w:ascii="OpenSymbol" w:hAnsi="OpenSymbol" w:cs="OpenSymbol" w:hint="default"/>
      </w:rPr>
    </w:lvl>
    <w:lvl w:ilvl="8">
      <w:numFmt w:val="bullet"/>
      <w:lvlText w:val="▪"/>
      <w:lvlJc w:val="right"/>
      <w:pPr>
        <w:tabs>
          <w:tab w:val="num" w:pos="0"/>
        </w:tabs>
        <w:ind w:left="3580" w:firstLine="0"/>
      </w:pPr>
      <w:rPr>
        <w:rFonts w:ascii="OpenSymbol" w:hAnsi="OpenSymbol" w:cs="OpenSymbol" w:hint="default"/>
      </w:rPr>
    </w:lvl>
  </w:abstractNum>
  <w:abstractNum w:abstractNumId="1" w15:restartNumberingAfterBreak="0">
    <w:nsid w:val="179D1ECE"/>
    <w:multiLevelType w:val="multilevel"/>
    <w:tmpl w:val="D760208E"/>
    <w:lvl w:ilvl="0">
      <w:numFmt w:val="bullet"/>
      <w:lvlText w:val=""/>
      <w:lvlJc w:val="right"/>
      <w:pPr>
        <w:tabs>
          <w:tab w:val="num" w:pos="0"/>
        </w:tabs>
        <w:ind w:left="700" w:firstLine="0"/>
      </w:pPr>
      <w:rPr>
        <w:rFonts w:ascii="Symbol" w:hAnsi="Symbol" w:cs="Symbol" w:hint="default"/>
      </w:rPr>
    </w:lvl>
    <w:lvl w:ilvl="1">
      <w:numFmt w:val="bullet"/>
      <w:lvlText w:val="◦"/>
      <w:lvlJc w:val="right"/>
      <w:pPr>
        <w:tabs>
          <w:tab w:val="num" w:pos="0"/>
        </w:tabs>
        <w:ind w:left="1060" w:firstLine="0"/>
      </w:pPr>
      <w:rPr>
        <w:rFonts w:ascii="OpenSymbol" w:hAnsi="OpenSymbol" w:cs="OpenSymbol" w:hint="default"/>
      </w:rPr>
    </w:lvl>
    <w:lvl w:ilvl="2">
      <w:numFmt w:val="bullet"/>
      <w:lvlText w:val="▪"/>
      <w:lvlJc w:val="right"/>
      <w:pPr>
        <w:tabs>
          <w:tab w:val="num" w:pos="0"/>
        </w:tabs>
        <w:ind w:left="1420" w:firstLine="0"/>
      </w:pPr>
      <w:rPr>
        <w:rFonts w:ascii="OpenSymbol" w:hAnsi="OpenSymbol" w:cs="OpenSymbol" w:hint="default"/>
      </w:rPr>
    </w:lvl>
    <w:lvl w:ilvl="3">
      <w:numFmt w:val="bullet"/>
      <w:lvlText w:val=""/>
      <w:lvlJc w:val="right"/>
      <w:pPr>
        <w:tabs>
          <w:tab w:val="num" w:pos="0"/>
        </w:tabs>
        <w:ind w:left="1780" w:firstLine="0"/>
      </w:pPr>
      <w:rPr>
        <w:rFonts w:ascii="Symbol" w:hAnsi="Symbol" w:cs="Symbol" w:hint="default"/>
      </w:rPr>
    </w:lvl>
    <w:lvl w:ilvl="4">
      <w:numFmt w:val="bullet"/>
      <w:lvlText w:val="◦"/>
      <w:lvlJc w:val="right"/>
      <w:pPr>
        <w:tabs>
          <w:tab w:val="num" w:pos="0"/>
        </w:tabs>
        <w:ind w:left="2140" w:firstLine="0"/>
      </w:pPr>
      <w:rPr>
        <w:rFonts w:ascii="OpenSymbol" w:hAnsi="OpenSymbol" w:cs="OpenSymbol" w:hint="default"/>
      </w:rPr>
    </w:lvl>
    <w:lvl w:ilvl="5">
      <w:numFmt w:val="bullet"/>
      <w:lvlText w:val="▪"/>
      <w:lvlJc w:val="right"/>
      <w:pPr>
        <w:tabs>
          <w:tab w:val="num" w:pos="0"/>
        </w:tabs>
        <w:ind w:left="2500" w:firstLine="0"/>
      </w:pPr>
      <w:rPr>
        <w:rFonts w:ascii="OpenSymbol" w:hAnsi="OpenSymbol" w:cs="OpenSymbol" w:hint="default"/>
      </w:rPr>
    </w:lvl>
    <w:lvl w:ilvl="6">
      <w:numFmt w:val="bullet"/>
      <w:lvlText w:val=""/>
      <w:lvlJc w:val="right"/>
      <w:pPr>
        <w:tabs>
          <w:tab w:val="num" w:pos="0"/>
        </w:tabs>
        <w:ind w:left="2860" w:firstLine="0"/>
      </w:pPr>
      <w:rPr>
        <w:rFonts w:ascii="Symbol" w:hAnsi="Symbol" w:cs="Symbol" w:hint="default"/>
      </w:rPr>
    </w:lvl>
    <w:lvl w:ilvl="7">
      <w:numFmt w:val="bullet"/>
      <w:lvlText w:val="◦"/>
      <w:lvlJc w:val="right"/>
      <w:pPr>
        <w:tabs>
          <w:tab w:val="num" w:pos="0"/>
        </w:tabs>
        <w:ind w:left="3220" w:firstLine="0"/>
      </w:pPr>
      <w:rPr>
        <w:rFonts w:ascii="OpenSymbol" w:hAnsi="OpenSymbol" w:cs="OpenSymbol" w:hint="default"/>
      </w:rPr>
    </w:lvl>
    <w:lvl w:ilvl="8">
      <w:numFmt w:val="bullet"/>
      <w:lvlText w:val="▪"/>
      <w:lvlJc w:val="right"/>
      <w:pPr>
        <w:tabs>
          <w:tab w:val="num" w:pos="0"/>
        </w:tabs>
        <w:ind w:left="3580" w:firstLine="0"/>
      </w:pPr>
      <w:rPr>
        <w:rFonts w:ascii="OpenSymbol" w:hAnsi="OpenSymbol" w:cs="OpenSymbol" w:hint="default"/>
      </w:rPr>
    </w:lvl>
  </w:abstractNum>
  <w:abstractNum w:abstractNumId="2" w15:restartNumberingAfterBreak="0">
    <w:nsid w:val="42CE15A9"/>
    <w:multiLevelType w:val="multilevel"/>
    <w:tmpl w:val="56C2C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6433E26"/>
    <w:multiLevelType w:val="multilevel"/>
    <w:tmpl w:val="00609F0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6765DE3"/>
    <w:multiLevelType w:val="multilevel"/>
    <w:tmpl w:val="23467AE4"/>
    <w:lvl w:ilvl="0">
      <w:start w:val="1"/>
      <w:numFmt w:val="decimal"/>
      <w:lvlText w:val="%1."/>
      <w:lvlJc w:val="right"/>
      <w:pPr>
        <w:tabs>
          <w:tab w:val="num" w:pos="0"/>
        </w:tabs>
        <w:ind w:left="700" w:firstLine="0"/>
      </w:pPr>
    </w:lvl>
    <w:lvl w:ilvl="1">
      <w:start w:val="1"/>
      <w:numFmt w:val="decimal"/>
      <w:lvlText w:val="%2."/>
      <w:lvlJc w:val="right"/>
      <w:pPr>
        <w:tabs>
          <w:tab w:val="num" w:pos="0"/>
        </w:tabs>
        <w:ind w:left="1060" w:firstLine="0"/>
      </w:pPr>
    </w:lvl>
    <w:lvl w:ilvl="2">
      <w:start w:val="1"/>
      <w:numFmt w:val="decimal"/>
      <w:lvlText w:val="%3."/>
      <w:lvlJc w:val="right"/>
      <w:pPr>
        <w:tabs>
          <w:tab w:val="num" w:pos="0"/>
        </w:tabs>
        <w:ind w:left="1420" w:firstLine="0"/>
      </w:pPr>
    </w:lvl>
    <w:lvl w:ilvl="3">
      <w:start w:val="1"/>
      <w:numFmt w:val="decimal"/>
      <w:lvlText w:val="%4."/>
      <w:lvlJc w:val="right"/>
      <w:pPr>
        <w:tabs>
          <w:tab w:val="num" w:pos="0"/>
        </w:tabs>
        <w:ind w:left="1780" w:firstLine="0"/>
      </w:pPr>
    </w:lvl>
    <w:lvl w:ilvl="4">
      <w:start w:val="1"/>
      <w:numFmt w:val="decimal"/>
      <w:lvlText w:val="%5."/>
      <w:lvlJc w:val="right"/>
      <w:pPr>
        <w:tabs>
          <w:tab w:val="num" w:pos="0"/>
        </w:tabs>
        <w:ind w:left="2140" w:firstLine="0"/>
      </w:pPr>
    </w:lvl>
    <w:lvl w:ilvl="5">
      <w:start w:val="1"/>
      <w:numFmt w:val="decimal"/>
      <w:lvlText w:val="%6."/>
      <w:lvlJc w:val="right"/>
      <w:pPr>
        <w:tabs>
          <w:tab w:val="num" w:pos="0"/>
        </w:tabs>
        <w:ind w:left="2500" w:firstLine="0"/>
      </w:pPr>
    </w:lvl>
    <w:lvl w:ilvl="6">
      <w:start w:val="1"/>
      <w:numFmt w:val="decimal"/>
      <w:lvlText w:val="%7."/>
      <w:lvlJc w:val="right"/>
      <w:pPr>
        <w:tabs>
          <w:tab w:val="num" w:pos="0"/>
        </w:tabs>
        <w:ind w:left="2860" w:firstLine="0"/>
      </w:pPr>
    </w:lvl>
    <w:lvl w:ilvl="7">
      <w:start w:val="1"/>
      <w:numFmt w:val="decimal"/>
      <w:lvlText w:val="%8."/>
      <w:lvlJc w:val="right"/>
      <w:pPr>
        <w:tabs>
          <w:tab w:val="num" w:pos="0"/>
        </w:tabs>
        <w:ind w:left="3220" w:firstLine="0"/>
      </w:pPr>
    </w:lvl>
    <w:lvl w:ilvl="8">
      <w:start w:val="1"/>
      <w:numFmt w:val="decimal"/>
      <w:lvlText w:val="%9."/>
      <w:lvlJc w:val="right"/>
      <w:pPr>
        <w:tabs>
          <w:tab w:val="num" w:pos="0"/>
        </w:tabs>
        <w:ind w:left="3580" w:firstLine="0"/>
      </w:pPr>
    </w:lvl>
  </w:abstractNum>
  <w:num w:numId="1" w16cid:durableId="385300677">
    <w:abstractNumId w:val="0"/>
  </w:num>
  <w:num w:numId="2" w16cid:durableId="491524484">
    <w:abstractNumId w:val="4"/>
  </w:num>
  <w:num w:numId="3" w16cid:durableId="673069285">
    <w:abstractNumId w:val="1"/>
  </w:num>
  <w:num w:numId="4" w16cid:durableId="648099002">
    <w:abstractNumId w:val="3"/>
  </w:num>
  <w:num w:numId="5" w16cid:durableId="1291549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C0E82"/>
    <w:rsid w:val="00507964"/>
    <w:rsid w:val="007C0E82"/>
    <w:rsid w:val="00925664"/>
    <w:rsid w:val="00A33A17"/>
    <w:rsid w:val="00C704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0022"/>
  <w15:docId w15:val="{311B8CEC-D3CE-4197-B123-8EFEA3DC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86" w:after="86" w:line="276" w:lineRule="auto"/>
    </w:pPr>
    <w:rPr>
      <w:rFonts w:cs="David"/>
    </w:rPr>
  </w:style>
  <w:style w:type="paragraph" w:styleId="Heading1">
    <w:name w:val="heading 1"/>
    <w:basedOn w:val="Normal"/>
    <w:next w:val="Normal"/>
    <w:uiPriority w:val="9"/>
    <w:qFormat/>
    <w:pPr>
      <w:keepNext/>
      <w:keepLines/>
      <w:outlineLvl w:val="0"/>
    </w:pPr>
    <w:rPr>
      <w:rFonts w:asciiTheme="majorHAnsi" w:eastAsiaTheme="majorEastAsia" w:hAnsiTheme="majorHAnsi"/>
      <w:bC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customStyle="1" w:styleId="EndnoteCharactersuser">
    <w:name w:val="Endnote Characters (user)"/>
    <w:qFormat/>
  </w:style>
  <w:style w:type="character" w:styleId="EndnoteReference">
    <w:name w:val="endnote reference"/>
    <w:rPr>
      <w:vertAlign w:val="superscript"/>
    </w:rPr>
  </w:style>
  <w:style w:type="character" w:styleId="LineNumber">
    <w:name w:val="line numbe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before="0"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3</cp:revision>
  <dcterms:created xsi:type="dcterms:W3CDTF">2025-12-28T16:48:00Z</dcterms:created>
  <dcterms:modified xsi:type="dcterms:W3CDTF">2025-12-28T16:56:00Z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2025-11-11T12:53:41Z</dcterms:created>
  <dc:creator/>
  <dc:description/>
  <dc:language>en-US</dc:language>
  <cp:lastModifiedBy/>
  <dcterms:modified xsi:type="dcterms:W3CDTF">2025-11-12T14:05:39Z</dcterms:modified>
  <cp:revision>32</cp:revision>
  <dc:subject/>
  <dc:title/>
</cp:coreProperties>
</file>