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D51E" w14:textId="77777777" w:rsidR="00B22723" w:rsidRDefault="00000000">
      <w:pPr>
        <w:pStyle w:val="Heading1"/>
      </w:pPr>
      <w:r>
        <w:rPr>
          <w:rtl/>
        </w:rPr>
        <w:t>משנה ב</w:t>
      </w:r>
      <w:r>
        <w:rPr>
          <w:rStyle w:val="FootnoteReference"/>
          <w:rtl/>
        </w:rPr>
        <w:footnoteReference w:id="1"/>
      </w:r>
    </w:p>
    <w:p w14:paraId="418864EB" w14:textId="6AF96D79" w:rsidR="00B22723" w:rsidRPr="00B059DC" w:rsidRDefault="00000000" w:rsidP="00B059DC">
      <w:pPr>
        <w:rPr>
          <w:rFonts w:hint="cs"/>
          <w:sz w:val="28"/>
          <w:szCs w:val="28"/>
          <w:lang w:bidi="he-IL"/>
        </w:rPr>
      </w:pPr>
      <w:r>
        <w:rPr>
          <w:rStyle w:val="FootnoteReference"/>
          <w:sz w:val="28"/>
          <w:szCs w:val="28"/>
          <w:rtl/>
        </w:rPr>
        <w:footnoteReference w:id="2"/>
      </w:r>
      <w:r>
        <w:rPr>
          <w:sz w:val="28"/>
          <w:szCs w:val="28"/>
          <w:rtl/>
        </w:rPr>
        <w:t>מֵאֵימָתַי קוֹרִין אֶת שְׁמַע בְּשַׁחֲרִית? מִשֶּׁיַּכִּיר בֵּין תְּכֵלֶת לְלָבָן</w:t>
      </w:r>
      <w:r>
        <w:rPr>
          <w:rStyle w:val="FootnoteReference"/>
          <w:sz w:val="28"/>
          <w:szCs w:val="28"/>
          <w:rtl/>
        </w:rPr>
        <w:footnoteReference w:id="3"/>
      </w:r>
      <w:r>
        <w:rPr>
          <w:sz w:val="28"/>
          <w:szCs w:val="28"/>
          <w:rtl/>
        </w:rPr>
        <w:t xml:space="preserve">. רַבִּי אֱלִיעֶזֶר אוֹמֵר, בֵּין תְּכֵלֶת לְכַרְתִּי </w:t>
      </w:r>
      <w:r>
        <w:rPr>
          <w:sz w:val="28"/>
          <w:szCs w:val="28"/>
          <w:rtl/>
          <w:lang w:bidi="he-IL"/>
        </w:rPr>
        <w:t>[ה]</w:t>
      </w:r>
      <w:r>
        <w:rPr>
          <w:rStyle w:val="FootnoteReference"/>
          <w:sz w:val="28"/>
          <w:szCs w:val="28"/>
          <w:rtl/>
        </w:rPr>
        <w:footnoteReference w:id="4"/>
      </w:r>
      <w:r>
        <w:rPr>
          <w:rStyle w:val="FootnoteReference"/>
          <w:sz w:val="28"/>
          <w:szCs w:val="28"/>
          <w:rtl/>
        </w:rPr>
        <w:footnoteReference w:id="5"/>
      </w:r>
      <w:r>
        <w:rPr>
          <w:rStyle w:val="FootnoteReference"/>
          <w:sz w:val="28"/>
          <w:szCs w:val="28"/>
          <w:rtl/>
        </w:rPr>
        <w:footnoteReference w:id="6"/>
      </w:r>
      <w:r>
        <w:rPr>
          <w:sz w:val="28"/>
          <w:szCs w:val="28"/>
          <w:rtl/>
        </w:rPr>
        <w:t xml:space="preserve">. וְגוֹמְרָהּ עַד הָנֵץ הַחַמָּה. רַבִּי יְהוֹשֻׁעַ אוֹמֵר, עַד שָׁלֹשׁ שָׁעוֹת </w:t>
      </w:r>
      <w:r>
        <w:rPr>
          <w:sz w:val="28"/>
          <w:szCs w:val="28"/>
          <w:rtl/>
          <w:lang w:bidi="he-IL"/>
        </w:rPr>
        <w:t>[יח] [יט]</w:t>
      </w:r>
      <w:r>
        <w:rPr>
          <w:sz w:val="28"/>
          <w:szCs w:val="28"/>
          <w:rtl/>
        </w:rPr>
        <w:t xml:space="preserve">, שֶׁכֵּן דֶּרֶךְ בְּנֵי מְלָכִים </w:t>
      </w:r>
      <w:r>
        <w:rPr>
          <w:sz w:val="28"/>
          <w:szCs w:val="28"/>
          <w:rtl/>
          <w:lang w:bidi="he-IL"/>
        </w:rPr>
        <w:t>[כ] [כא]</w:t>
      </w:r>
      <w:r>
        <w:rPr>
          <w:sz w:val="28"/>
          <w:szCs w:val="28"/>
          <w:rtl/>
        </w:rPr>
        <w:t xml:space="preserve"> לַעֲמֹד בְּשָׁלֹשׁ שָׁעוֹת. הַקּוֹרֵא מִכָּאן וְאֵילָךְ</w:t>
      </w:r>
      <w:r>
        <w:rPr>
          <w:sz w:val="28"/>
          <w:szCs w:val="28"/>
          <w:rtl/>
          <w:lang w:bidi="he-IL"/>
        </w:rPr>
        <w:t xml:space="preserve"> [כב]</w:t>
      </w:r>
      <w:r>
        <w:rPr>
          <w:sz w:val="28"/>
          <w:szCs w:val="28"/>
          <w:rtl/>
        </w:rPr>
        <w:t xml:space="preserve"> לֹא הִפְסִיד</w:t>
      </w:r>
      <w:r>
        <w:rPr>
          <w:rStyle w:val="FootnoteReference"/>
          <w:sz w:val="28"/>
          <w:szCs w:val="28"/>
          <w:rtl/>
        </w:rPr>
        <w:footnoteReference w:id="7"/>
      </w:r>
      <w:r>
        <w:rPr>
          <w:sz w:val="28"/>
          <w:szCs w:val="28"/>
          <w:rtl/>
        </w:rPr>
        <w:t>, כְּאָדָם הַקּוֹרֵא בַתּוֹרָה</w:t>
      </w:r>
      <w:r>
        <w:rPr>
          <w:rStyle w:val="FootnoteReference"/>
          <w:sz w:val="28"/>
          <w:szCs w:val="28"/>
          <w:rtl/>
        </w:rPr>
        <w:footnoteReference w:id="8"/>
      </w:r>
      <w:r>
        <w:rPr>
          <w:sz w:val="28"/>
          <w:szCs w:val="28"/>
          <w:rtl/>
        </w:rPr>
        <w:t>:</w:t>
      </w:r>
      <w:r>
        <w:rPr>
          <w:rStyle w:val="FootnoteReference"/>
          <w:sz w:val="28"/>
          <w:szCs w:val="28"/>
          <w:rtl/>
        </w:rPr>
        <w:footnoteReference w:id="9"/>
      </w:r>
      <w:r>
        <w:rPr>
          <w:sz w:val="28"/>
          <w:szCs w:val="28"/>
          <w:rtl/>
        </w:rPr>
        <w:t xml:space="preserve"> </w:t>
      </w:r>
    </w:p>
    <w:sectPr w:rsidR="00B22723" w:rsidRPr="00B059DC">
      <w:pgSz w:w="12240" w:h="15840"/>
      <w:pgMar w:top="1134" w:right="1134" w:bottom="1134" w:left="1134" w:header="0" w:footer="0" w:gutter="0"/>
      <w:cols w:space="720"/>
      <w:formProt w:val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1A1C" w14:textId="77777777" w:rsidR="00731E74" w:rsidRDefault="00731E74">
      <w:pPr>
        <w:spacing w:before="0" w:after="0" w:line="240" w:lineRule="auto"/>
      </w:pPr>
      <w:r>
        <w:separator/>
      </w:r>
    </w:p>
  </w:endnote>
  <w:endnote w:type="continuationSeparator" w:id="0">
    <w:p w14:paraId="012E09EB" w14:textId="77777777" w:rsidR="00731E74" w:rsidRDefault="00731E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B803" w14:textId="77777777" w:rsidR="00731E74" w:rsidRDefault="00731E74">
      <w:pPr>
        <w:rPr>
          <w:sz w:val="12"/>
        </w:rPr>
      </w:pPr>
      <w:r>
        <w:separator/>
      </w:r>
    </w:p>
  </w:footnote>
  <w:footnote w:type="continuationSeparator" w:id="0">
    <w:p w14:paraId="23D99057" w14:textId="77777777" w:rsidR="00731E74" w:rsidRDefault="00731E74">
      <w:pPr>
        <w:rPr>
          <w:sz w:val="12"/>
        </w:rPr>
      </w:pPr>
      <w:r>
        <w:continuationSeparator/>
      </w:r>
    </w:p>
  </w:footnote>
  <w:footnote w:id="1">
    <w:p w14:paraId="588A2394" w14:textId="77777777" w:rsidR="00B22723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rStyle w:val="FootnoteCharactersuser"/>
          <w:rtl/>
        </w:rPr>
        <w:tab/>
        <w:t xml:space="preserve"> </w:t>
      </w:r>
      <w:r>
        <w:rPr>
          <w:b/>
          <w:bCs/>
          <w:rtl/>
        </w:rPr>
        <w:t>משנה ב</w:t>
      </w:r>
    </w:p>
  </w:footnote>
  <w:footnote w:id="2">
    <w:p w14:paraId="4683D109" w14:textId="77777777" w:rsidR="00B22723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/>
        </w:rPr>
        <w:tab/>
        <w:t>הקדמה:</w:t>
      </w:r>
    </w:p>
    <w:p w14:paraId="49F7322A" w14:textId="77777777" w:rsidR="00B22723" w:rsidRDefault="00000000">
      <w:pPr>
        <w:pStyle w:val="FootnoteText"/>
        <w:rPr>
          <w:b/>
          <w:bCs/>
          <w:lang w:bidi="he-IL"/>
        </w:rPr>
      </w:pPr>
      <w:r>
        <w:rPr>
          <w:b/>
          <w:bCs/>
          <w:rtl/>
          <w:lang w:bidi="he-IL"/>
        </w:rPr>
        <w:tab/>
      </w:r>
      <w:r>
        <w:rPr>
          <w:rtl/>
          <w:lang w:bidi="he-IL"/>
        </w:rPr>
        <w:t>אדם חייב לקרוא קריאת שמע בכל בוקר, שנאמר, “ודברת בם… ובקומך.” משנה זה יבאר זמן שבו יכול אדם לקיים מצוה זו – יבאר תחילת זמן שלו ויבאר סוף זמן שלו. גם יבאר מה יעשה אם עבר זמן קריאת שמע.</w:t>
      </w:r>
    </w:p>
  </w:footnote>
  <w:footnote w:id="3">
    <w:p w14:paraId="2B4C64AE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גמרא </w:t>
      </w:r>
      <w:r>
        <w:rPr>
          <w:b/>
          <w:bCs/>
          <w:rtl/>
        </w:rPr>
        <w:t>(ט:)</w:t>
      </w:r>
      <w:r>
        <w:rPr>
          <w:rtl/>
        </w:rPr>
        <w:t xml:space="preserve"> מבאר </w:t>
      </w:r>
      <w:r>
        <w:rPr>
          <w:rtl/>
          <w:lang w:bidi="he-IL"/>
        </w:rPr>
        <w:t>שאין הכוונה שיכולים לקרוא משיכול</w:t>
      </w:r>
      <w:r>
        <w:rPr>
          <w:rtl/>
        </w:rPr>
        <w:t xml:space="preserve"> לחלק בין חתיכה של לבן לחתיכה של תכלת, שזה קל לעשות אפילו בלילה </w:t>
      </w:r>
      <w:r>
        <w:rPr>
          <w:rtl/>
          <w:lang w:bidi="he-IL"/>
        </w:rPr>
        <w:t>[א]</w:t>
      </w:r>
      <w:r>
        <w:rPr>
          <w:rtl/>
        </w:rPr>
        <w:t>.</w:t>
      </w:r>
      <w:r>
        <w:rPr>
          <w:rtl/>
          <w:lang w:bidi="he-IL"/>
        </w:rPr>
        <w:t xml:space="preserve"> </w:t>
      </w:r>
      <w:r>
        <w:rPr>
          <w:rtl/>
        </w:rPr>
        <w:t>אלא,</w:t>
      </w:r>
      <w:r>
        <w:rPr>
          <w:rtl/>
          <w:lang w:bidi="he-IL"/>
        </w:rPr>
        <w:t xml:space="preserve"> שהכוונה היא שיכולים לקרוא רק מש</w:t>
      </w:r>
      <w:r>
        <w:rPr>
          <w:rtl/>
        </w:rPr>
        <w:t xml:space="preserve">יכולים לחלק בין תכלת שבבגד הצבוע ללבן שבו </w:t>
      </w:r>
      <w:r>
        <w:rPr>
          <w:rtl/>
          <w:lang w:bidi="he-IL"/>
        </w:rPr>
        <w:t>[ב] [ג]</w:t>
      </w:r>
      <w:r>
        <w:rPr>
          <w:rtl/>
        </w:rPr>
        <w:t>.</w:t>
      </w:r>
      <w:r>
        <w:rPr>
          <w:rtl/>
          <w:lang w:bidi="he-IL"/>
        </w:rPr>
        <w:t xml:space="preserve"> [ד] </w:t>
      </w:r>
    </w:p>
  </w:footnote>
  <w:footnote w:id="4">
    <w:p w14:paraId="2CBF1E82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שיעור זה הוא אחר שיעור של הת“ק, </w:t>
      </w:r>
      <w:r>
        <w:rPr>
          <w:rtl/>
          <w:lang w:bidi="he-IL"/>
        </w:rPr>
        <w:t>שכרתי יותר דומה לתכלת משלבן דומה לתכלת.</w:t>
      </w:r>
    </w:p>
  </w:footnote>
  <w:footnote w:id="5">
    <w:p w14:paraId="3B023D04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גמרא </w:t>
      </w:r>
      <w:r>
        <w:rPr>
          <w:b/>
          <w:bCs/>
          <w:rtl/>
        </w:rPr>
        <w:t xml:space="preserve">(ט:) </w:t>
      </w:r>
      <w:r>
        <w:rPr>
          <w:rtl/>
        </w:rPr>
        <w:t xml:space="preserve">מוסיף ארבע שיטות תנאים </w:t>
      </w:r>
      <w:r>
        <w:rPr>
          <w:rtl/>
          <w:lang w:bidi="he-IL"/>
        </w:rPr>
        <w:t>[ו]</w:t>
      </w:r>
      <w:r>
        <w:rPr>
          <w:rtl/>
        </w:rPr>
        <w:t>:</w:t>
      </w:r>
    </w:p>
    <w:p w14:paraId="5FEB897C" w14:textId="77777777" w:rsidR="00B22723" w:rsidRDefault="00000000">
      <w:pPr>
        <w:pStyle w:val="FootnoteText"/>
        <w:numPr>
          <w:ilvl w:val="0"/>
          <w:numId w:val="2"/>
        </w:numPr>
        <w:ind w:left="1060" w:hanging="360"/>
      </w:pPr>
      <w:r>
        <w:rPr>
          <w:rtl/>
        </w:rPr>
        <w:t xml:space="preserve">רבי מאיר אומר שהוא משיכיר בין זאב לכלב. </w:t>
      </w:r>
      <w:r>
        <w:rPr>
          <w:rtl/>
          <w:lang w:bidi="he-IL"/>
        </w:rPr>
        <w:t>[ז] [ח]</w:t>
      </w:r>
    </w:p>
    <w:p w14:paraId="6A063B60" w14:textId="77777777" w:rsidR="00B22723" w:rsidRDefault="00000000">
      <w:pPr>
        <w:pStyle w:val="FootnoteText"/>
        <w:numPr>
          <w:ilvl w:val="0"/>
          <w:numId w:val="2"/>
        </w:numPr>
        <w:ind w:left="1060" w:hanging="360"/>
      </w:pPr>
      <w:r>
        <w:rPr>
          <w:rtl/>
        </w:rPr>
        <w:t>רבי עקיבא אומר שהוא משיכיר בין חמור לערוד. ערוד הוא חמור הבר.</w:t>
      </w:r>
    </w:p>
    <w:p w14:paraId="0C20D035" w14:textId="77777777" w:rsidR="00B22723" w:rsidRDefault="00000000">
      <w:pPr>
        <w:pStyle w:val="FootnoteText"/>
        <w:numPr>
          <w:ilvl w:val="0"/>
          <w:numId w:val="2"/>
        </w:numPr>
        <w:ind w:left="1060" w:hanging="360"/>
      </w:pPr>
      <w:r>
        <w:rPr>
          <w:rtl/>
        </w:rPr>
        <w:t xml:space="preserve">אחרים אומרים שהוא משיכיר את חבירו </w:t>
      </w:r>
      <w:r>
        <w:rPr>
          <w:rtl/>
          <w:lang w:bidi="he-IL"/>
        </w:rPr>
        <w:t>[ט]</w:t>
      </w:r>
      <w:r>
        <w:rPr>
          <w:b/>
          <w:bCs/>
          <w:rtl/>
        </w:rPr>
        <w:t xml:space="preserve"> </w:t>
      </w:r>
      <w:r>
        <w:rPr>
          <w:rtl/>
        </w:rPr>
        <w:t xml:space="preserve">מרוחק ד"א. </w:t>
      </w:r>
      <w:r>
        <w:rPr>
          <w:rtl/>
          <w:lang w:bidi="he-IL"/>
        </w:rPr>
        <w:t>[י] [יא]</w:t>
      </w:r>
    </w:p>
    <w:p w14:paraId="61E03E2B" w14:textId="77777777" w:rsidR="00B22723" w:rsidRDefault="00000000">
      <w:pPr>
        <w:pStyle w:val="FootnoteText"/>
        <w:numPr>
          <w:ilvl w:val="0"/>
          <w:numId w:val="2"/>
        </w:numPr>
        <w:ind w:left="1060" w:hanging="360"/>
      </w:pPr>
      <w:r>
        <w:rPr>
          <w:rtl/>
        </w:rPr>
        <w:t>ר“ש אומר שהוא מעלות השחר.</w:t>
      </w:r>
    </w:p>
    <w:p w14:paraId="72BDEB4F" w14:textId="77777777" w:rsidR="00B22723" w:rsidRDefault="00000000">
      <w:pPr>
        <w:pStyle w:val="FootnoteText"/>
      </w:pPr>
      <w:r>
        <w:rPr>
          <w:rtl/>
        </w:rPr>
        <w:tab/>
      </w:r>
      <w:r>
        <w:rPr>
          <w:rtl/>
          <w:lang w:bidi="he-IL"/>
        </w:rPr>
        <w:t>[יב]</w:t>
      </w:r>
    </w:p>
    <w:p w14:paraId="7AF920EB" w14:textId="77777777" w:rsidR="00B22723" w:rsidRDefault="00000000">
      <w:pPr>
        <w:pStyle w:val="FootnoteText"/>
      </w:pPr>
      <w:r>
        <w:rPr>
          <w:rtl/>
        </w:rPr>
        <w:tab/>
        <w:t xml:space="preserve">גמרא </w:t>
      </w:r>
      <w:r>
        <w:rPr>
          <w:b/>
          <w:bCs/>
          <w:rtl/>
        </w:rPr>
        <w:t>(ט:)</w:t>
      </w:r>
      <w:r>
        <w:rPr>
          <w:rtl/>
        </w:rPr>
        <w:t xml:space="preserve"> פוסק כאחרים.</w:t>
      </w:r>
    </w:p>
  </w:footnote>
  <w:footnote w:id="6">
    <w:p w14:paraId="4270D4E0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גמרא </w:t>
      </w:r>
      <w:r>
        <w:rPr>
          <w:b/>
          <w:bCs/>
          <w:rtl/>
        </w:rPr>
        <w:t>(ט.)</w:t>
      </w:r>
      <w:r>
        <w:rPr>
          <w:rtl/>
        </w:rPr>
        <w:t xml:space="preserve"> מבאר שכל זה בדיעבד, אבל ה</w:t>
      </w:r>
      <w:r>
        <w:rPr>
          <w:rtl/>
          <w:lang w:bidi="he-IL"/>
        </w:rPr>
        <w:t>דרך הכי טוב</w:t>
      </w:r>
      <w:r>
        <w:rPr>
          <w:rtl/>
        </w:rPr>
        <w:t xml:space="preserve"> </w:t>
      </w:r>
      <w:r>
        <w:rPr>
          <w:rtl/>
          <w:lang w:bidi="he-IL"/>
        </w:rPr>
        <w:t>[יד] [טו] לקרוא קריאת שמע הוא לעשות</w:t>
      </w:r>
      <w:r>
        <w:rPr>
          <w:rtl/>
        </w:rPr>
        <w:t xml:space="preserve"> כוותיקין (</w:t>
      </w:r>
      <w:r>
        <w:rPr>
          <w:rtl/>
          <w:lang w:bidi="he-IL"/>
        </w:rPr>
        <w:t>שקוראים</w:t>
      </w:r>
      <w:r>
        <w:rPr>
          <w:rtl/>
        </w:rPr>
        <w:t xml:space="preserve"> קצת קודם הנץ החמה). </w:t>
      </w:r>
      <w:r>
        <w:rPr>
          <w:rtl/>
          <w:lang w:bidi="he-IL"/>
        </w:rPr>
        <w:t xml:space="preserve">לבאר למה זה הזמן הכי טוב, </w:t>
      </w:r>
      <w:r>
        <w:rPr>
          <w:rtl/>
        </w:rPr>
        <w:t>צריך שני הקדמו</w:t>
      </w:r>
      <w:r>
        <w:rPr>
          <w:rtl/>
          <w:lang w:bidi="he-IL"/>
        </w:rPr>
        <w:t>ת</w:t>
      </w:r>
      <w:r>
        <w:rPr>
          <w:rtl/>
        </w:rPr>
        <w:t xml:space="preserve">. </w:t>
      </w:r>
    </w:p>
    <w:p w14:paraId="7DA378CD" w14:textId="77777777" w:rsidR="00B22723" w:rsidRDefault="00000000">
      <w:pPr>
        <w:pStyle w:val="FootnoteText"/>
        <w:numPr>
          <w:ilvl w:val="0"/>
          <w:numId w:val="3"/>
        </w:numPr>
      </w:pPr>
      <w:r>
        <w:rPr>
          <w:rtl/>
        </w:rPr>
        <w:t xml:space="preserve">הראשון הוא שזמן המובחר להתפלל הוא עם הנץ החמה. גמרא </w:t>
      </w:r>
      <w:r>
        <w:rPr>
          <w:b/>
          <w:bCs/>
          <w:rtl/>
        </w:rPr>
        <w:t>(ט:)</w:t>
      </w:r>
      <w:r>
        <w:rPr>
          <w:rtl/>
        </w:rPr>
        <w:t xml:space="preserve"> לומד את זה מ"ייראוך עם שמש.” </w:t>
      </w:r>
      <w:r>
        <w:rPr>
          <w:rtl/>
          <w:lang w:bidi="he-IL"/>
        </w:rPr>
        <w:t>[טז]</w:t>
      </w:r>
    </w:p>
    <w:p w14:paraId="035E521A" w14:textId="77777777" w:rsidR="00B22723" w:rsidRDefault="00000000">
      <w:pPr>
        <w:pStyle w:val="FootnoteText"/>
        <w:numPr>
          <w:ilvl w:val="0"/>
          <w:numId w:val="3"/>
        </w:numPr>
      </w:pPr>
      <w:r>
        <w:rPr>
          <w:rtl/>
        </w:rPr>
        <w:t>השני</w:t>
      </w:r>
      <w:r>
        <w:rPr>
          <w:rtl/>
          <w:lang w:bidi="he-IL"/>
        </w:rPr>
        <w:t>ת היא</w:t>
      </w:r>
      <w:r>
        <w:rPr>
          <w:rtl/>
        </w:rPr>
        <w:t xml:space="preserve"> שצריכים לסמוך גאולה לתפלה (על כל פנים, בשחרית). </w:t>
      </w:r>
    </w:p>
    <w:p w14:paraId="54806C36" w14:textId="77777777" w:rsidR="00B22723" w:rsidRDefault="00000000">
      <w:pPr>
        <w:pStyle w:val="FootnoteText"/>
      </w:pPr>
      <w:r>
        <w:rPr>
          <w:rtl/>
        </w:rPr>
        <w:tab/>
        <w:t xml:space="preserve">אז, נמצא שכדי להתפלל עם הוותיקין ולסמוך גאולה לתפלה, צריך לקרוא קריאת שמע (שנקרא עם גאולה) סמוך להנץ </w:t>
      </w:r>
      <w:r>
        <w:rPr>
          <w:rtl/>
          <w:lang w:bidi="he-IL"/>
        </w:rPr>
        <w:t>החמה. [יז]</w:t>
      </w:r>
    </w:p>
  </w:footnote>
  <w:footnote w:id="7">
    <w:p w14:paraId="5DC4395E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  <w:lang w:bidi="he-IL"/>
        </w:rPr>
        <w:tab/>
        <w:t>גמרא מפרש שר"ל ש</w:t>
      </w:r>
      <w:r>
        <w:rPr>
          <w:rtl/>
        </w:rPr>
        <w:t xml:space="preserve">לא הפסיד ברכות, שיכול לברך על קריאת שמע (שנים לפניה ואחרת לאחריה) אף לאחר זמנו. </w:t>
      </w:r>
      <w:r>
        <w:rPr>
          <w:rtl/>
          <w:lang w:bidi="he-IL"/>
        </w:rPr>
        <w:t xml:space="preserve">בגמרא, </w:t>
      </w:r>
      <w:r>
        <w:rPr>
          <w:rtl/>
        </w:rPr>
        <w:t>יש לשון אחד שאומר שאמורא אחד בגמרא (</w:t>
      </w:r>
      <w:r>
        <w:rPr>
          <w:b/>
          <w:bCs/>
          <w:rtl/>
        </w:rPr>
        <w:t>י:</w:t>
      </w:r>
      <w:r>
        <w:rPr>
          <w:rtl/>
        </w:rPr>
        <w:t xml:space="preserve">) שחולק על זה, אבל </w:t>
      </w:r>
      <w:r>
        <w:rPr>
          <w:rtl/>
          <w:lang w:bidi="he-IL"/>
        </w:rPr>
        <w:t>נדחה</w:t>
      </w:r>
      <w:r>
        <w:rPr>
          <w:rtl/>
        </w:rPr>
        <w:t>.</w:t>
      </w:r>
      <w:r>
        <w:rPr>
          <w:rtl/>
          <w:lang w:bidi="he-IL"/>
        </w:rPr>
        <w:t xml:space="preserve"> [כג]</w:t>
      </w:r>
    </w:p>
  </w:footnote>
  <w:footnote w:id="8">
    <w:p w14:paraId="4BD9BE9D" w14:textId="77777777" w:rsidR="00B22723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>גמרא (</w:t>
      </w:r>
      <w:r>
        <w:rPr>
          <w:b/>
          <w:bCs/>
          <w:rtl/>
        </w:rPr>
        <w:t>י:</w:t>
      </w:r>
      <w:r>
        <w:rPr>
          <w:rtl/>
        </w:rPr>
        <w:t xml:space="preserve">) לומד מזה שקריאת שמע בעונתה </w:t>
      </w:r>
      <w:r>
        <w:rPr>
          <w:rtl/>
          <w:lang w:bidi="he-IL"/>
        </w:rPr>
        <w:t xml:space="preserve">גדול </w:t>
      </w:r>
      <w:r>
        <w:rPr>
          <w:rtl/>
        </w:rPr>
        <w:t xml:space="preserve">מתלמוד תורה, </w:t>
      </w:r>
      <w:r>
        <w:rPr>
          <w:rtl/>
          <w:lang w:bidi="he-IL"/>
        </w:rPr>
        <w:t>שהמשנה משמע</w:t>
      </w:r>
      <w:r>
        <w:rPr>
          <w:rtl/>
        </w:rPr>
        <w:t xml:space="preserve"> שקריאת שמע שלא בזמנה הוא כתלמוד ותרה, </w:t>
      </w:r>
      <w:r>
        <w:rPr>
          <w:rtl/>
          <w:lang w:bidi="he-IL"/>
        </w:rPr>
        <w:t>ובוודאי ק”ש בזמנה יותר גדול מק”ש שלא בזמנה</w:t>
      </w:r>
      <w:r>
        <w:rPr>
          <w:rtl/>
        </w:rPr>
        <w:t xml:space="preserve">. לכאורה, הסיבה לזה הוא שקריאת שמע כולל תלמוד תורה, ומוסיף עליו מצוות תלמוד תורה. </w:t>
      </w:r>
      <w:r>
        <w:rPr>
          <w:rtl/>
          <w:lang w:bidi="he-IL"/>
        </w:rPr>
        <w:t>[כד] [כה]</w:t>
      </w:r>
    </w:p>
  </w:footnote>
  <w:footnote w:id="9">
    <w:p w14:paraId="7B726359" w14:textId="77777777" w:rsidR="00B22723" w:rsidRDefault="00000000">
      <w:pPr>
        <w:pStyle w:val="FootnoteText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Cs/>
          <w:rtl/>
          <w:lang w:bidi="he-IL"/>
        </w:rPr>
        <w:tab/>
        <w:t>דיני המשנה:</w:t>
      </w:r>
    </w:p>
    <w:p w14:paraId="6E5A571F" w14:textId="77777777" w:rsidR="00B22723" w:rsidRDefault="00000000">
      <w:pPr>
        <w:pStyle w:val="FootnoteText"/>
        <w:numPr>
          <w:ilvl w:val="0"/>
          <w:numId w:val="4"/>
        </w:numPr>
        <w:rPr>
          <w:lang w:bidi="he-IL"/>
        </w:rPr>
      </w:pPr>
      <w:r>
        <w:rPr>
          <w:rtl/>
          <w:lang w:bidi="he-IL"/>
        </w:rPr>
        <w:t>תחילת זמן קריאת שמע של שחרית:</w:t>
      </w:r>
    </w:p>
    <w:p w14:paraId="1ACD41F7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עלות השחר.</w:t>
      </w:r>
    </w:p>
    <w:p w14:paraId="4F686464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משיכיר בין תכלת ללבן שבטלית אחת.</w:t>
      </w:r>
    </w:p>
    <w:p w14:paraId="72E02AFD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משיכיר בין תכלת לכרתי שבטלית אחת.</w:t>
      </w:r>
    </w:p>
    <w:p w14:paraId="1CDE23DF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משיכיר בין זאב לכלב.</w:t>
      </w:r>
    </w:p>
    <w:p w14:paraId="1112F483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משיכיר בין חמור לערוד.</w:t>
      </w:r>
    </w:p>
    <w:p w14:paraId="1F3AF88B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משיכיר את חברו שקצת מכיר בהרחק ארבע אמות.</w:t>
      </w:r>
    </w:p>
    <w:p w14:paraId="345DB3C1" w14:textId="77777777" w:rsidR="00B22723" w:rsidRDefault="00000000">
      <w:pPr>
        <w:pStyle w:val="FootnoteText"/>
        <w:numPr>
          <w:ilvl w:val="0"/>
          <w:numId w:val="4"/>
        </w:numPr>
        <w:rPr>
          <w:lang w:bidi="he-IL"/>
        </w:rPr>
      </w:pPr>
      <w:r>
        <w:rPr>
          <w:rtl/>
          <w:lang w:bidi="he-IL"/>
        </w:rPr>
        <w:t>סוף זמן קריאת שמע של שחר:</w:t>
      </w:r>
    </w:p>
    <w:p w14:paraId="09C5C2FE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הנץ החמה. (רבי אליעזר)</w:t>
      </w:r>
    </w:p>
    <w:p w14:paraId="02D62F84" w14:textId="77777777" w:rsidR="00B22723" w:rsidRDefault="00000000">
      <w:pPr>
        <w:pStyle w:val="FootnoteText"/>
        <w:numPr>
          <w:ilvl w:val="1"/>
          <w:numId w:val="4"/>
        </w:numPr>
        <w:rPr>
          <w:lang w:bidi="he-IL"/>
        </w:rPr>
      </w:pPr>
      <w:r>
        <w:rPr>
          <w:rtl/>
          <w:lang w:bidi="he-IL"/>
        </w:rPr>
        <w:t>שלש שעות ביום. (רבי יהושע)</w:t>
      </w:r>
    </w:p>
    <w:p w14:paraId="6DE998FE" w14:textId="24E8C586" w:rsidR="00B22723" w:rsidRDefault="00000000">
      <w:pPr>
        <w:pStyle w:val="FootnoteText"/>
        <w:numPr>
          <w:ilvl w:val="0"/>
          <w:numId w:val="4"/>
        </w:numPr>
        <w:rPr>
          <w:lang w:bidi="he-IL"/>
        </w:rPr>
      </w:pPr>
      <w:r>
        <w:rPr>
          <w:rtl/>
          <w:lang w:bidi="he-IL"/>
        </w:rPr>
        <w:t>זמן המובחר ש ק"ש של שחרית – קרוב להנץ החמה.</w:t>
      </w:r>
    </w:p>
    <w:p w14:paraId="359F3167" w14:textId="77777777" w:rsidR="00B22723" w:rsidRDefault="00000000">
      <w:pPr>
        <w:pStyle w:val="FootnoteText"/>
        <w:numPr>
          <w:ilvl w:val="0"/>
          <w:numId w:val="4"/>
        </w:numPr>
        <w:rPr>
          <w:lang w:bidi="he-IL"/>
        </w:rPr>
      </w:pPr>
      <w:r>
        <w:rPr>
          <w:rtl/>
          <w:lang w:bidi="he-IL"/>
        </w:rPr>
        <w:t xml:space="preserve">אם לא קרא ק"ש בזמן – </w:t>
      </w:r>
    </w:p>
    <w:p w14:paraId="373700D4" w14:textId="77777777" w:rsidR="00B22723" w:rsidRDefault="00000000">
      <w:pPr>
        <w:pStyle w:val="FootnoteText"/>
        <w:numPr>
          <w:ilvl w:val="1"/>
          <w:numId w:val="5"/>
        </w:numPr>
        <w:rPr>
          <w:lang w:bidi="he-IL"/>
        </w:rPr>
      </w:pPr>
      <w:r>
        <w:rPr>
          <w:rtl/>
          <w:lang w:bidi="he-IL"/>
        </w:rPr>
        <w:t xml:space="preserve">יקרא אחרי הזמן, שלא גרוע מקורא בתורה. </w:t>
      </w:r>
    </w:p>
    <w:p w14:paraId="542798A2" w14:textId="77777777" w:rsidR="00B22723" w:rsidRDefault="00000000">
      <w:pPr>
        <w:pStyle w:val="FootnoteText"/>
        <w:numPr>
          <w:ilvl w:val="1"/>
          <w:numId w:val="5"/>
        </w:numPr>
        <w:rPr>
          <w:lang w:bidi="he-IL"/>
        </w:rPr>
      </w:pPr>
      <w:r>
        <w:rPr>
          <w:rtl/>
          <w:lang w:bidi="he-IL"/>
        </w:rPr>
        <w:t>אף יקרא בברכות ק"ש.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300A"/>
    <w:multiLevelType w:val="multilevel"/>
    <w:tmpl w:val="63948B2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2AC053E2"/>
    <w:multiLevelType w:val="multilevel"/>
    <w:tmpl w:val="93B61B40"/>
    <w:lvl w:ilvl="0">
      <w:start w:val="1"/>
      <w:numFmt w:val="decimal"/>
      <w:lvlText w:val="%1."/>
      <w:lvlJc w:val="right"/>
      <w:pPr>
        <w:tabs>
          <w:tab w:val="num" w:pos="0"/>
        </w:tabs>
        <w:ind w:left="700" w:firstLine="0"/>
      </w:pPr>
    </w:lvl>
    <w:lvl w:ilvl="1">
      <w:start w:val="1"/>
      <w:numFmt w:val="decimal"/>
      <w:lvlText w:val="%2."/>
      <w:lvlJc w:val="right"/>
      <w:pPr>
        <w:tabs>
          <w:tab w:val="num" w:pos="0"/>
        </w:tabs>
        <w:ind w:left="1060" w:firstLine="0"/>
      </w:pPr>
    </w:lvl>
    <w:lvl w:ilvl="2">
      <w:start w:val="1"/>
      <w:numFmt w:val="decimal"/>
      <w:lvlText w:val="%3."/>
      <w:lvlJc w:val="right"/>
      <w:pPr>
        <w:tabs>
          <w:tab w:val="num" w:pos="0"/>
        </w:tabs>
        <w:ind w:left="142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1780" w:firstLine="0"/>
      </w:pPr>
    </w:lvl>
    <w:lvl w:ilvl="4">
      <w:start w:val="1"/>
      <w:numFmt w:val="decimal"/>
      <w:lvlText w:val="%5."/>
      <w:lvlJc w:val="right"/>
      <w:pPr>
        <w:tabs>
          <w:tab w:val="num" w:pos="0"/>
        </w:tabs>
        <w:ind w:left="2140" w:firstLine="0"/>
      </w:pPr>
    </w:lvl>
    <w:lvl w:ilvl="5">
      <w:start w:val="1"/>
      <w:numFmt w:val="decimal"/>
      <w:lvlText w:val="%6."/>
      <w:lvlJc w:val="right"/>
      <w:pPr>
        <w:tabs>
          <w:tab w:val="num" w:pos="0"/>
        </w:tabs>
        <w:ind w:left="250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2860" w:firstLine="0"/>
      </w:pPr>
    </w:lvl>
    <w:lvl w:ilvl="7">
      <w:start w:val="1"/>
      <w:numFmt w:val="decimal"/>
      <w:lvlText w:val="%8."/>
      <w:lvlJc w:val="right"/>
      <w:pPr>
        <w:tabs>
          <w:tab w:val="num" w:pos="0"/>
        </w:tabs>
        <w:ind w:left="3220" w:firstLine="0"/>
      </w:pPr>
    </w:lvl>
    <w:lvl w:ilvl="8">
      <w:start w:val="1"/>
      <w:numFmt w:val="decimal"/>
      <w:lvlText w:val="%9."/>
      <w:lvlJc w:val="right"/>
      <w:pPr>
        <w:tabs>
          <w:tab w:val="num" w:pos="0"/>
        </w:tabs>
        <w:ind w:left="3580" w:firstLine="0"/>
      </w:pPr>
    </w:lvl>
  </w:abstractNum>
  <w:abstractNum w:abstractNumId="2" w15:restartNumberingAfterBreak="0">
    <w:nsid w:val="35EB37BF"/>
    <w:multiLevelType w:val="multilevel"/>
    <w:tmpl w:val="B23C3C0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50952307"/>
    <w:multiLevelType w:val="multilevel"/>
    <w:tmpl w:val="E2EE85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7CF650B"/>
    <w:multiLevelType w:val="multilevel"/>
    <w:tmpl w:val="30AEE6A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num w:numId="1" w16cid:durableId="1344160918">
    <w:abstractNumId w:val="3"/>
  </w:num>
  <w:num w:numId="2" w16cid:durableId="462502691">
    <w:abstractNumId w:val="1"/>
  </w:num>
  <w:num w:numId="3" w16cid:durableId="2017809197">
    <w:abstractNumId w:val="0"/>
  </w:num>
  <w:num w:numId="4" w16cid:durableId="1122462367">
    <w:abstractNumId w:val="4"/>
  </w:num>
  <w:num w:numId="5" w16cid:durableId="1659261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723"/>
    <w:rsid w:val="00731E74"/>
    <w:rsid w:val="00B059DC"/>
    <w:rsid w:val="00B22723"/>
    <w:rsid w:val="00C7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6D0D"/>
  <w15:docId w15:val="{311B8CEC-D3CE-4197-B123-8EFEA3DC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before="86" w:after="86" w:line="276" w:lineRule="auto"/>
    </w:pPr>
    <w:rPr>
      <w:rFonts w:cs="Dav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Aptos Display" w:hAnsi="Aptos Display"/>
      <w:bCs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 w:cs="Times New Roman"/>
      <w:color w:val="117A02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cs="Times New Roman"/>
      <w:color w:val="117A02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cs="Times New Roman"/>
      <w:i/>
      <w:iCs/>
      <w:color w:val="117A02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cs="Times New Roman"/>
      <w:color w:val="117A02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cs="Times New Roman"/>
      <w:i/>
      <w:iCs/>
      <w:color w:val="595959" w:themeColor="dark1" w:themeTint="A6"/>
    </w:rPr>
  </w:style>
  <w:style w:type="paragraph" w:styleId="Heading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cs="Times New Roman"/>
      <w:color w:val="595959" w:themeColor="dark1" w:themeTint="A6"/>
    </w:rPr>
  </w:style>
  <w:style w:type="paragraph" w:styleId="Heading8">
    <w:name w:val="heading 8"/>
    <w:basedOn w:val="Normal"/>
    <w:next w:val="Normal"/>
    <w:qFormat/>
    <w:pPr>
      <w:keepNext/>
      <w:keepLines/>
      <w:spacing w:before="120" w:after="0"/>
      <w:outlineLvl w:val="7"/>
    </w:pPr>
    <w:rPr>
      <w:rFonts w:cs="Times New Roman"/>
      <w:i/>
      <w:iCs/>
      <w:color w:val="272727" w:themeColor="dark1" w:themeTint="D8"/>
    </w:rPr>
  </w:style>
  <w:style w:type="paragraph" w:styleId="Heading9">
    <w:name w:val="heading 9"/>
    <w:basedOn w:val="Normal"/>
    <w:next w:val="Normal"/>
    <w:qFormat/>
    <w:pPr>
      <w:keepNext/>
      <w:keepLines/>
      <w:spacing w:before="120" w:after="0"/>
      <w:outlineLvl w:val="8"/>
    </w:pPr>
    <w:rPr>
      <w:rFonts w:cs="Times New Roman"/>
      <w:color w:val="272727" w:themeColor="dark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styleId="FootnoteReference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TextChar">
    <w:name w:val="Footnote Text Char"/>
    <w:basedOn w:val="DefaultParagraphFont"/>
    <w:qFormat/>
    <w:rPr>
      <w:rFonts w:ascii="Liberation Serif" w:eastAsia="NSimSun" w:hAnsi="Liberation Serif" w:cs="David"/>
      <w:kern w:val="2"/>
      <w:sz w:val="20"/>
      <w:szCs w:val="20"/>
      <w:lang w:eastAsia="zh-CN"/>
    </w:rPr>
  </w:style>
  <w:style w:type="character" w:styleId="IntenseReference">
    <w:name w:val="Intense Reference"/>
    <w:basedOn w:val="DefaultParagraphFont"/>
    <w:qFormat/>
    <w:rPr>
      <w:b/>
      <w:bCs/>
      <w:smallCaps/>
      <w:color w:val="117A02" w:themeColor="accent1" w:themeShade="BF"/>
      <w:spacing w:val="5"/>
    </w:rPr>
  </w:style>
  <w:style w:type="character" w:customStyle="1" w:styleId="IntenseQuoteChar">
    <w:name w:val="Intense Quote Char"/>
    <w:basedOn w:val="DefaultParagraphFont"/>
    <w:qFormat/>
    <w:rPr>
      <w:i/>
      <w:iCs/>
      <w:color w:val="117A02" w:themeColor="accent1" w:themeShade="BF"/>
    </w:rPr>
  </w:style>
  <w:style w:type="character" w:styleId="IntenseEmphasis">
    <w:name w:val="Intense Emphasis"/>
    <w:basedOn w:val="DefaultParagraphFont"/>
    <w:qFormat/>
    <w:rPr>
      <w:i/>
      <w:iCs/>
      <w:color w:val="117A02" w:themeColor="accent1" w:themeShade="BF"/>
    </w:rPr>
  </w:style>
  <w:style w:type="character" w:customStyle="1" w:styleId="QuoteChar">
    <w:name w:val="Quote Char"/>
    <w:basedOn w:val="DefaultParagraphFont"/>
    <w:qFormat/>
    <w:rPr>
      <w:i/>
      <w:iCs/>
      <w:color w:val="404040" w:themeColor="dark1" w:themeTint="BF"/>
    </w:rPr>
  </w:style>
  <w:style w:type="character" w:customStyle="1" w:styleId="SubtitleChar">
    <w:name w:val="Subtitle Char"/>
    <w:basedOn w:val="DefaultParagraphFont"/>
    <w:qFormat/>
    <w:rPr>
      <w:rFonts w:eastAsia="NSimSun" w:cs="Times New Roman"/>
      <w:color w:val="595959" w:themeColor="dark1" w:themeTint="A6"/>
      <w:spacing w:val="15"/>
      <w:sz w:val="28"/>
      <w:szCs w:val="28"/>
    </w:rPr>
  </w:style>
  <w:style w:type="character" w:customStyle="1" w:styleId="TitleChar">
    <w:name w:val="Title Char"/>
    <w:basedOn w:val="DefaultParagraphFont"/>
    <w:qFormat/>
    <w:rPr>
      <w:rFonts w:ascii="Aptos Display" w:eastAsia="NSimSun" w:hAnsi="Aptos Display" w:cs="Times New Roman"/>
      <w:spacing w:val="-10"/>
      <w:kern w:val="2"/>
      <w:sz w:val="56"/>
      <w:szCs w:val="56"/>
    </w:rPr>
  </w:style>
  <w:style w:type="character" w:customStyle="1" w:styleId="Heading9Char">
    <w:name w:val="Heading 9 Char"/>
    <w:basedOn w:val="DefaultParagraphFont"/>
    <w:qFormat/>
    <w:rPr>
      <w:rFonts w:eastAsia="NSimSun" w:cs="Times New Roman"/>
      <w:color w:val="272727" w:themeColor="dark1" w:themeTint="D8"/>
    </w:rPr>
  </w:style>
  <w:style w:type="character" w:customStyle="1" w:styleId="Heading8Char">
    <w:name w:val="Heading 8 Char"/>
    <w:basedOn w:val="DefaultParagraphFont"/>
    <w:qFormat/>
    <w:rPr>
      <w:rFonts w:eastAsia="NSimSun" w:cs="Times New Roman"/>
      <w:i/>
      <w:iCs/>
      <w:color w:val="272727" w:themeColor="dark1" w:themeTint="D8"/>
    </w:rPr>
  </w:style>
  <w:style w:type="character" w:customStyle="1" w:styleId="Heading7Char">
    <w:name w:val="Heading 7 Char"/>
    <w:basedOn w:val="DefaultParagraphFont"/>
    <w:qFormat/>
    <w:rPr>
      <w:rFonts w:eastAsia="NSimSun" w:cs="Times New Roman"/>
      <w:color w:val="595959" w:themeColor="dark1" w:themeTint="A6"/>
    </w:rPr>
  </w:style>
  <w:style w:type="character" w:customStyle="1" w:styleId="Heading6Char">
    <w:name w:val="Heading 6 Char"/>
    <w:basedOn w:val="DefaultParagraphFont"/>
    <w:qFormat/>
    <w:rPr>
      <w:rFonts w:eastAsia="NSimSun" w:cs="Times New Roman"/>
      <w:i/>
      <w:iCs/>
      <w:color w:val="595959" w:themeColor="dark1" w:themeTint="A6"/>
    </w:rPr>
  </w:style>
  <w:style w:type="character" w:customStyle="1" w:styleId="Heading5Char">
    <w:name w:val="Heading 5 Char"/>
    <w:basedOn w:val="DefaultParagraphFont"/>
    <w:qFormat/>
    <w:rPr>
      <w:rFonts w:eastAsia="NSimSun" w:cs="Times New Roman"/>
      <w:color w:val="117A02" w:themeColor="accent1" w:themeShade="BF"/>
    </w:rPr>
  </w:style>
  <w:style w:type="character" w:customStyle="1" w:styleId="Heading4Char">
    <w:name w:val="Heading 4 Char"/>
    <w:basedOn w:val="DefaultParagraphFont"/>
    <w:qFormat/>
    <w:rPr>
      <w:rFonts w:eastAsia="NSimSun" w:cs="Times New Roman"/>
      <w:i/>
      <w:iCs/>
      <w:color w:val="117A02" w:themeColor="accent1" w:themeShade="BF"/>
    </w:rPr>
  </w:style>
  <w:style w:type="character" w:customStyle="1" w:styleId="Heading3Char">
    <w:name w:val="Heading 3 Char"/>
    <w:basedOn w:val="DefaultParagraphFont"/>
    <w:qFormat/>
    <w:rPr>
      <w:rFonts w:eastAsia="NSimSun" w:cs="Times New Roman"/>
      <w:color w:val="117A0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qFormat/>
    <w:rPr>
      <w:rFonts w:ascii="Aptos Display" w:eastAsia="NSimSun" w:hAnsi="Aptos Display" w:cs="Times New Roman"/>
      <w:color w:val="117A02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qFormat/>
    <w:rPr>
      <w:rFonts w:ascii="Aptos Display" w:eastAsia="NSimSun" w:hAnsi="Aptos Display" w:cs="Times New Roman"/>
      <w:color w:val="117A02" w:themeColor="accent1" w:themeShade="BF"/>
      <w:sz w:val="40"/>
      <w:szCs w:val="40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left="346" w:hanging="346"/>
    </w:pPr>
    <w:rPr>
      <w:sz w:val="20"/>
      <w:szCs w:val="20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ListParagraph">
    <w:name w:val="List Paragraph"/>
    <w:basedOn w:val="Normal"/>
    <w:qFormat/>
    <w:pPr>
      <w:spacing w:before="120" w:after="120"/>
      <w:ind w:left="720"/>
      <w:contextualSpacing/>
    </w:pPr>
  </w:style>
  <w:style w:type="paragraph" w:styleId="Quote">
    <w:name w:val="Quote"/>
    <w:basedOn w:val="Normal"/>
    <w:next w:val="Normal"/>
    <w:qFormat/>
    <w:pPr>
      <w:spacing w:before="160" w:after="120"/>
      <w:jc w:val="center"/>
    </w:pPr>
    <w:rPr>
      <w:i/>
      <w:iCs/>
      <w:color w:val="404040" w:themeColor="dark1" w:themeTint="BF"/>
    </w:rPr>
  </w:style>
  <w:style w:type="paragraph" w:styleId="Subtitle">
    <w:name w:val="Subtitle"/>
    <w:basedOn w:val="Normal"/>
    <w:next w:val="Normal"/>
    <w:uiPriority w:val="11"/>
    <w:qFormat/>
    <w:rPr>
      <w:rFonts w:cs="Times New Roman"/>
      <w:color w:val="595959" w:themeColor="dark1" w:themeTint="A6"/>
      <w:spacing w:val="15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before="120" w:after="80" w:line="240" w:lineRule="auto"/>
      <w:contextualSpacing/>
    </w:pPr>
    <w:rPr>
      <w:rFonts w:ascii="Aptos Display" w:hAnsi="Aptos Display" w:cs="Times New Roman"/>
      <w:spacing w:val="-1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Shaul Y Khayyat</cp:lastModifiedBy>
  <cp:revision>2</cp:revision>
  <dcterms:created xsi:type="dcterms:W3CDTF">2025-12-28T16:48:00Z</dcterms:created>
  <dcterms:modified xsi:type="dcterms:W3CDTF">2025-12-28T16:57:00Z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2025-11-12T11:08:35Z</dcterms:created>
  <dc:creator/>
  <dc:description/>
  <dc:language>en-US</dc:language>
  <cp:lastModifiedBy/>
  <dcterms:modified xsi:type="dcterms:W3CDTF">2025-11-12T14:12:24Z</dcterms:modified>
  <cp:revision>26</cp:revision>
  <dc:subject/>
  <dc:title/>
</cp:coreProperties>
</file>