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86" w:after="86"/>
        <w:rPr>
          <w:rFonts w:ascii="David" w:hAnsi="David" w:cs="David"/>
          <w:sz w:val="24"/>
          <w:szCs w:val="24"/>
        </w:rPr>
      </w:pPr>
      <w:r>
        <w:rPr>
          <w:rFonts w:ascii="David" w:hAnsi="David"/>
          <w:sz w:val="24"/>
          <w:sz w:val="24"/>
          <w:szCs w:val="24"/>
          <w:rtl w:val="true"/>
        </w:rPr>
        <w:t>משנה ג</w:t>
      </w:r>
      <w:r>
        <w:rPr>
          <w:rStyle w:val="FootnoteReference"/>
          <w:rFonts w:ascii="David" w:hAnsi="David"/>
          <w:sz w:val="24"/>
          <w:sz w:val="24"/>
          <w:szCs w:val="24"/>
          <w:rtl w:val="true"/>
        </w:rPr>
        <w:footnoteReference w:id="2"/>
      </w:r>
    </w:p>
    <w:p>
      <w:pPr>
        <w:pStyle w:val="Normal"/>
        <w:spacing w:before="86" w:after="86"/>
        <w:rPr>
          <w:sz w:val="28"/>
          <w:szCs w:val="28"/>
        </w:rPr>
      </w:pPr>
      <w:r>
        <w:rPr>
          <w:rStyle w:val="FootnoteReference"/>
          <w:rFonts w:ascii="David" w:hAnsi="David"/>
          <w:b w:val="false"/>
          <w:bCs w:val="false"/>
          <w:sz w:val="24"/>
          <w:szCs w:val="24"/>
          <w:rtl w:val="true"/>
        </w:rPr>
        <w:footnoteReference w:id="3"/>
      </w:r>
      <w:r>
        <w:rPr>
          <w:rFonts w:ascii="David" w:hAnsi="David"/>
          <w:b w:val="false"/>
          <w:b w:val="false"/>
          <w:bCs w:val="false"/>
          <w:sz w:val="24"/>
          <w:sz w:val="24"/>
          <w:szCs w:val="24"/>
          <w:rtl w:val="true"/>
        </w:rPr>
        <w:t>בֵּית</w:t>
      </w:r>
      <w:r>
        <w:rPr>
          <w:rFonts w:ascii="David" w:hAnsi="David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ascii="David" w:hAnsi="David"/>
          <w:b w:val="false"/>
          <w:b w:val="false"/>
          <w:bCs w:val="false"/>
          <w:sz w:val="24"/>
          <w:sz w:val="24"/>
          <w:szCs w:val="24"/>
          <w:rtl w:val="true"/>
        </w:rPr>
        <w:t>שַׁמַּאי</w:t>
      </w:r>
      <w:r>
        <w:rPr>
          <w:rFonts w:ascii="David" w:hAnsi="David"/>
          <w:sz w:val="24"/>
          <w:sz w:val="24"/>
          <w:szCs w:val="24"/>
          <w:rtl w:val="true"/>
        </w:rPr>
        <w:t xml:space="preserve"> אוֹמְרִים</w:t>
      </w:r>
      <w:r>
        <w:rPr>
          <w:rFonts w:cs="David" w:ascii="David" w:hAnsi="David"/>
          <w:sz w:val="24"/>
          <w:szCs w:val="24"/>
          <w:rtl w:val="true"/>
        </w:rPr>
        <w:t xml:space="preserve">, </w:t>
      </w:r>
      <w:r>
        <w:rPr>
          <w:rFonts w:ascii="David" w:hAnsi="David"/>
          <w:sz w:val="24"/>
          <w:sz w:val="24"/>
          <w:szCs w:val="24"/>
          <w:rtl w:val="true"/>
        </w:rPr>
        <w:t>בָּעֶרֶב כָּל אָדָם יַטּוּ וְיִקְרְאוּ</w:t>
      </w:r>
      <w:r>
        <w:rPr>
          <w:rFonts w:cs="David" w:ascii="David" w:hAnsi="David"/>
          <w:sz w:val="24"/>
          <w:szCs w:val="24"/>
          <w:rtl w:val="true"/>
        </w:rPr>
        <w:t xml:space="preserve">, </w:t>
      </w:r>
      <w:r>
        <w:rPr>
          <w:rFonts w:ascii="David" w:hAnsi="David"/>
          <w:sz w:val="24"/>
          <w:sz w:val="24"/>
          <w:szCs w:val="24"/>
          <w:rtl w:val="true"/>
        </w:rPr>
        <w:t>וּבַבֹּקֶר יַעַמְדוּ</w:t>
      </w:r>
      <w:r>
        <w:rPr>
          <w:rFonts w:cs="David" w:ascii="David" w:hAnsi="David"/>
          <w:sz w:val="24"/>
          <w:szCs w:val="24"/>
          <w:rtl w:val="true"/>
        </w:rPr>
        <w:t xml:space="preserve">, </w:t>
      </w:r>
      <w:r>
        <w:rPr>
          <w:rFonts w:ascii="David" w:hAnsi="David"/>
          <w:sz w:val="24"/>
          <w:sz w:val="24"/>
          <w:szCs w:val="24"/>
          <w:rtl w:val="true"/>
        </w:rPr>
        <w:t xml:space="preserve">שֶׁנֶּאֱמַר </w:t>
      </w:r>
      <w:r>
        <w:rPr>
          <w:rFonts w:cs="David" w:ascii="David" w:hAnsi="David"/>
          <w:sz w:val="24"/>
          <w:szCs w:val="24"/>
          <w:rtl w:val="true"/>
        </w:rPr>
        <w:t>(</w:t>
      </w:r>
      <w:r>
        <w:rPr>
          <w:rFonts w:ascii="David" w:hAnsi="David"/>
          <w:sz w:val="24"/>
          <w:sz w:val="24"/>
          <w:szCs w:val="24"/>
          <w:rtl w:val="true"/>
        </w:rPr>
        <w:t>דברים ו</w:t>
      </w:r>
      <w:r>
        <w:rPr>
          <w:rFonts w:cs="David" w:ascii="David" w:hAnsi="David"/>
          <w:sz w:val="24"/>
          <w:szCs w:val="24"/>
          <w:rtl w:val="true"/>
        </w:rPr>
        <w:t xml:space="preserve">) </w:t>
      </w:r>
      <w:r>
        <w:rPr>
          <w:rFonts w:ascii="David" w:hAnsi="David"/>
          <w:sz w:val="24"/>
          <w:sz w:val="24"/>
          <w:szCs w:val="24"/>
          <w:rtl w:val="true"/>
        </w:rPr>
        <w:t>וּבְשָׁכְבְּךָ וּבְקוּמֶךָ</w:t>
      </w:r>
      <w:r>
        <w:rPr>
          <w:rFonts w:cs="David" w:ascii="David" w:hAnsi="David"/>
          <w:sz w:val="24"/>
          <w:szCs w:val="24"/>
          <w:rtl w:val="true"/>
        </w:rPr>
        <w:t xml:space="preserve">. </w:t>
      </w:r>
      <w:r>
        <w:rPr>
          <w:rFonts w:ascii="David" w:hAnsi="David"/>
          <w:sz w:val="24"/>
          <w:sz w:val="24"/>
          <w:szCs w:val="24"/>
          <w:rtl w:val="true"/>
        </w:rPr>
        <w:t>וּבֵית הִלֵּל אוֹמְרִים</w:t>
      </w:r>
      <w:r>
        <w:rPr>
          <w:rFonts w:cs="David" w:ascii="David" w:hAnsi="David"/>
          <w:sz w:val="24"/>
          <w:szCs w:val="24"/>
          <w:rtl w:val="true"/>
        </w:rPr>
        <w:t xml:space="preserve">, </w:t>
      </w:r>
      <w:r>
        <w:rPr>
          <w:rFonts w:ascii="David" w:hAnsi="David"/>
          <w:sz w:val="24"/>
          <w:sz w:val="24"/>
          <w:szCs w:val="24"/>
          <w:rtl w:val="true"/>
        </w:rPr>
        <w:t>כָּל אָדָם קוֹרֵא כְדַרְכּוֹ</w:t>
      </w:r>
      <w:r>
        <w:rPr>
          <w:rStyle w:val="FootnoteReference"/>
          <w:rFonts w:ascii="David" w:hAnsi="David"/>
          <w:sz w:val="24"/>
          <w:sz w:val="24"/>
          <w:szCs w:val="24"/>
          <w:rtl w:val="true"/>
        </w:rPr>
        <w:footnoteReference w:id="4"/>
      </w:r>
      <w:r>
        <w:rPr>
          <w:rFonts w:cs="David" w:ascii="David" w:hAnsi="David"/>
          <w:sz w:val="24"/>
          <w:szCs w:val="24"/>
          <w:rtl w:val="true"/>
        </w:rPr>
        <w:t xml:space="preserve">, </w:t>
      </w:r>
      <w:r>
        <w:rPr>
          <w:rFonts w:ascii="David" w:hAnsi="David"/>
          <w:sz w:val="24"/>
          <w:sz w:val="24"/>
          <w:szCs w:val="24"/>
          <w:rtl w:val="true"/>
        </w:rPr>
        <w:t xml:space="preserve">שֶׁנֶּאֱמַר </w:t>
      </w:r>
      <w:r>
        <w:rPr>
          <w:rFonts w:cs="David" w:ascii="David" w:hAnsi="David"/>
          <w:sz w:val="24"/>
          <w:szCs w:val="24"/>
          <w:rtl w:val="true"/>
        </w:rPr>
        <w:t>(</w:t>
      </w:r>
      <w:r>
        <w:rPr>
          <w:rFonts w:ascii="David" w:hAnsi="David"/>
          <w:sz w:val="24"/>
          <w:sz w:val="24"/>
          <w:szCs w:val="24"/>
          <w:rtl w:val="true"/>
        </w:rPr>
        <w:t>שם</w:t>
      </w:r>
      <w:r>
        <w:rPr>
          <w:rFonts w:cs="David" w:ascii="David" w:hAnsi="David"/>
          <w:sz w:val="24"/>
          <w:szCs w:val="24"/>
          <w:rtl w:val="true"/>
        </w:rPr>
        <w:t xml:space="preserve">) </w:t>
      </w:r>
      <w:r>
        <w:rPr>
          <w:rFonts w:ascii="David" w:hAnsi="David"/>
          <w:sz w:val="24"/>
          <w:sz w:val="24"/>
          <w:szCs w:val="24"/>
          <w:rtl w:val="true"/>
        </w:rPr>
        <w:t>וּבְלֶכְתְּךָ בַדֶּרֶךְ</w:t>
      </w:r>
      <w:r>
        <w:rPr>
          <w:rStyle w:val="FootnoteReference"/>
          <w:rFonts w:ascii="David" w:hAnsi="David"/>
          <w:sz w:val="24"/>
          <w:sz w:val="24"/>
          <w:szCs w:val="24"/>
          <w:rtl w:val="true"/>
        </w:rPr>
        <w:footnoteReference w:id="5"/>
      </w:r>
      <w:r>
        <w:rPr>
          <w:rFonts w:cs="David" w:ascii="David" w:hAnsi="David"/>
          <w:sz w:val="24"/>
          <w:szCs w:val="24"/>
          <w:rtl w:val="true"/>
        </w:rPr>
        <w:t xml:space="preserve">. </w:t>
      </w:r>
      <w:r>
        <w:rPr>
          <w:rFonts w:ascii="David" w:hAnsi="David"/>
          <w:sz w:val="24"/>
          <w:sz w:val="24"/>
          <w:szCs w:val="24"/>
          <w:rtl w:val="true"/>
        </w:rPr>
        <w:t>אִם כֵּן</w:t>
      </w:r>
      <w:r>
        <w:rPr>
          <w:rFonts w:cs="David" w:ascii="David" w:hAnsi="David"/>
          <w:sz w:val="24"/>
          <w:szCs w:val="24"/>
          <w:rtl w:val="true"/>
        </w:rPr>
        <w:t xml:space="preserve">, </w:t>
      </w:r>
      <w:r>
        <w:rPr>
          <w:rFonts w:ascii="David" w:hAnsi="David"/>
          <w:sz w:val="24"/>
          <w:sz w:val="24"/>
          <w:szCs w:val="24"/>
          <w:rtl w:val="true"/>
        </w:rPr>
        <w:t>לָמָּה נֶאֱמַר וּבְשָׁכְבְּךָ וּבְקוּמֶךָ</w:t>
      </w:r>
      <w:r>
        <w:rPr>
          <w:rFonts w:cs="David" w:ascii="David" w:hAnsi="David"/>
          <w:sz w:val="24"/>
          <w:szCs w:val="24"/>
          <w:rtl w:val="true"/>
        </w:rPr>
        <w:t xml:space="preserve">, </w:t>
      </w:r>
      <w:r>
        <w:rPr>
          <w:rFonts w:ascii="David" w:hAnsi="David"/>
          <w:sz w:val="24"/>
          <w:sz w:val="24"/>
          <w:szCs w:val="24"/>
          <w:rtl w:val="true"/>
        </w:rPr>
        <w:t>בְּשָׁעָה שֶׁבְּנֵי אָדָם שׁוֹכְבִים</w:t>
      </w:r>
      <w:r>
        <w:rPr>
          <w:rFonts w:cs="David" w:ascii="David" w:hAnsi="David"/>
          <w:sz w:val="24"/>
          <w:szCs w:val="24"/>
          <w:rtl w:val="true"/>
        </w:rPr>
        <w:t xml:space="preserve">, </w:t>
      </w:r>
      <w:r>
        <w:rPr>
          <w:rFonts w:ascii="David" w:hAnsi="David"/>
          <w:sz w:val="24"/>
          <w:sz w:val="24"/>
          <w:szCs w:val="24"/>
          <w:rtl w:val="true"/>
        </w:rPr>
        <w:t>וּבְשָׁעָה שֶׁבְּנֵי אָדָם עוֹמְדִים</w:t>
      </w:r>
      <w:r>
        <w:rPr>
          <w:rStyle w:val="FootnoteReference"/>
          <w:rFonts w:ascii="David" w:hAnsi="David"/>
          <w:sz w:val="24"/>
          <w:sz w:val="24"/>
          <w:szCs w:val="24"/>
          <w:rtl w:val="true"/>
        </w:rPr>
        <w:footnoteReference w:id="6"/>
      </w:r>
      <w:r>
        <w:rPr>
          <w:rStyle w:val="FootnoteReference"/>
          <w:rFonts w:ascii="David" w:hAnsi="David"/>
          <w:sz w:val="24"/>
          <w:sz w:val="24"/>
          <w:szCs w:val="24"/>
          <w:rtl w:val="true"/>
        </w:rPr>
        <w:footnoteReference w:id="7"/>
      </w:r>
      <w:r>
        <w:rPr>
          <w:rFonts w:cs="David" w:ascii="David" w:hAnsi="David"/>
          <w:sz w:val="24"/>
          <w:szCs w:val="24"/>
          <w:rtl w:val="true"/>
        </w:rPr>
        <w:t xml:space="preserve">. </w:t>
      </w:r>
      <w:r>
        <w:rPr>
          <w:rFonts w:ascii="David" w:hAnsi="David"/>
          <w:sz w:val="24"/>
          <w:sz w:val="24"/>
          <w:szCs w:val="24"/>
          <w:rtl w:val="true"/>
        </w:rPr>
        <w:t>אָמַר רַבִּי טַרְפוֹן</w:t>
      </w:r>
      <w:r>
        <w:rPr>
          <w:rFonts w:cs="David" w:ascii="David" w:hAnsi="David"/>
          <w:sz w:val="24"/>
          <w:szCs w:val="24"/>
          <w:rtl w:val="true"/>
        </w:rPr>
        <w:t xml:space="preserve">, </w:t>
      </w:r>
      <w:r>
        <w:rPr>
          <w:rFonts w:ascii="David" w:hAnsi="David"/>
          <w:sz w:val="24"/>
          <w:sz w:val="24"/>
          <w:szCs w:val="24"/>
          <w:rtl w:val="true"/>
        </w:rPr>
        <w:t>אֲנִי הָיִיתִי בָא בַדֶּרֶךְ</w:t>
      </w:r>
      <w:r>
        <w:rPr>
          <w:rFonts w:cs="David" w:ascii="David" w:hAnsi="David"/>
          <w:sz w:val="24"/>
          <w:szCs w:val="24"/>
          <w:rtl w:val="true"/>
        </w:rPr>
        <w:t xml:space="preserve">, </w:t>
      </w:r>
      <w:r>
        <w:rPr>
          <w:rFonts w:ascii="David" w:hAnsi="David"/>
          <w:sz w:val="24"/>
          <w:sz w:val="24"/>
          <w:szCs w:val="24"/>
          <w:rtl w:val="true"/>
        </w:rPr>
        <w:t xml:space="preserve">וְהִטֵּתִי לִקְרוֹת </w:t>
      </w:r>
      <w:r>
        <w:rPr>
          <w:rFonts w:cs="David" w:ascii="David" w:hAnsi="David"/>
          <w:sz w:val="24"/>
          <w:szCs w:val="24"/>
          <w:rtl w:val="true"/>
          <w:lang w:bidi="he-IL"/>
        </w:rPr>
        <w:t>[</w:t>
      </w:r>
      <w:r>
        <w:rPr>
          <w:rFonts w:ascii="David" w:hAnsi="David"/>
          <w:sz w:val="24"/>
          <w:sz w:val="24"/>
          <w:szCs w:val="24"/>
          <w:rtl w:val="true"/>
          <w:lang w:bidi="he-IL"/>
        </w:rPr>
        <w:t>ג</w:t>
      </w:r>
      <w:r>
        <w:rPr>
          <w:rFonts w:cs="David" w:ascii="David" w:hAnsi="David"/>
          <w:sz w:val="24"/>
          <w:szCs w:val="24"/>
          <w:rtl w:val="true"/>
          <w:lang w:bidi="he-IL"/>
        </w:rPr>
        <w:t>]</w:t>
      </w:r>
      <w:r>
        <w:rPr>
          <w:rFonts w:cs="David" w:ascii="David" w:hAnsi="David"/>
          <w:sz w:val="24"/>
          <w:szCs w:val="24"/>
          <w:rtl w:val="true"/>
        </w:rPr>
        <w:t xml:space="preserve">, </w:t>
      </w:r>
      <w:r>
        <w:rPr>
          <w:rFonts w:ascii="David" w:hAnsi="David"/>
          <w:sz w:val="24"/>
          <w:sz w:val="24"/>
          <w:szCs w:val="24"/>
          <w:rtl w:val="true"/>
        </w:rPr>
        <w:t>כְּדִבְרֵי בֵית שַׁמַּאי</w:t>
      </w:r>
      <w:r>
        <w:rPr>
          <w:rFonts w:cs="David" w:ascii="David" w:hAnsi="David"/>
          <w:sz w:val="24"/>
          <w:szCs w:val="24"/>
          <w:rtl w:val="true"/>
        </w:rPr>
        <w:t xml:space="preserve">, </w:t>
      </w:r>
      <w:r>
        <w:rPr>
          <w:rFonts w:ascii="David" w:hAnsi="David"/>
          <w:sz w:val="24"/>
          <w:sz w:val="24"/>
          <w:szCs w:val="24"/>
          <w:rtl w:val="true"/>
        </w:rPr>
        <w:t>וְסִכַּנְתִּי בְעַצְמִי מִפְּנֵי הַלִּסְטִים</w:t>
      </w:r>
      <w:r>
        <w:rPr>
          <w:rFonts w:cs="David" w:ascii="David" w:hAnsi="David"/>
          <w:sz w:val="24"/>
          <w:szCs w:val="24"/>
          <w:rtl w:val="true"/>
        </w:rPr>
        <w:t xml:space="preserve">. </w:t>
      </w:r>
      <w:r>
        <w:rPr>
          <w:rFonts w:ascii="David" w:hAnsi="David"/>
          <w:sz w:val="24"/>
          <w:sz w:val="24"/>
          <w:szCs w:val="24"/>
          <w:rtl w:val="true"/>
        </w:rPr>
        <w:t>אָמְרוּ לוֹ</w:t>
      </w:r>
      <w:r>
        <w:rPr>
          <w:rFonts w:cs="David" w:ascii="David" w:hAnsi="David"/>
          <w:sz w:val="24"/>
          <w:szCs w:val="24"/>
          <w:rtl w:val="true"/>
        </w:rPr>
        <w:t xml:space="preserve">, </w:t>
      </w:r>
      <w:r>
        <w:rPr>
          <w:rFonts w:ascii="David" w:hAnsi="David"/>
          <w:sz w:val="24"/>
          <w:sz w:val="24"/>
          <w:szCs w:val="24"/>
          <w:rtl w:val="true"/>
        </w:rPr>
        <w:t>כְּדַי הָיִיתָ לָחוּב בְּעַצְמְךָ</w:t>
      </w:r>
      <w:r>
        <w:rPr>
          <w:rStyle w:val="FootnoteReference"/>
          <w:rFonts w:ascii="David" w:hAnsi="David"/>
          <w:sz w:val="24"/>
          <w:sz w:val="24"/>
          <w:szCs w:val="24"/>
          <w:rtl w:val="true"/>
        </w:rPr>
        <w:footnoteReference w:id="8"/>
      </w:r>
      <w:r>
        <w:rPr>
          <w:rFonts w:cs="David" w:ascii="David" w:hAnsi="David"/>
          <w:sz w:val="24"/>
          <w:szCs w:val="24"/>
          <w:rtl w:val="true"/>
        </w:rPr>
        <w:t xml:space="preserve">, </w:t>
      </w:r>
      <w:r>
        <w:rPr>
          <w:rFonts w:ascii="David" w:hAnsi="David"/>
          <w:sz w:val="24"/>
          <w:sz w:val="24"/>
          <w:szCs w:val="24"/>
          <w:rtl w:val="true"/>
        </w:rPr>
        <w:t>שֶׁעָבַרְתָּ עַל דִּבְרֵי בֵית הִלֵּל</w:t>
      </w:r>
      <w:r>
        <w:rPr>
          <w:rFonts w:cs="David" w:ascii="David" w:hAnsi="David"/>
          <w:sz w:val="24"/>
          <w:szCs w:val="24"/>
          <w:rtl w:val="true"/>
        </w:rPr>
        <w:t>:</w:t>
      </w:r>
      <w:r>
        <w:rPr>
          <w:rStyle w:val="FootnoteReference"/>
          <w:rFonts w:cs="David" w:ascii="David" w:hAnsi="David"/>
          <w:sz w:val="24"/>
          <w:szCs w:val="24"/>
          <w:rtl w:val="true"/>
        </w:rPr>
        <w:footnoteReference w:id="9"/>
      </w:r>
      <w:r>
        <w:rPr>
          <w:rFonts w:cs="David" w:ascii="David" w:hAnsi="David"/>
          <w:sz w:val="24"/>
          <w:szCs w:val="24"/>
          <w:rtl w:val="true"/>
        </w:rPr>
        <w:t xml:space="preserve"> 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David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משנה ג</w:t>
      </w:r>
    </w:p>
  </w:footnote>
  <w:footnote w:id="3">
    <w:p>
      <w:pPr>
        <w:pStyle w:val="FootnoteText"/>
        <w:suppressLineNumbers/>
        <w:spacing w:before="86" w:after="86"/>
        <w:ind w:hanging="340" w:start="340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b/>
          <w:b/>
          <w:bCs/>
          <w:rtl w:val="true"/>
          <w:lang w:bidi="he-IL"/>
        </w:rPr>
        <w:t>הקדמה</w:t>
      </w:r>
      <w:r>
        <w:rPr>
          <w:b/>
          <w:bCs/>
          <w:rtl w:val="true"/>
          <w:lang w:bidi="he-IL"/>
        </w:rPr>
        <w:t>:</w:t>
      </w:r>
    </w:p>
    <w:p>
      <w:pPr>
        <w:pStyle w:val="FootnoteText"/>
        <w:spacing w:before="86" w:after="86"/>
        <w:rPr>
          <w:b/>
          <w:bCs/>
          <w:lang w:bidi="he-IL"/>
        </w:rPr>
      </w:pPr>
      <w:r>
        <w:rPr>
          <w:b/>
          <w:bCs/>
          <w:rtl w:val="true"/>
          <w:lang w:bidi="he-IL"/>
        </w:rPr>
        <w:tab/>
      </w:r>
      <w:r>
        <w:rPr>
          <w:b w:val="false"/>
          <w:b w:val="false"/>
          <w:bCs w:val="false"/>
          <w:rtl w:val="true"/>
          <w:lang w:bidi="he-IL"/>
        </w:rPr>
        <w:t>משנה זה ממשיך לבאר באיזה אופן לקרוא קריאת שמע – כשהוא עומד או מוטה או בכל דרך שרוצה</w:t>
      </w:r>
      <w:r>
        <w:rPr>
          <w:b w:val="false"/>
          <w:bCs w:val="false"/>
          <w:rtl w:val="true"/>
          <w:lang w:bidi="he-IL"/>
        </w:rPr>
        <w:t>.</w:t>
      </w:r>
    </w:p>
  </w:footnote>
  <w:footnote w:id="4">
    <w:p>
      <w:pPr>
        <w:pStyle w:val="FootnoteText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כל אדם יכול לקרוא מעומד או מוטה או בכל אופן שירצה</w:t>
      </w:r>
      <w:r>
        <w:rPr>
          <w:rtl w:val="true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אפשר שיש יוצא מכלל זה</w:t>
      </w:r>
      <w:r>
        <w:rPr>
          <w:rtl w:val="true"/>
          <w:lang w:bidi="he-IL"/>
        </w:rPr>
        <w:t xml:space="preserve">: </w:t>
      </w:r>
    </w:p>
    <w:p>
      <w:pPr>
        <w:pStyle w:val="FootnoteText"/>
        <w:spacing w:before="86" w:after="86"/>
        <w:rPr/>
      </w:pPr>
      <w:r>
        <w:rPr>
          <w:rtl w:val="true"/>
          <w:lang w:bidi="he-IL"/>
        </w:rPr>
        <w:tab/>
      </w:r>
      <w:r>
        <w:rPr>
          <w:rtl w:val="true"/>
        </w:rPr>
        <w:t xml:space="preserve">חולקים בגמרא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אם</w:t>
      </w:r>
      <w:r>
        <w:rPr>
          <w:rtl w:val="true"/>
        </w:rPr>
        <w:t>,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לפי בית הלל</w:t>
      </w:r>
      <w:r>
        <w:rPr>
          <w:rtl w:val="true"/>
          <w:lang w:bidi="he-IL"/>
        </w:rPr>
        <w:t xml:space="preserve">,  </w:t>
      </w:r>
      <w:r>
        <w:rPr>
          <w:rtl w:val="true"/>
        </w:rPr>
        <w:t xml:space="preserve">יוצאים אם עומד לקרוא קריאת שמע </w:t>
      </w:r>
      <w:r>
        <w:rPr>
          <w:rtl w:val="true"/>
          <w:lang w:bidi="he-IL"/>
        </w:rPr>
        <w:t>בבוקר</w:t>
      </w:r>
      <w:r>
        <w:rPr>
          <w:rtl w:val="true"/>
        </w:rPr>
        <w:t xml:space="preserve"> </w:t>
      </w:r>
      <w:r>
        <w:rPr>
          <w:rtl w:val="true"/>
          <w:lang w:bidi="he-IL"/>
        </w:rPr>
        <w:t>או מטה לקרוא קריאת שמע בערב</w:t>
      </w:r>
      <w:r>
        <w:rPr>
          <w:rtl w:val="true"/>
        </w:rPr>
        <w:t xml:space="preserve">, </w:t>
      </w:r>
      <w:r>
        <w:rPr>
          <w:rtl w:val="true"/>
        </w:rPr>
        <w:t>שרב יחזקאל אמר שיצא</w:t>
      </w:r>
      <w:r>
        <w:rPr>
          <w:rtl w:val="true"/>
        </w:rPr>
        <w:t xml:space="preserve">, </w:t>
      </w:r>
      <w:r>
        <w:rPr>
          <w:rtl w:val="true"/>
        </w:rPr>
        <w:t>ורב יוסף אמר שכיון שעשה כבית שמאי</w:t>
      </w:r>
      <w:r>
        <w:rPr>
          <w:rtl w:val="true"/>
        </w:rPr>
        <w:t xml:space="preserve">, </w:t>
      </w:r>
      <w:r>
        <w:rPr>
          <w:rtl w:val="true"/>
        </w:rPr>
        <w:t>לא יצא</w:t>
      </w:r>
      <w:r>
        <w:rPr>
          <w:rtl w:val="true"/>
        </w:rPr>
        <w:t xml:space="preserve">. </w:t>
      </w:r>
      <w:r>
        <w:rPr>
          <w:rtl w:val="true"/>
          <w:lang w:bidi="he-IL"/>
        </w:rPr>
        <w:t>[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>]</w:t>
      </w:r>
    </w:p>
  </w:footnote>
  <w:footnote w:id="5">
    <w:p>
      <w:pPr>
        <w:pStyle w:val="FootnoteText"/>
        <w:suppressLineNumbers/>
        <w:spacing w:before="86" w:after="86"/>
        <w:ind w:hanging="340" w:start="340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 xml:space="preserve">בית שמאי דוחים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שלומדים מכאן פטור לחתן הנושא בתולה</w:t>
      </w:r>
      <w:r>
        <w:rPr>
          <w:rtl w:val="true"/>
        </w:rPr>
        <w:t xml:space="preserve">, </w:t>
      </w:r>
      <w:r>
        <w:rPr>
          <w:rtl w:val="true"/>
          <w:lang w:bidi="he-IL"/>
        </w:rPr>
        <w:t>שמשמע שרק חייב ב”לכת דידך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שהוא בהליכה שאינה לצורך מצווה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לומדים מ</w:t>
      </w:r>
      <w:r>
        <w:rPr>
          <w:rtl w:val="true"/>
        </w:rPr>
        <w:t>"</w:t>
      </w:r>
      <w:r>
        <w:rPr>
          <w:rtl w:val="true"/>
        </w:rPr>
        <w:t>בשבתך</w:t>
      </w:r>
      <w:r>
        <w:rPr>
          <w:rtl w:val="true"/>
        </w:rPr>
        <w:t xml:space="preserve">" </w:t>
      </w:r>
      <w:r>
        <w:rPr>
          <w:rtl w:val="true"/>
        </w:rPr>
        <w:t>פטור לעוסק במצווה</w:t>
      </w:r>
      <w:r>
        <w:rPr>
          <w:rtl w:val="true"/>
        </w:rPr>
        <w:t xml:space="preserve">, </w:t>
      </w:r>
      <w:r>
        <w:rPr>
          <w:rtl w:val="true"/>
          <w:lang w:bidi="he-IL"/>
        </w:rPr>
        <w:t>שרק חייב בשיבה שלך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בשיבה שאינה לצורך מצווה</w:t>
      </w:r>
      <w:r>
        <w:rPr>
          <w:rtl w:val="true"/>
          <w:lang w:bidi="he-IL"/>
        </w:rPr>
        <w:t>.</w:t>
      </w:r>
    </w:p>
    <w:p>
      <w:pPr>
        <w:pStyle w:val="FootnoteText"/>
        <w:suppressLineNumbers/>
        <w:spacing w:before="86" w:after="86"/>
        <w:ind w:hanging="340" w:start="340"/>
        <w:rPr/>
      </w:pPr>
      <w:r>
        <w:rPr>
          <w:rtl w:val="true"/>
        </w:rPr>
        <w:tab/>
      </w:r>
      <w:r>
        <w:rPr>
          <w:rtl w:val="true"/>
        </w:rPr>
        <w:t>בית הלל סוברים שיכולים לדרוש שני הדברים מ“ובלכתך בדרך</w:t>
      </w:r>
      <w:r>
        <w:rPr>
          <w:rtl w:val="true"/>
        </w:rPr>
        <w:t xml:space="preserve">,” </w:t>
      </w:r>
      <w:r>
        <w:rPr>
          <w:rtl w:val="true"/>
          <w:lang w:bidi="he-IL"/>
        </w:rPr>
        <w:t>שכיון שמחייב את מי שהולך בדרך של רשות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ומזה ממעט הולך בדרך של מצווה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רואים שמי שהולך בדרך חייב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יקרא בדרך שלו</w:t>
      </w:r>
      <w:r>
        <w:rPr>
          <w:rtl w:val="true"/>
          <w:lang w:bidi="he-IL"/>
        </w:rPr>
        <w:t>. [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>]</w:t>
      </w:r>
    </w:p>
  </w:footnote>
  <w:footnote w:id="6">
    <w:p>
      <w:pPr>
        <w:pStyle w:val="FootnoteText"/>
        <w:suppressLineNumbers/>
        <w:spacing w:before="86" w:after="86"/>
        <w:ind w:hanging="340" w:start="340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 xml:space="preserve">בית שמאי דוחים </w:t>
      </w:r>
      <w:r>
        <w:rPr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.</w:t>
      </w:r>
      <w:r>
        <w:rPr>
          <w:rtl w:val="true"/>
        </w:rPr>
        <w:t xml:space="preserve">)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 xml:space="preserve">היה לו לומר </w:t>
      </w:r>
      <w:r>
        <w:rPr>
          <w:rtl w:val="true"/>
        </w:rPr>
        <w:t>"</w:t>
      </w:r>
      <w:r>
        <w:rPr>
          <w:rtl w:val="true"/>
        </w:rPr>
        <w:t>בבקר ובערב</w:t>
      </w:r>
      <w:r>
        <w:rPr>
          <w:rtl w:val="true"/>
        </w:rPr>
        <w:t xml:space="preserve">.” </w:t>
      </w:r>
      <w:r>
        <w:rPr>
          <w:rtl w:val="true"/>
        </w:rPr>
        <w:t>לשון הקרא משמע שקורא בשכיבה בשעת שכיבה ובקומה בשעת קימה</w:t>
      </w:r>
      <w:r>
        <w:rPr>
          <w:rtl w:val="true"/>
        </w:rPr>
        <w:t>.</w:t>
      </w:r>
    </w:p>
  </w:footnote>
  <w:footnote w:id="7">
    <w:p>
      <w:pPr>
        <w:pStyle w:val="FootnoteText"/>
        <w:suppressLineNumbers/>
        <w:spacing w:before="86" w:after="86"/>
        <w:ind w:hanging="340" w:start="340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לא פשוט לי מהיכי תיתי לבית שמאי דין זה של זמן קריאת שמע</w:t>
      </w:r>
      <w:r>
        <w:rPr>
          <w:rtl w:val="true"/>
        </w:rPr>
        <w:t>.</w:t>
      </w:r>
    </w:p>
  </w:footnote>
  <w:footnote w:id="8">
    <w:p>
      <w:pPr>
        <w:pStyle w:val="FootnoteText"/>
        <w:suppressLineNumbers/>
        <w:spacing w:before="86" w:after="86"/>
        <w:ind w:hanging="340" w:start="340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 xml:space="preserve">מכאן לומד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שכל העושה כדברי בית שמאי חייב מיתה</w:t>
      </w:r>
      <w:r>
        <w:rPr>
          <w:rtl w:val="true"/>
        </w:rPr>
        <w:t>.</w:t>
      </w:r>
    </w:p>
  </w:footnote>
  <w:footnote w:id="9">
    <w:p>
      <w:pPr>
        <w:pStyle w:val="FootnoteText"/>
        <w:suppressLineNumbers/>
        <w:spacing w:before="86" w:after="86"/>
        <w:ind w:hanging="340" w:start="340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b/>
          <w:b/>
          <w:bCs/>
          <w:rtl w:val="true"/>
          <w:lang w:bidi="he-IL"/>
        </w:rPr>
        <w:t>דיני המשנה</w:t>
      </w:r>
      <w:r>
        <w:rPr>
          <w:b/>
          <w:bCs/>
          <w:rtl w:val="true"/>
          <w:lang w:bidi="he-IL"/>
        </w:rPr>
        <w:t>:</w:t>
      </w:r>
    </w:p>
    <w:p>
      <w:pPr>
        <w:pStyle w:val="FootnoteText"/>
        <w:numPr>
          <w:ilvl w:val="0"/>
          <w:numId w:val="1"/>
        </w:numPr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באיזה אופן יקרא אדם ק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ש בערב</w:t>
      </w:r>
      <w:r>
        <w:rPr>
          <w:b w:val="false"/>
          <w:bCs w:val="false"/>
          <w:rtl w:val="true"/>
          <w:lang w:bidi="he-IL"/>
        </w:rPr>
        <w:t>:</w:t>
      </w:r>
    </w:p>
    <w:p>
      <w:pPr>
        <w:pStyle w:val="FootnoteText"/>
        <w:numPr>
          <w:ilvl w:val="1"/>
          <w:numId w:val="1"/>
        </w:numPr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בית שמאי – יטה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שכ’</w:t>
      </w:r>
      <w:r>
        <w:rPr>
          <w:b w:val="false"/>
          <w:bCs w:val="false"/>
          <w:rtl w:val="true"/>
          <w:lang w:bidi="he-IL"/>
        </w:rPr>
        <w:t>, “</w:t>
      </w:r>
      <w:r>
        <w:rPr>
          <w:b w:val="false"/>
          <w:b w:val="false"/>
          <w:bCs w:val="false"/>
          <w:rtl w:val="true"/>
          <w:lang w:bidi="he-IL"/>
        </w:rPr>
        <w:t>בשכבך</w:t>
      </w:r>
      <w:r>
        <w:rPr>
          <w:b w:val="false"/>
          <w:bCs w:val="false"/>
          <w:rtl w:val="true"/>
          <w:lang w:bidi="he-IL"/>
        </w:rPr>
        <w:t>.”</w:t>
      </w:r>
    </w:p>
    <w:p>
      <w:pPr>
        <w:pStyle w:val="FootnoteText"/>
        <w:numPr>
          <w:ilvl w:val="1"/>
          <w:numId w:val="1"/>
        </w:numPr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בית הלל – יעשה מה שרוצה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שכ’</w:t>
      </w:r>
      <w:r>
        <w:rPr>
          <w:b w:val="false"/>
          <w:bCs w:val="false"/>
          <w:rtl w:val="true"/>
          <w:lang w:bidi="he-IL"/>
        </w:rPr>
        <w:t>, “</w:t>
      </w:r>
      <w:r>
        <w:rPr>
          <w:b w:val="false"/>
          <w:b w:val="false"/>
          <w:bCs w:val="false"/>
          <w:rtl w:val="true"/>
          <w:lang w:bidi="he-IL"/>
        </w:rPr>
        <w:t>בלכתך בדרך</w:t>
      </w:r>
      <w:r>
        <w:rPr>
          <w:b w:val="false"/>
          <w:bCs w:val="false"/>
          <w:rtl w:val="true"/>
          <w:lang w:bidi="he-IL"/>
        </w:rPr>
        <w:t>.”</w:t>
      </w:r>
    </w:p>
    <w:p>
      <w:pPr>
        <w:pStyle w:val="FootnoteText"/>
        <w:numPr>
          <w:ilvl w:val="0"/>
          <w:numId w:val="1"/>
        </w:numPr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באיזה אופן יקרא אדם ק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ש בבוקר</w:t>
      </w:r>
      <w:r>
        <w:rPr>
          <w:b w:val="false"/>
          <w:bCs w:val="false"/>
          <w:rtl w:val="true"/>
          <w:lang w:bidi="he-IL"/>
        </w:rPr>
        <w:t>:</w:t>
      </w:r>
    </w:p>
    <w:p>
      <w:pPr>
        <w:pStyle w:val="FootnoteText"/>
        <w:numPr>
          <w:ilvl w:val="1"/>
          <w:numId w:val="1"/>
        </w:numPr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בית שמאי – יעמוד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שכ’</w:t>
      </w:r>
      <w:r>
        <w:rPr>
          <w:b w:val="false"/>
          <w:bCs w:val="false"/>
          <w:rtl w:val="true"/>
          <w:lang w:bidi="he-IL"/>
        </w:rPr>
        <w:t>, “</w:t>
      </w:r>
      <w:r>
        <w:rPr>
          <w:b w:val="false"/>
          <w:b w:val="false"/>
          <w:bCs w:val="false"/>
          <w:rtl w:val="true"/>
          <w:lang w:bidi="he-IL"/>
        </w:rPr>
        <w:t>ובקומך</w:t>
      </w:r>
      <w:r>
        <w:rPr>
          <w:b w:val="false"/>
          <w:bCs w:val="false"/>
          <w:rtl w:val="true"/>
          <w:lang w:bidi="he-IL"/>
        </w:rPr>
        <w:t>.”</w:t>
      </w:r>
    </w:p>
    <w:p>
      <w:pPr>
        <w:pStyle w:val="FootnoteText"/>
        <w:numPr>
          <w:ilvl w:val="1"/>
          <w:numId w:val="1"/>
        </w:numPr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בית הלל – יעשה מה שרוצה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שכ’</w:t>
      </w:r>
      <w:r>
        <w:rPr>
          <w:b w:val="false"/>
          <w:bCs w:val="false"/>
          <w:rtl w:val="true"/>
          <w:lang w:bidi="he-IL"/>
        </w:rPr>
        <w:t>, “</w:t>
      </w:r>
      <w:r>
        <w:rPr>
          <w:b w:val="false"/>
          <w:b w:val="false"/>
          <w:bCs w:val="false"/>
          <w:rtl w:val="true"/>
          <w:lang w:bidi="he-IL"/>
        </w:rPr>
        <w:t>בלכתך בדרך</w:t>
      </w:r>
      <w:r>
        <w:rPr>
          <w:b w:val="false"/>
          <w:bCs w:val="false"/>
          <w:rtl w:val="true"/>
          <w:lang w:bidi="he-IL"/>
        </w:rPr>
        <w:t>.”</w:t>
      </w:r>
    </w:p>
    <w:p>
      <w:pPr>
        <w:pStyle w:val="FootnoteText"/>
        <w:numPr>
          <w:ilvl w:val="0"/>
          <w:numId w:val="1"/>
        </w:numPr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הלכה כבית הלל</w:t>
      </w:r>
      <w:r>
        <w:rPr>
          <w:b w:val="false"/>
          <w:bCs w:val="false"/>
          <w:rtl w:val="true"/>
          <w:lang w:bidi="he-IL"/>
        </w:rPr>
        <w:t>:</w:t>
      </w:r>
    </w:p>
    <w:p>
      <w:pPr>
        <w:pStyle w:val="FootnoteText"/>
        <w:numPr>
          <w:ilvl w:val="1"/>
          <w:numId w:val="1"/>
        </w:numPr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אדם חייב לעשות כבית הלל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FootnoteText"/>
        <w:numPr>
          <w:ilvl w:val="1"/>
          <w:numId w:val="1"/>
        </w:numPr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אם לא עושה כב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מתחייב בנפשו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FootnoteText"/>
        <w:numPr>
          <w:ilvl w:val="1"/>
          <w:numId w:val="1"/>
        </w:numPr>
        <w:spacing w:before="86" w:after="86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אם לא עושה כב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חולקים אמוראים אם יוצא מצוות קריאת שמע או לא יוצא</w:t>
      </w:r>
      <w:r>
        <w:rPr>
          <w:b w:val="false"/>
          <w:bCs w:val="false"/>
          <w:rtl w:val="true"/>
          <w:lang w:bidi="he-IL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end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end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end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end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end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end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1"/>
      <w:spacing w:lineRule="auto" w:line="276" w:before="86" w:after="86"/>
      <w:jc w:val="start"/>
    </w:pPr>
    <w:rPr>
      <w:rFonts w:ascii="Liberation Serif" w:hAnsi="Liberation Serif" w:eastAsia="NSimSun" w:cs="David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86" w:after="86"/>
      <w:outlineLvl w:val="1"/>
    </w:pPr>
    <w:rPr>
      <w:rFonts w:ascii="Arial" w:hAnsi="Arial" w:eastAsia="DejaVu Sans" w:cs="David" w:asciiTheme="majorHAnsi" w:eastAsiaTheme="majorEastAsia" w:hAnsiTheme="majorHAnsi"/>
      <w:bCs/>
      <w:color w:val="auto"/>
      <w:sz w:val="32"/>
      <w:szCs w:val="24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LibreOffice/25.2.6.2$Windows_X86_64 LibreOffice_project/729c5bfe710f5eb71ed3bbde9e06a6065e9c6c5d</Application>
  <AppVersion>15.0000</AppVersion>
  <Pages>1</Pages>
  <Words>332</Words>
  <Characters>1384</Characters>
  <CharactersWithSpaces>1702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2025-11-12T15:05:45Z</dcterms:created>
  <dc:creator/>
  <dc:description/>
  <dc:language>en-US</dc:language>
  <cp:lastModifiedBy/>
  <dcterms:modified xsi:type="dcterms:W3CDTF">2025-11-13T13:19:51Z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