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38C6" w14:textId="77777777" w:rsidR="00E86587" w:rsidRDefault="00000000">
      <w:pPr>
        <w:pStyle w:val="Heading2"/>
      </w:pPr>
      <w:r>
        <w:rPr>
          <w:rtl/>
        </w:rPr>
        <w:t>משנה ד</w:t>
      </w:r>
      <w:r>
        <w:rPr>
          <w:rStyle w:val="FootnoteReference"/>
          <w:rtl/>
        </w:rPr>
        <w:footnoteReference w:id="1"/>
      </w:r>
    </w:p>
    <w:p w14:paraId="4B87DD65" w14:textId="5EBE79DB" w:rsidR="00E86587" w:rsidRDefault="007A1BDF">
      <w:pPr>
        <w:rPr>
          <w:sz w:val="28"/>
          <w:szCs w:val="28"/>
        </w:rPr>
      </w:pPr>
      <w:r>
        <w:rPr>
          <w:rStyle w:val="FootnoteReference"/>
          <w:rtl/>
        </w:rPr>
        <w:footnoteReference w:id="2"/>
      </w:r>
      <w:r>
        <w:rPr>
          <w:rtl/>
        </w:rPr>
        <w:t>בַּשַּׁחַר</w:t>
      </w:r>
      <w:r>
        <w:rPr>
          <w:rStyle w:val="FootnoteReference"/>
          <w:rtl/>
        </w:rPr>
        <w:footnoteReference w:id="3"/>
      </w:r>
      <w:r>
        <w:rPr>
          <w:rtl/>
        </w:rPr>
        <w:t xml:space="preserve"> מְבָרֵךְ שְׁתַּיִם</w:t>
      </w:r>
      <w:r>
        <w:rPr>
          <w:rtl/>
          <w:lang w:bidi="he-IL"/>
        </w:rPr>
        <w:t xml:space="preserve"> [</w:t>
      </w:r>
      <w:r w:rsidR="0079008D">
        <w:rPr>
          <w:rFonts w:hint="cs"/>
          <w:rtl/>
          <w:lang w:bidi="he-IL"/>
        </w:rPr>
        <w:t>ד</w:t>
      </w:r>
      <w:r>
        <w:rPr>
          <w:rtl/>
          <w:lang w:bidi="he-IL"/>
        </w:rPr>
        <w:t xml:space="preserve">] </w:t>
      </w:r>
      <w:r>
        <w:rPr>
          <w:rtl/>
        </w:rPr>
        <w:t>לְפָנֶיהָ</w:t>
      </w:r>
      <w:r>
        <w:rPr>
          <w:rStyle w:val="FootnoteReference"/>
          <w:rtl/>
        </w:rPr>
        <w:footnoteReference w:id="4"/>
      </w:r>
      <w:r>
        <w:rPr>
          <w:rtl/>
        </w:rPr>
        <w:t xml:space="preserve"> וְאַחַת לְאַחֲרֶיהָ</w:t>
      </w:r>
      <w:r>
        <w:rPr>
          <w:rStyle w:val="FootnoteReference"/>
          <w:rtl/>
        </w:rPr>
        <w:footnoteReference w:id="5"/>
      </w:r>
      <w:r>
        <w:rPr>
          <w:rtl/>
        </w:rPr>
        <w:t>, וּבָעֶרֶב שְׁתַּיִם לְפָנֶיהָ</w:t>
      </w:r>
      <w:r>
        <w:rPr>
          <w:rStyle w:val="FootnoteReference"/>
          <w:rtl/>
        </w:rPr>
        <w:footnoteReference w:id="6"/>
      </w:r>
      <w:r>
        <w:rPr>
          <w:rtl/>
        </w:rPr>
        <w:t xml:space="preserve"> וּשְׁתַּיִם לְאַחֲרֶיהָ</w:t>
      </w:r>
      <w:r>
        <w:rPr>
          <w:rStyle w:val="FootnoteReference"/>
          <w:rtl/>
        </w:rPr>
        <w:footnoteReference w:id="7"/>
      </w:r>
      <w:r>
        <w:rPr>
          <w:rtl/>
        </w:rPr>
        <w:t xml:space="preserve"> </w:t>
      </w:r>
      <w:r>
        <w:rPr>
          <w:rtl/>
          <w:lang w:bidi="he-IL"/>
        </w:rPr>
        <w:t>[</w:t>
      </w:r>
      <w:r w:rsidR="0079008D">
        <w:rPr>
          <w:rFonts w:hint="cs"/>
          <w:rtl/>
          <w:lang w:bidi="he-IL"/>
        </w:rPr>
        <w:t>ה</w:t>
      </w:r>
      <w:r>
        <w:rPr>
          <w:rtl/>
          <w:lang w:bidi="he-IL"/>
        </w:rPr>
        <w:t>] [</w:t>
      </w:r>
      <w:r w:rsidR="0079008D">
        <w:rPr>
          <w:rFonts w:hint="cs"/>
          <w:rtl/>
          <w:lang w:bidi="he-IL"/>
        </w:rPr>
        <w:t>ו</w:t>
      </w:r>
      <w:r>
        <w:rPr>
          <w:rtl/>
          <w:lang w:bidi="he-IL"/>
        </w:rPr>
        <w:t>],</w:t>
      </w:r>
      <w:r>
        <w:rPr>
          <w:rtl/>
        </w:rPr>
        <w:t xml:space="preserve"> אַחַת אֲרֻכָּה וְאַחַת קְצָרָה</w:t>
      </w:r>
      <w:r>
        <w:rPr>
          <w:rStyle w:val="FootnoteReference"/>
          <w:rtl/>
        </w:rPr>
        <w:footnoteReference w:id="8"/>
      </w:r>
      <w:r>
        <w:rPr>
          <w:rtl/>
        </w:rPr>
        <w:t>. מָקוֹם שֶׁאָמְרוּ לְהַאֲרִיךְ</w:t>
      </w:r>
      <w:r>
        <w:rPr>
          <w:rStyle w:val="FootnoteReference"/>
          <w:rtl/>
        </w:rPr>
        <w:footnoteReference w:id="9"/>
      </w:r>
      <w:r>
        <w:rPr>
          <w:rtl/>
        </w:rPr>
        <w:t xml:space="preserve">, אֵינוֹ רַשַּׁאי לְקַצֵּר. לְקַצֵּר, אֵינוֹ רַשַּׁאי לְהַאֲרִיךְ. </w:t>
      </w:r>
      <w:r>
        <w:rPr>
          <w:rStyle w:val="FootnoteReference"/>
          <w:rtl/>
        </w:rPr>
        <w:footnoteReference w:id="10"/>
      </w:r>
      <w:r>
        <w:rPr>
          <w:rtl/>
        </w:rPr>
        <w:t>לַחְתֹּם</w:t>
      </w:r>
      <w:r>
        <w:rPr>
          <w:rStyle w:val="FootnoteReference"/>
          <w:rtl/>
        </w:rPr>
        <w:footnoteReference w:id="11"/>
      </w:r>
      <w:r>
        <w:rPr>
          <w:rtl/>
        </w:rPr>
        <w:t>, אֵינוֹ רַשַּׁאי שֶׁלֹּא לַחְתֹּם</w:t>
      </w:r>
      <w:r>
        <w:rPr>
          <w:rStyle w:val="FootnoteReference"/>
          <w:rtl/>
        </w:rPr>
        <w:footnoteReference w:id="12"/>
      </w:r>
      <w:r>
        <w:rPr>
          <w:rtl/>
        </w:rPr>
        <w:t>. וְשֶׁלֹּא לַחְתֹּם</w:t>
      </w:r>
      <w:r w:rsidR="002D4A5D">
        <w:rPr>
          <w:rStyle w:val="FootnoteReference"/>
          <w:rtl/>
        </w:rPr>
        <w:footnoteReference w:id="13"/>
      </w:r>
      <w:r>
        <w:rPr>
          <w:rtl/>
        </w:rPr>
        <w:t>, אֵינוֹ רַשַּׁאי לַחְתֹּם:</w:t>
      </w:r>
      <w:r w:rsidR="00AC631B">
        <w:rPr>
          <w:rStyle w:val="FootnoteReference"/>
          <w:rtl/>
        </w:rPr>
        <w:footnoteReference w:id="14"/>
      </w:r>
      <w:r>
        <w:rPr>
          <w:rtl/>
        </w:rPr>
        <w:t xml:space="preserve"> </w:t>
      </w:r>
    </w:p>
    <w:p w14:paraId="364540E3" w14:textId="77777777" w:rsidR="00E86587" w:rsidRDefault="00E86587">
      <w:pPr>
        <w:rPr>
          <w:sz w:val="28"/>
          <w:szCs w:val="28"/>
        </w:rPr>
      </w:pPr>
    </w:p>
    <w:sectPr w:rsidR="00E86587">
      <w:pgSz w:w="12240" w:h="15840"/>
      <w:pgMar w:top="1134" w:right="1134" w:bottom="1134" w:left="1134" w:header="0" w:footer="0" w:gutter="0"/>
      <w:cols w:space="720"/>
      <w:formProt w:val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77BA6" w14:textId="77777777" w:rsidR="00737774" w:rsidRDefault="00737774">
      <w:pPr>
        <w:spacing w:before="0" w:after="0" w:line="240" w:lineRule="auto"/>
      </w:pPr>
      <w:r>
        <w:separator/>
      </w:r>
    </w:p>
  </w:endnote>
  <w:endnote w:type="continuationSeparator" w:id="0">
    <w:p w14:paraId="48C80ADA" w14:textId="77777777" w:rsidR="00737774" w:rsidRDefault="007377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046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A3664" w14:textId="77777777" w:rsidR="00737774" w:rsidRDefault="00737774">
      <w:pPr>
        <w:rPr>
          <w:sz w:val="12"/>
        </w:rPr>
      </w:pPr>
      <w:r>
        <w:separator/>
      </w:r>
    </w:p>
  </w:footnote>
  <w:footnote w:type="continuationSeparator" w:id="0">
    <w:p w14:paraId="3D090B1A" w14:textId="77777777" w:rsidR="00737774" w:rsidRDefault="00737774">
      <w:pPr>
        <w:rPr>
          <w:sz w:val="12"/>
        </w:rPr>
      </w:pPr>
      <w:r>
        <w:continuationSeparator/>
      </w:r>
    </w:p>
  </w:footnote>
  <w:footnote w:id="1">
    <w:p w14:paraId="38CDE6BE" w14:textId="77777777" w:rsidR="00E86587" w:rsidRDefault="00000000">
      <w:pPr>
        <w:pStyle w:val="FootnoteText"/>
        <w:rPr>
          <w:b/>
          <w:bCs/>
        </w:rPr>
      </w:pPr>
      <w:r>
        <w:rPr>
          <w:rStyle w:val="FootnoteCharacters"/>
        </w:rPr>
        <w:footnoteRef/>
      </w:r>
      <w:r>
        <w:rPr>
          <w:b/>
          <w:bCs/>
          <w:rtl/>
        </w:rPr>
        <w:tab/>
        <w:t>משנה ד</w:t>
      </w:r>
    </w:p>
  </w:footnote>
  <w:footnote w:id="2">
    <w:p w14:paraId="387E605D" w14:textId="49D2D911" w:rsidR="007A1BDF" w:rsidRDefault="007A1BDF">
      <w:pPr>
        <w:pStyle w:val="FootnoteText"/>
        <w:rPr>
          <w:b/>
          <w:bCs/>
          <w:rtl/>
          <w:lang w:bidi="he-IL"/>
        </w:rPr>
      </w:pPr>
      <w:r>
        <w:rPr>
          <w:rStyle w:val="FootnoteReference"/>
        </w:rPr>
        <w:footnoteRef/>
      </w:r>
      <w:r>
        <w:rPr>
          <w:rtl/>
          <w:lang w:bidi="he-IL"/>
        </w:rPr>
        <w:t xml:space="preserve"> </w:t>
      </w:r>
      <w:r>
        <w:rPr>
          <w:rtl/>
          <w:lang w:bidi="he-IL"/>
        </w:rPr>
        <w:tab/>
      </w:r>
      <w:r>
        <w:rPr>
          <w:rFonts w:hint="cs"/>
          <w:b/>
          <w:bCs/>
          <w:rtl/>
          <w:lang w:bidi="he-IL"/>
        </w:rPr>
        <w:t>הקדמה:</w:t>
      </w:r>
    </w:p>
    <w:p w14:paraId="4142D1D9" w14:textId="75FB6C26" w:rsidR="007A1BDF" w:rsidRPr="007A1BDF" w:rsidRDefault="007A1BDF">
      <w:pPr>
        <w:pStyle w:val="FootnoteText"/>
      </w:pPr>
      <w:r>
        <w:rPr>
          <w:rtl/>
          <w:lang w:bidi="he-IL"/>
        </w:rPr>
        <w:tab/>
      </w:r>
      <w:r>
        <w:rPr>
          <w:rFonts w:hint="cs"/>
          <w:rtl/>
          <w:lang w:bidi="he-IL"/>
        </w:rPr>
        <w:t>משנה זה מבאר הברכות שמברכים על קריאת שמע. [א]</w:t>
      </w:r>
    </w:p>
  </w:footnote>
  <w:footnote w:id="3">
    <w:p w14:paraId="4E19DD44" w14:textId="7D3B4643" w:rsidR="00E86587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</w:rPr>
        <w:tab/>
        <w:t xml:space="preserve">גמרא </w:t>
      </w:r>
      <w:r w:rsidRPr="007A1BDF">
        <w:rPr>
          <w:b/>
          <w:bCs/>
          <w:u w:val="single"/>
          <w:rtl/>
        </w:rPr>
        <w:t>(ב.)</w:t>
      </w:r>
      <w:r>
        <w:rPr>
          <w:rtl/>
        </w:rPr>
        <w:t xml:space="preserve"> מבאר </w:t>
      </w:r>
      <w:r>
        <w:rPr>
          <w:rtl/>
          <w:lang w:bidi="he-IL"/>
        </w:rPr>
        <w:t>ל</w:t>
      </w:r>
      <w:r>
        <w:rPr>
          <w:rtl/>
        </w:rPr>
        <w:t xml:space="preserve">מה </w:t>
      </w:r>
      <w:r>
        <w:rPr>
          <w:rtl/>
          <w:lang w:bidi="he-IL"/>
        </w:rPr>
        <w:t>המשנה מקדים של שחר</w:t>
      </w:r>
      <w:r>
        <w:rPr>
          <w:rtl/>
        </w:rPr>
        <w:t xml:space="preserve">, אף שבמשנה ראשונה ושניה, </w:t>
      </w:r>
      <w:r>
        <w:rPr>
          <w:rtl/>
          <w:lang w:bidi="he-IL"/>
        </w:rPr>
        <w:t xml:space="preserve">הקדים את של </w:t>
      </w:r>
      <w:r>
        <w:rPr>
          <w:rtl/>
        </w:rPr>
        <w:t xml:space="preserve">ערב. </w:t>
      </w:r>
      <w:r>
        <w:rPr>
          <w:rtl/>
          <w:lang w:bidi="he-IL"/>
        </w:rPr>
        <w:t>מבאר ש</w:t>
      </w:r>
      <w:r>
        <w:rPr>
          <w:rtl/>
        </w:rPr>
        <w:t xml:space="preserve">כיון שהזכיר משנה </w:t>
      </w:r>
      <w:r>
        <w:rPr>
          <w:rtl/>
          <w:lang w:bidi="he-IL"/>
        </w:rPr>
        <w:t>קריאה</w:t>
      </w:r>
      <w:r>
        <w:rPr>
          <w:rtl/>
        </w:rPr>
        <w:t xml:space="preserve"> של </w:t>
      </w:r>
      <w:r>
        <w:rPr>
          <w:rtl/>
          <w:lang w:bidi="he-IL"/>
        </w:rPr>
        <w:t>בקר</w:t>
      </w:r>
      <w:r>
        <w:rPr>
          <w:rtl/>
        </w:rPr>
        <w:t xml:space="preserve"> יותר קרוב </w:t>
      </w:r>
      <w:r>
        <w:rPr>
          <w:rtl/>
          <w:lang w:bidi="he-IL"/>
        </w:rPr>
        <w:t>למשנה הזאת</w:t>
      </w:r>
      <w:r>
        <w:rPr>
          <w:rtl/>
        </w:rPr>
        <w:t xml:space="preserve"> (כיון שהזכיר אותו אחר </w:t>
      </w:r>
      <w:r>
        <w:rPr>
          <w:rtl/>
          <w:lang w:bidi="he-IL"/>
        </w:rPr>
        <w:t xml:space="preserve">קריאה של </w:t>
      </w:r>
      <w:r>
        <w:rPr>
          <w:rtl/>
        </w:rPr>
        <w:t xml:space="preserve">לילה), ממשיך לבאר </w:t>
      </w:r>
      <w:r>
        <w:rPr>
          <w:rtl/>
          <w:lang w:bidi="he-IL"/>
        </w:rPr>
        <w:t>קריאה</w:t>
      </w:r>
      <w:r>
        <w:rPr>
          <w:rtl/>
        </w:rPr>
        <w:t xml:space="preserve"> </w:t>
      </w:r>
      <w:r>
        <w:rPr>
          <w:rtl/>
          <w:lang w:bidi="he-IL"/>
        </w:rPr>
        <w:t>של בוקר</w:t>
      </w:r>
      <w:r>
        <w:rPr>
          <w:rtl/>
        </w:rPr>
        <w:t xml:space="preserve"> קודם</w:t>
      </w:r>
      <w:r>
        <w:rPr>
          <w:rtl/>
          <w:lang w:bidi="he-IL"/>
        </w:rPr>
        <w:t xml:space="preserve"> לקריאה של </w:t>
      </w:r>
      <w:r>
        <w:rPr>
          <w:rtl/>
        </w:rPr>
        <w:t xml:space="preserve">לילה. </w:t>
      </w:r>
      <w:r>
        <w:rPr>
          <w:rtl/>
          <w:lang w:bidi="he-IL"/>
        </w:rPr>
        <w:t>[</w:t>
      </w:r>
      <w:r w:rsidR="0079008D">
        <w:rPr>
          <w:rFonts w:hint="cs"/>
          <w:rtl/>
          <w:lang w:bidi="he-IL"/>
        </w:rPr>
        <w:t>ב</w:t>
      </w:r>
      <w:r>
        <w:rPr>
          <w:rtl/>
          <w:lang w:bidi="he-IL"/>
        </w:rPr>
        <w:t>] [</w:t>
      </w:r>
      <w:r w:rsidR="0079008D">
        <w:rPr>
          <w:rFonts w:hint="cs"/>
          <w:rtl/>
          <w:lang w:bidi="he-IL"/>
        </w:rPr>
        <w:t>ג</w:t>
      </w:r>
      <w:r>
        <w:rPr>
          <w:rtl/>
          <w:lang w:bidi="he-IL"/>
        </w:rPr>
        <w:t>]</w:t>
      </w:r>
    </w:p>
  </w:footnote>
  <w:footnote w:id="4">
    <w:p w14:paraId="514A562A" w14:textId="504DE11B" w:rsidR="00E86587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</w:rPr>
        <w:tab/>
        <w:t xml:space="preserve">הראשון הוא </w:t>
      </w:r>
      <w:r>
        <w:rPr>
          <w:rtl/>
          <w:lang w:bidi="he-IL"/>
        </w:rPr>
        <w:t>ברכת "</w:t>
      </w:r>
      <w:r>
        <w:rPr>
          <w:rtl/>
        </w:rPr>
        <w:t>יוצ</w:t>
      </w:r>
      <w:r>
        <w:rPr>
          <w:rtl/>
          <w:lang w:bidi="he-IL"/>
        </w:rPr>
        <w:t>ר</w:t>
      </w:r>
      <w:r>
        <w:rPr>
          <w:rtl/>
        </w:rPr>
        <w:t xml:space="preserve"> אור.”</w:t>
      </w:r>
      <w:r>
        <w:rPr>
          <w:rtl/>
          <w:lang w:bidi="he-IL"/>
        </w:rPr>
        <w:t xml:space="preserve"> חלקו ת"ק בבריי’ וחכמים שם מהו השני.</w:t>
      </w:r>
      <w:r>
        <w:rPr>
          <w:rtl/>
        </w:rPr>
        <w:t xml:space="preserve"> תנא קמא אומר שהוא "אהבה רבה,” וחכמים אומרים שהוא "אהבת עולם.” </w:t>
      </w:r>
      <w:r w:rsidRPr="007A1BDF">
        <w:rPr>
          <w:u w:val="single"/>
          <w:rtl/>
        </w:rPr>
        <w:t>(</w:t>
      </w:r>
      <w:r w:rsidRPr="007A1BDF">
        <w:rPr>
          <w:b/>
          <w:bCs/>
          <w:u w:val="single"/>
          <w:rtl/>
        </w:rPr>
        <w:t>יא:</w:t>
      </w:r>
      <w:r w:rsidRPr="007A1BDF">
        <w:rPr>
          <w:u w:val="single"/>
          <w:rtl/>
        </w:rPr>
        <w:t>)</w:t>
      </w:r>
      <w:r>
        <w:rPr>
          <w:rtl/>
        </w:rPr>
        <w:t xml:space="preserve"> </w:t>
      </w:r>
      <w:r>
        <w:rPr>
          <w:rtl/>
          <w:lang w:bidi="he-IL"/>
        </w:rPr>
        <w:t>רק חולקים ב</w:t>
      </w:r>
      <w:r w:rsidR="001B3581">
        <w:rPr>
          <w:rFonts w:hint="cs"/>
          <w:rtl/>
          <w:lang w:bidi="he-IL"/>
        </w:rPr>
        <w:t xml:space="preserve">לשון </w:t>
      </w:r>
      <w:r>
        <w:rPr>
          <w:rtl/>
          <w:lang w:bidi="he-IL"/>
        </w:rPr>
        <w:t>תחילת הברכה, אבל שאר הברכה שווה לדעת שניהם.</w:t>
      </w:r>
    </w:p>
  </w:footnote>
  <w:footnote w:id="5">
    <w:p w14:paraId="2BD868A5" w14:textId="77777777" w:rsidR="00E86587" w:rsidRDefault="00000000">
      <w:pPr>
        <w:pStyle w:val="FootnoteText"/>
        <w:rPr>
          <w:lang w:bidi="he-IL"/>
        </w:rPr>
      </w:pPr>
      <w:r>
        <w:rPr>
          <w:rStyle w:val="FootnoteCharacters"/>
        </w:rPr>
        <w:footnoteRef/>
      </w:r>
      <w:r>
        <w:rPr>
          <w:rtl/>
          <w:lang w:bidi="he-IL"/>
        </w:rPr>
        <w:tab/>
        <w:t>הוא ברכת "אמת ויציב.”</w:t>
      </w:r>
    </w:p>
  </w:footnote>
  <w:footnote w:id="6">
    <w:p w14:paraId="28333E2F" w14:textId="77777777" w:rsidR="00E86587" w:rsidRDefault="00000000">
      <w:pPr>
        <w:pStyle w:val="FootnoteText"/>
        <w:rPr>
          <w:lang w:bidi="he-IL"/>
        </w:rPr>
      </w:pPr>
      <w:r>
        <w:rPr>
          <w:rStyle w:val="FootnoteCharacters"/>
        </w:rPr>
        <w:footnoteRef/>
      </w:r>
      <w:r>
        <w:rPr>
          <w:rtl/>
          <w:lang w:bidi="he-IL"/>
        </w:rPr>
        <w:tab/>
        <w:t>הראשון הוא ברכת "המעריב ערבים,” והשני הוא ברכת "אהבת עולם.”</w:t>
      </w:r>
    </w:p>
  </w:footnote>
  <w:footnote w:id="7">
    <w:p w14:paraId="50E56C69" w14:textId="77777777" w:rsidR="00E86587" w:rsidRDefault="00000000">
      <w:pPr>
        <w:pStyle w:val="FootnoteText"/>
        <w:rPr>
          <w:lang w:bidi="he-IL"/>
        </w:rPr>
      </w:pPr>
      <w:r>
        <w:rPr>
          <w:rStyle w:val="FootnoteCharacters"/>
        </w:rPr>
        <w:footnoteRef/>
      </w:r>
      <w:r>
        <w:rPr>
          <w:rtl/>
          <w:lang w:bidi="he-IL"/>
        </w:rPr>
        <w:tab/>
        <w:t xml:space="preserve">הראשון הוא ברכת "אמת ואמונה,” והשני הוא ברכת השכיבנו. </w:t>
      </w:r>
    </w:p>
  </w:footnote>
  <w:footnote w:id="8">
    <w:p w14:paraId="0C7CE219" w14:textId="421D090F" w:rsidR="00E86587" w:rsidRDefault="00000000" w:rsidP="00437DF4">
      <w:pPr>
        <w:pStyle w:val="FootnoteText"/>
        <w:rPr>
          <w:lang w:bidi="he-IL"/>
        </w:rPr>
      </w:pPr>
      <w:r>
        <w:rPr>
          <w:rStyle w:val="FootnoteCharacters"/>
        </w:rPr>
        <w:footnoteRef/>
      </w:r>
      <w:r>
        <w:rPr>
          <w:rtl/>
          <w:lang w:bidi="he-IL"/>
        </w:rPr>
        <w:tab/>
        <w:t xml:space="preserve">רש"י </w:t>
      </w:r>
      <w:r w:rsidRPr="007A1BDF">
        <w:rPr>
          <w:b/>
          <w:bCs/>
          <w:u w:val="single"/>
          <w:rtl/>
          <w:lang w:bidi="he-IL"/>
        </w:rPr>
        <w:t>(יא.)</w:t>
      </w:r>
      <w:r>
        <w:rPr>
          <w:rtl/>
          <w:lang w:bidi="he-IL"/>
        </w:rPr>
        <w:t xml:space="preserve"> מפרש שהולך על שני הברכות שלאחרי קריאת שמע של ערבית.</w:t>
      </w:r>
      <w:r w:rsidR="00437DF4">
        <w:rPr>
          <w:rFonts w:hint="cs"/>
          <w:rtl/>
          <w:lang w:bidi="he-IL"/>
        </w:rPr>
        <w:t xml:space="preserve"> (בנ"א ברש"י, מבואר שהארוכה היא אמת ויציב, והקצרה היא השכיבנו.) [</w:t>
      </w:r>
      <w:r w:rsidR="0079008D">
        <w:rPr>
          <w:rFonts w:hint="cs"/>
          <w:rtl/>
          <w:lang w:bidi="he-IL"/>
        </w:rPr>
        <w:t>ז</w:t>
      </w:r>
      <w:r w:rsidR="00437DF4">
        <w:rPr>
          <w:rFonts w:hint="cs"/>
          <w:rtl/>
          <w:lang w:bidi="he-IL"/>
        </w:rPr>
        <w:t>]</w:t>
      </w:r>
    </w:p>
  </w:footnote>
  <w:footnote w:id="9">
    <w:p w14:paraId="2DFA866A" w14:textId="2EB29E8A" w:rsidR="00E86587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</w:rPr>
        <w:tab/>
      </w:r>
      <w:r w:rsidR="00405DE6">
        <w:rPr>
          <w:rFonts w:hint="cs"/>
          <w:rtl/>
          <w:lang w:bidi="he-IL"/>
        </w:rPr>
        <w:t>פי' זה ייתלה בפי' "אחת ארוכה ואחת קצרה." אז, עיין בהערות, שפירשנו את זה.</w:t>
      </w:r>
    </w:p>
  </w:footnote>
  <w:footnote w:id="10">
    <w:p w14:paraId="116D3347" w14:textId="06EB5CA0" w:rsidR="00405DE6" w:rsidRDefault="00000000">
      <w:pPr>
        <w:pStyle w:val="FootnoteText"/>
        <w:rPr>
          <w:rtl/>
          <w:lang w:bidi="he-IL"/>
        </w:rPr>
      </w:pPr>
      <w:r>
        <w:rPr>
          <w:rStyle w:val="FootnoteCharacters"/>
        </w:rPr>
        <w:footnoteRef/>
      </w:r>
      <w:r>
        <w:rPr>
          <w:rtl/>
        </w:rPr>
        <w:tab/>
      </w:r>
      <w:r w:rsidR="00405DE6">
        <w:rPr>
          <w:rFonts w:hint="cs"/>
          <w:rtl/>
          <w:lang w:bidi="he-IL"/>
        </w:rPr>
        <w:t xml:space="preserve">יש </w:t>
      </w:r>
      <w:r w:rsidR="000D370C">
        <w:rPr>
          <w:rFonts w:hint="cs"/>
          <w:rtl/>
          <w:lang w:bidi="he-IL"/>
        </w:rPr>
        <w:t>ארבעה</w:t>
      </w:r>
      <w:r w:rsidR="00405DE6">
        <w:rPr>
          <w:rFonts w:hint="cs"/>
          <w:rtl/>
          <w:lang w:bidi="he-IL"/>
        </w:rPr>
        <w:t xml:space="preserve"> מיני ברכות:</w:t>
      </w:r>
    </w:p>
    <w:p w14:paraId="0EB57C57" w14:textId="5EFF2D83" w:rsidR="00405DE6" w:rsidRDefault="00405DE6" w:rsidP="00405DE6">
      <w:pPr>
        <w:pStyle w:val="FootnoteText"/>
        <w:numPr>
          <w:ilvl w:val="0"/>
          <w:numId w:val="1"/>
        </w:numPr>
      </w:pPr>
      <w:r>
        <w:rPr>
          <w:rFonts w:hint="cs"/>
          <w:rtl/>
          <w:lang w:bidi="he-IL"/>
        </w:rPr>
        <w:t>ברכות שמברכים עליהם בתחילתם ובסופם.</w:t>
      </w:r>
      <w:r w:rsidR="000D370C">
        <w:rPr>
          <w:rFonts w:hint="cs"/>
          <w:rtl/>
          <w:lang w:bidi="he-IL"/>
        </w:rPr>
        <w:t xml:space="preserve"> משל לזה הוא ברכת יוצר אור.</w:t>
      </w:r>
    </w:p>
    <w:p w14:paraId="34DEEF3F" w14:textId="45355AB0" w:rsidR="00405DE6" w:rsidRDefault="00405DE6" w:rsidP="00405DE6">
      <w:pPr>
        <w:pStyle w:val="FootnoteText"/>
        <w:numPr>
          <w:ilvl w:val="0"/>
          <w:numId w:val="1"/>
        </w:numPr>
      </w:pPr>
      <w:r>
        <w:rPr>
          <w:rFonts w:hint="cs"/>
          <w:rtl/>
          <w:lang w:bidi="he-IL"/>
        </w:rPr>
        <w:t>ברכות שמברכים עליהם בתחילתם.</w:t>
      </w:r>
      <w:r w:rsidR="000D370C">
        <w:rPr>
          <w:rFonts w:hint="cs"/>
          <w:rtl/>
          <w:lang w:bidi="he-IL"/>
        </w:rPr>
        <w:t xml:space="preserve"> משל לזה הוא ברכת הטוב והמיטב.</w:t>
      </w:r>
    </w:p>
    <w:p w14:paraId="6D44F8CA" w14:textId="3D909F5F" w:rsidR="00405DE6" w:rsidRDefault="00405DE6" w:rsidP="00405DE6">
      <w:pPr>
        <w:pStyle w:val="FootnoteText"/>
        <w:numPr>
          <w:ilvl w:val="0"/>
          <w:numId w:val="1"/>
        </w:numPr>
      </w:pPr>
      <w:r>
        <w:rPr>
          <w:rFonts w:hint="cs"/>
          <w:rtl/>
          <w:lang w:bidi="he-IL"/>
        </w:rPr>
        <w:t xml:space="preserve">ברכות שמברכים עליהם בסופם. </w:t>
      </w:r>
      <w:r w:rsidR="00B97A87">
        <w:rPr>
          <w:rFonts w:hint="cs"/>
          <w:rtl/>
          <w:lang w:bidi="he-IL"/>
        </w:rPr>
        <w:t>משל לזה הוא ברכת אהבת עולם.</w:t>
      </w:r>
    </w:p>
    <w:p w14:paraId="3CEAB0FE" w14:textId="73C95965" w:rsidR="000D370C" w:rsidRDefault="000D370C" w:rsidP="00405DE6">
      <w:pPr>
        <w:pStyle w:val="FootnoteText"/>
        <w:numPr>
          <w:ilvl w:val="0"/>
          <w:numId w:val="1"/>
        </w:numPr>
      </w:pPr>
      <w:r>
        <w:rPr>
          <w:rFonts w:hint="cs"/>
          <w:rtl/>
          <w:lang w:bidi="he-IL"/>
        </w:rPr>
        <w:t>ברכות שהם רק ברכה.</w:t>
      </w:r>
      <w:r w:rsidR="00B97A87">
        <w:rPr>
          <w:rFonts w:hint="cs"/>
          <w:rtl/>
          <w:lang w:bidi="he-IL"/>
        </w:rPr>
        <w:t xml:space="preserve"> משל לזה הוא ברכת הפירות.</w:t>
      </w:r>
    </w:p>
  </w:footnote>
  <w:footnote w:id="11">
    <w:p w14:paraId="794D01D7" w14:textId="474200BF" w:rsidR="00E86587" w:rsidRDefault="00000000">
      <w:pPr>
        <w:pStyle w:val="FootnoteText"/>
        <w:rPr>
          <w:lang w:bidi="he-IL"/>
        </w:rPr>
      </w:pPr>
      <w:r>
        <w:rPr>
          <w:rStyle w:val="FootnoteCharacters"/>
        </w:rPr>
        <w:footnoteRef/>
      </w:r>
      <w:r>
        <w:rPr>
          <w:rtl/>
        </w:rPr>
        <w:tab/>
      </w:r>
      <w:r w:rsidR="00F6250B">
        <w:rPr>
          <w:rFonts w:hint="cs"/>
          <w:rtl/>
          <w:lang w:bidi="he-IL"/>
        </w:rPr>
        <w:t>אם תיקנו חז"ל שברכה זו ממין ראשון או ממין שלישי, צריך לחתום.</w:t>
      </w:r>
    </w:p>
  </w:footnote>
  <w:footnote w:id="12">
    <w:p w14:paraId="1A4C7C0F" w14:textId="3B901C01" w:rsidR="00E86587" w:rsidRDefault="00000000">
      <w:pPr>
        <w:pStyle w:val="FootnoteText"/>
        <w:rPr>
          <w:lang w:bidi="he-IL"/>
        </w:rPr>
      </w:pPr>
      <w:r>
        <w:rPr>
          <w:rStyle w:val="FootnoteCharacters"/>
        </w:rPr>
        <w:footnoteRef/>
      </w:r>
      <w:r>
        <w:rPr>
          <w:rtl/>
        </w:rPr>
        <w:tab/>
      </w:r>
      <w:r w:rsidR="00477E6D">
        <w:rPr>
          <w:rFonts w:hint="cs"/>
          <w:rtl/>
          <w:lang w:bidi="he-IL"/>
        </w:rPr>
        <w:t>צריך לברך בסוף, כמו שתקנו חז"ל</w:t>
      </w:r>
      <w:r w:rsidR="00931635">
        <w:rPr>
          <w:rFonts w:hint="cs"/>
          <w:rtl/>
          <w:lang w:bidi="he-IL"/>
        </w:rPr>
        <w:t>. [</w:t>
      </w:r>
      <w:r w:rsidR="0079008D">
        <w:rPr>
          <w:rFonts w:hint="cs"/>
          <w:rtl/>
          <w:lang w:bidi="he-IL"/>
        </w:rPr>
        <w:t>ח</w:t>
      </w:r>
      <w:r w:rsidR="00931635">
        <w:rPr>
          <w:rFonts w:hint="cs"/>
          <w:rtl/>
          <w:lang w:bidi="he-IL"/>
        </w:rPr>
        <w:t>]</w:t>
      </w:r>
    </w:p>
  </w:footnote>
  <w:footnote w:id="13">
    <w:p w14:paraId="36D25B45" w14:textId="6A910DB2" w:rsidR="002D4A5D" w:rsidRDefault="002D4A5D">
      <w:pPr>
        <w:pStyle w:val="FootnoteText"/>
      </w:pPr>
      <w:r>
        <w:rPr>
          <w:rStyle w:val="FootnoteReference"/>
        </w:rPr>
        <w:footnoteRef/>
      </w:r>
      <w:r>
        <w:rPr>
          <w:rtl/>
          <w:lang w:bidi="he-IL"/>
        </w:rPr>
        <w:t xml:space="preserve"> </w:t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אם תיקנו חז"ל שלא לברך בסוף (כמו ברכות ממין שני), לא יכול לברך בסוף. [</w:t>
      </w:r>
      <w:r w:rsidR="0079008D">
        <w:rPr>
          <w:rFonts w:hint="cs"/>
          <w:rtl/>
          <w:lang w:bidi="he-IL"/>
        </w:rPr>
        <w:t>ט</w:t>
      </w:r>
      <w:r>
        <w:rPr>
          <w:rFonts w:hint="cs"/>
          <w:rtl/>
          <w:lang w:bidi="he-IL"/>
        </w:rPr>
        <w:t>]</w:t>
      </w:r>
    </w:p>
  </w:footnote>
  <w:footnote w:id="14">
    <w:p w14:paraId="4C559CF3" w14:textId="7344CB31" w:rsidR="00AC631B" w:rsidRDefault="00AC631B">
      <w:pPr>
        <w:pStyle w:val="FootnoteText"/>
        <w:rPr>
          <w:b/>
          <w:bCs/>
          <w:rtl/>
          <w:lang w:bidi="he-IL"/>
        </w:rPr>
      </w:pPr>
      <w:r>
        <w:rPr>
          <w:rStyle w:val="FootnoteReference"/>
        </w:rPr>
        <w:footnoteRef/>
      </w:r>
      <w:r>
        <w:rPr>
          <w:rtl/>
          <w:lang w:bidi="he-IL"/>
        </w:rPr>
        <w:t xml:space="preserve"> </w:t>
      </w:r>
      <w:r>
        <w:rPr>
          <w:rtl/>
          <w:lang w:bidi="he-IL"/>
        </w:rPr>
        <w:tab/>
      </w:r>
      <w:r>
        <w:rPr>
          <w:rFonts w:hint="cs"/>
          <w:b/>
          <w:bCs/>
          <w:rtl/>
          <w:lang w:bidi="he-IL"/>
        </w:rPr>
        <w:t>דינים היוצאים מן המשנה:</w:t>
      </w:r>
    </w:p>
    <w:p w14:paraId="1842D7B5" w14:textId="016EBC3A" w:rsidR="00AC631B" w:rsidRDefault="00AC631B" w:rsidP="00AC631B">
      <w:pPr>
        <w:pStyle w:val="FootnoteText"/>
        <w:numPr>
          <w:ilvl w:val="0"/>
          <w:numId w:val="2"/>
        </w:numPr>
      </w:pPr>
      <w:r>
        <w:rPr>
          <w:rFonts w:hint="cs"/>
          <w:rtl/>
          <w:lang w:bidi="he-IL"/>
        </w:rPr>
        <w:t>סדר ברכות קריאת שמע:</w:t>
      </w:r>
    </w:p>
    <w:p w14:paraId="137A08E4" w14:textId="6B3AB642" w:rsidR="00AC631B" w:rsidRDefault="00AC631B" w:rsidP="00AC631B">
      <w:pPr>
        <w:pStyle w:val="FootnoteText"/>
        <w:numPr>
          <w:ilvl w:val="1"/>
          <w:numId w:val="2"/>
        </w:numPr>
      </w:pPr>
      <w:r>
        <w:rPr>
          <w:rFonts w:hint="cs"/>
          <w:rtl/>
          <w:lang w:bidi="he-IL"/>
        </w:rPr>
        <w:t>ק"ש של שחרית:</w:t>
      </w:r>
    </w:p>
    <w:p w14:paraId="2A65FF76" w14:textId="3CDD2F51" w:rsidR="00AC631B" w:rsidRDefault="00AC631B" w:rsidP="00AC631B">
      <w:pPr>
        <w:pStyle w:val="FootnoteText"/>
        <w:numPr>
          <w:ilvl w:val="2"/>
          <w:numId w:val="2"/>
        </w:numPr>
      </w:pPr>
      <w:r>
        <w:rPr>
          <w:rFonts w:hint="cs"/>
          <w:rtl/>
          <w:lang w:bidi="he-IL"/>
        </w:rPr>
        <w:t xml:space="preserve">לפניו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מברכים שנים.</w:t>
      </w:r>
    </w:p>
    <w:p w14:paraId="4B9511BA" w14:textId="4E8B7C7B" w:rsidR="00AC631B" w:rsidRDefault="00AC631B" w:rsidP="00AC631B">
      <w:pPr>
        <w:pStyle w:val="FootnoteText"/>
        <w:numPr>
          <w:ilvl w:val="2"/>
          <w:numId w:val="2"/>
        </w:numPr>
      </w:pPr>
      <w:r>
        <w:rPr>
          <w:rFonts w:hint="cs"/>
          <w:rtl/>
          <w:lang w:bidi="he-IL"/>
        </w:rPr>
        <w:t xml:space="preserve">לאחריו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מברכים אחד.</w:t>
      </w:r>
    </w:p>
    <w:p w14:paraId="42F0F95A" w14:textId="699D3B80" w:rsidR="00AC631B" w:rsidRDefault="00AC631B" w:rsidP="00AC631B">
      <w:pPr>
        <w:pStyle w:val="FootnoteText"/>
        <w:numPr>
          <w:ilvl w:val="1"/>
          <w:numId w:val="2"/>
        </w:numPr>
      </w:pPr>
      <w:r>
        <w:rPr>
          <w:rFonts w:hint="cs"/>
          <w:rtl/>
          <w:lang w:bidi="he-IL"/>
        </w:rPr>
        <w:t>ק"ש של ערבית:</w:t>
      </w:r>
    </w:p>
    <w:p w14:paraId="3F843888" w14:textId="25B7B81C" w:rsidR="00AC631B" w:rsidRDefault="00AC631B" w:rsidP="00AC631B">
      <w:pPr>
        <w:pStyle w:val="FootnoteText"/>
        <w:numPr>
          <w:ilvl w:val="2"/>
          <w:numId w:val="2"/>
        </w:numPr>
      </w:pPr>
      <w:r>
        <w:rPr>
          <w:rFonts w:hint="cs"/>
          <w:rtl/>
          <w:lang w:bidi="he-IL"/>
        </w:rPr>
        <w:t xml:space="preserve">לפניו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מברכים שנים.</w:t>
      </w:r>
    </w:p>
    <w:p w14:paraId="7C91D8A1" w14:textId="1C9E3A60" w:rsidR="00AC631B" w:rsidRDefault="00AC631B" w:rsidP="00AC631B">
      <w:pPr>
        <w:pStyle w:val="FootnoteText"/>
        <w:numPr>
          <w:ilvl w:val="2"/>
          <w:numId w:val="2"/>
        </w:numPr>
      </w:pPr>
      <w:r>
        <w:rPr>
          <w:rFonts w:hint="cs"/>
          <w:rtl/>
          <w:lang w:bidi="he-IL"/>
        </w:rPr>
        <w:t xml:space="preserve">לאחריו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מברכים שנים.</w:t>
      </w:r>
      <w:r w:rsidR="00AF1920">
        <w:rPr>
          <w:rFonts w:hint="cs"/>
          <w:rtl/>
          <w:lang w:bidi="he-IL"/>
        </w:rPr>
        <w:t xml:space="preserve"> אחד מאלו ארוך ואחד מהם קצר.</w:t>
      </w:r>
    </w:p>
    <w:p w14:paraId="07823F09" w14:textId="4A8DA6A4" w:rsidR="00AF1920" w:rsidRDefault="00AC631B" w:rsidP="00AF1920">
      <w:pPr>
        <w:pStyle w:val="FootnoteText"/>
        <w:numPr>
          <w:ilvl w:val="0"/>
          <w:numId w:val="2"/>
        </w:numPr>
      </w:pPr>
      <w:r>
        <w:rPr>
          <w:rFonts w:hint="cs"/>
          <w:rtl/>
          <w:lang w:bidi="he-IL"/>
        </w:rPr>
        <w:t>דיני ברכות</w:t>
      </w:r>
      <w:r w:rsidR="00AF1920">
        <w:rPr>
          <w:rFonts w:hint="cs"/>
          <w:rtl/>
          <w:lang w:bidi="he-IL"/>
        </w:rPr>
        <w:t xml:space="preserve"> </w:t>
      </w:r>
      <w:r w:rsidR="00AF1920">
        <w:rPr>
          <w:rtl/>
          <w:lang w:bidi="he-IL"/>
        </w:rPr>
        <w:t>–</w:t>
      </w:r>
      <w:r w:rsidR="00AF1920">
        <w:rPr>
          <w:rFonts w:hint="cs"/>
          <w:rtl/>
          <w:lang w:bidi="he-IL"/>
        </w:rPr>
        <w:t xml:space="preserve"> לא יכולים לשנות את הברכה מצורה שקבעו חכמים:</w:t>
      </w:r>
    </w:p>
    <w:p w14:paraId="7DFBFA47" w14:textId="5B01779D" w:rsidR="00AF1920" w:rsidRDefault="00AF1920" w:rsidP="00AF1920">
      <w:pPr>
        <w:pStyle w:val="FootnoteText"/>
        <w:numPr>
          <w:ilvl w:val="1"/>
          <w:numId w:val="2"/>
        </w:numPr>
      </w:pPr>
      <w:r>
        <w:rPr>
          <w:rFonts w:hint="cs"/>
          <w:rtl/>
          <w:lang w:bidi="he-IL"/>
        </w:rPr>
        <w:t>לא יכולים לעשות ארוכה קצרה וקצרה ארוכה.</w:t>
      </w:r>
    </w:p>
    <w:p w14:paraId="3041EB11" w14:textId="5C6976AC" w:rsidR="00AF1920" w:rsidRPr="00AC631B" w:rsidRDefault="00AF1920" w:rsidP="00AF1920">
      <w:pPr>
        <w:pStyle w:val="FootnoteText"/>
        <w:numPr>
          <w:ilvl w:val="1"/>
          <w:numId w:val="2"/>
        </w:numPr>
        <w:rPr>
          <w:rFonts w:hint="cs"/>
        </w:rPr>
      </w:pPr>
      <w:r>
        <w:rPr>
          <w:rFonts w:hint="cs"/>
          <w:rtl/>
          <w:lang w:bidi="he-IL"/>
        </w:rPr>
        <w:t>לא יכולים לחתום כשאמרו שלא לחתום ושלא לחתום כשאמרו לחתום.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3326"/>
    <w:multiLevelType w:val="hybridMultilevel"/>
    <w:tmpl w:val="E2522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32EB4"/>
    <w:multiLevelType w:val="hybridMultilevel"/>
    <w:tmpl w:val="50984058"/>
    <w:lvl w:ilvl="0" w:tplc="E3E8D9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24562">
    <w:abstractNumId w:val="1"/>
  </w:num>
  <w:num w:numId="2" w16cid:durableId="168101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6587"/>
    <w:rsid w:val="000D370C"/>
    <w:rsid w:val="001B3581"/>
    <w:rsid w:val="002D4A5D"/>
    <w:rsid w:val="00405DE6"/>
    <w:rsid w:val="00437DF4"/>
    <w:rsid w:val="00477837"/>
    <w:rsid w:val="00477E6D"/>
    <w:rsid w:val="00572F64"/>
    <w:rsid w:val="00737774"/>
    <w:rsid w:val="0079008D"/>
    <w:rsid w:val="007A1BDF"/>
    <w:rsid w:val="00931635"/>
    <w:rsid w:val="00AA7D24"/>
    <w:rsid w:val="00AC631B"/>
    <w:rsid w:val="00AF1920"/>
    <w:rsid w:val="00B97A87"/>
    <w:rsid w:val="00C70410"/>
    <w:rsid w:val="00D01AEF"/>
    <w:rsid w:val="00DB2991"/>
    <w:rsid w:val="00E86587"/>
    <w:rsid w:val="00F6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1D97"/>
  <w15:docId w15:val="{311B8CEC-D3CE-4197-B123-8EFEA3DC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before="86" w:after="86" w:line="276" w:lineRule="auto"/>
    </w:pPr>
    <w:rPr>
      <w:rFonts w:cs="Dav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libri Light" w:eastAsia="Times New Roman" w:hAnsi="Calibri Ligh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09D3C-BE81-43F6-BE75-565E3A650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Shaul Y Khayyat</cp:lastModifiedBy>
  <cp:revision>14</cp:revision>
  <dcterms:created xsi:type="dcterms:W3CDTF">2025-12-28T16:48:00Z</dcterms:created>
  <dcterms:modified xsi:type="dcterms:W3CDTF">2025-12-29T18:38:00Z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2025-11-13T13:20:37Z</dcterms:created>
  <dc:creator/>
  <dc:description/>
  <dc:language>en-US</dc:language>
  <cp:lastModifiedBy/>
  <dcterms:modified xsi:type="dcterms:W3CDTF">2025-11-13T14:11:21Z</dcterms:modified>
  <cp:revision>10</cp:revision>
  <dc:subject/>
  <dc:title/>
</cp:coreProperties>
</file>