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DA25" w14:textId="7359EF36" w:rsidR="009720D4" w:rsidRDefault="009720D4" w:rsidP="009720D4">
      <w:pPr>
        <w:pStyle w:val="Heading1"/>
      </w:pPr>
      <w:r>
        <w:t>פרק ראשון</w:t>
      </w:r>
      <w:r>
        <w:rPr>
          <w:rStyle w:val="FootnoteReference"/>
          <w:szCs w:val="28"/>
        </w:rPr>
        <w:footnoteReference w:id="1"/>
      </w:r>
      <w:r>
        <w:rPr>
          <w:szCs w:val="28"/>
        </w:rPr>
        <w:t xml:space="preserve"> </w:t>
      </w:r>
    </w:p>
    <w:p w14:paraId="0B0F842D" w14:textId="77777777" w:rsidR="009720D4" w:rsidRDefault="009720D4" w:rsidP="009720D4">
      <w:pPr>
        <w:rPr>
          <w:sz w:val="28"/>
          <w:szCs w:val="28"/>
        </w:rPr>
      </w:pPr>
      <w:r>
        <w:rPr>
          <w:b/>
          <w:bCs/>
          <w:sz w:val="28"/>
          <w:szCs w:val="28"/>
        </w:rPr>
        <w:t>מֵאֵימָתַי</w:t>
      </w:r>
      <w:r>
        <w:rPr>
          <w:rStyle w:val="FootnoteReference"/>
          <w:b/>
          <w:bCs/>
          <w:sz w:val="28"/>
          <w:szCs w:val="28"/>
        </w:rPr>
        <w:footnoteReference w:id="2"/>
      </w:r>
      <w:r>
        <w:rPr>
          <w:rStyle w:val="FootnoteReference"/>
          <w:b/>
          <w:bCs/>
          <w:sz w:val="28"/>
          <w:szCs w:val="28"/>
        </w:rPr>
        <w:footnoteReference w:id="3"/>
      </w:r>
      <w:r>
        <w:rPr>
          <w:sz w:val="28"/>
          <w:szCs w:val="28"/>
        </w:rPr>
        <w:t xml:space="preserve"> קוֹרִין אֶת שְׁמַע בְּעַרְבִית</w:t>
      </w:r>
      <w:r>
        <w:rPr>
          <w:rStyle w:val="FootnoteReference"/>
          <w:sz w:val="28"/>
          <w:szCs w:val="28"/>
        </w:rPr>
        <w:footnoteReference w:id="4"/>
      </w:r>
      <w:r>
        <w:rPr>
          <w:sz w:val="28"/>
          <w:szCs w:val="28"/>
        </w:rPr>
        <w:t>. מִשָּׁעָה שֶׁהַכֹּהֲנִים נִכְנָסִים לֶאֱכֹל בִּתְרוּמָתָן</w:t>
      </w:r>
      <w:r>
        <w:rPr>
          <w:rStyle w:val="FootnoteReference"/>
          <w:sz w:val="28"/>
          <w:szCs w:val="28"/>
        </w:rPr>
        <w:footnoteReference w:id="5"/>
      </w:r>
      <w:r>
        <w:rPr>
          <w:rStyle w:val="FootnoteReference"/>
          <w:sz w:val="28"/>
          <w:szCs w:val="28"/>
        </w:rPr>
        <w:footnoteReference w:id="6"/>
      </w:r>
      <w:r>
        <w:rPr>
          <w:rStyle w:val="FootnoteReference"/>
          <w:sz w:val="28"/>
          <w:szCs w:val="28"/>
        </w:rPr>
        <w:footnoteReference w:id="7"/>
      </w:r>
      <w:r>
        <w:rPr>
          <w:sz w:val="28"/>
          <w:szCs w:val="28"/>
        </w:rPr>
        <w:t>, עַד סוֹף הָאַשְׁמוּרָה</w:t>
      </w:r>
      <w:r>
        <w:rPr>
          <w:rStyle w:val="FootnoteReference"/>
          <w:sz w:val="28"/>
          <w:szCs w:val="28"/>
        </w:rPr>
        <w:footnoteReference w:id="8"/>
      </w:r>
      <w:r>
        <w:rPr>
          <w:sz w:val="28"/>
          <w:szCs w:val="28"/>
        </w:rPr>
        <w:t xml:space="preserve"> הָרִאשׁוֹנָה</w:t>
      </w:r>
      <w:r>
        <w:rPr>
          <w:rStyle w:val="FootnoteReference"/>
          <w:sz w:val="28"/>
          <w:szCs w:val="28"/>
        </w:rPr>
        <w:footnoteReference w:id="9"/>
      </w:r>
      <w:r>
        <w:rPr>
          <w:sz w:val="28"/>
          <w:szCs w:val="28"/>
        </w:rPr>
        <w:t>, דִּבְרֵי רַבִּי אֱלִיעֶזֶר. וַחֲכָמִים אוֹמְרִים, עַד חֲצוֹת</w:t>
      </w:r>
      <w:r>
        <w:rPr>
          <w:rStyle w:val="FootnoteReference"/>
          <w:sz w:val="28"/>
          <w:szCs w:val="28"/>
        </w:rPr>
        <w:footnoteReference w:id="10"/>
      </w:r>
      <w:r>
        <w:rPr>
          <w:sz w:val="28"/>
          <w:szCs w:val="28"/>
        </w:rPr>
        <w:t xml:space="preserve">. רַבָּן גַּמְלִיאֵל אוֹמֵר, עַד שֶׁיַּעֲלֶה עַמּוּד </w:t>
      </w:r>
      <w:r>
        <w:rPr>
          <w:sz w:val="28"/>
          <w:szCs w:val="28"/>
        </w:rPr>
        <w:lastRenderedPageBreak/>
        <w:t>הַשָּׁחַר</w:t>
      </w:r>
      <w:r>
        <w:rPr>
          <w:rStyle w:val="FootnoteReference"/>
          <w:sz w:val="28"/>
          <w:szCs w:val="28"/>
        </w:rPr>
        <w:footnoteReference w:id="11"/>
      </w:r>
      <w:r>
        <w:rPr>
          <w:sz w:val="28"/>
          <w:szCs w:val="28"/>
        </w:rPr>
        <w:t>. מַעֲשֶׂה שֶׁבָּאוּ בָנָיו מִבֵּית הַמִּשְׁתֶּה</w:t>
      </w:r>
      <w:r>
        <w:rPr>
          <w:rStyle w:val="FootnoteReference"/>
          <w:sz w:val="28"/>
          <w:szCs w:val="28"/>
        </w:rPr>
        <w:footnoteReference w:id="12"/>
      </w:r>
      <w:r>
        <w:rPr>
          <w:sz w:val="28"/>
          <w:szCs w:val="28"/>
        </w:rPr>
        <w:t>, אָמְרוּ לוֹ, לֹא קָרִינוּ אֶת שְׁמַע</w:t>
      </w:r>
      <w:r>
        <w:rPr>
          <w:rStyle w:val="FootnoteReference"/>
          <w:sz w:val="28"/>
          <w:szCs w:val="28"/>
        </w:rPr>
        <w:footnoteReference w:id="13"/>
      </w:r>
      <w:r>
        <w:rPr>
          <w:sz w:val="28"/>
          <w:szCs w:val="28"/>
        </w:rPr>
        <w:t>. אָמַר לָהֶם, אִם לֹא עָלָה עַמּוּד הַשַּׁחַר, חַיָּבִין אַתֶּם לִקְרוֹת. וְלֹא זוֹ בִּלְבַד, אֶלָּא כָּל מַה שֶּׁאָמְרוּ חֲכָמִים עַד חֲצוֹת, מִצְוָתָן עַד שֶׁיַּעֲלֶה עַמּוּד הַשָּׁחַר. הֶקְטֵר חֲלָבִים וְאֵבָרִים, מִצְוָתָן עַד שֶׁיַּעֲלֶה עַמּוּד הַשָּׁחַר</w:t>
      </w:r>
      <w:r>
        <w:rPr>
          <w:rStyle w:val="FootnoteReference"/>
          <w:sz w:val="28"/>
          <w:szCs w:val="28"/>
        </w:rPr>
        <w:footnoteReference w:id="14"/>
      </w:r>
      <w:r>
        <w:rPr>
          <w:sz w:val="28"/>
          <w:szCs w:val="28"/>
        </w:rPr>
        <w:t>. וְכָל הַנֶּאֱכָלִים לְיוֹם אֶחָד, מִצְוָתָן עַד שֶׁיַּעֲלֶה עַמּוּד הַשָּׁחַר</w:t>
      </w:r>
      <w:r>
        <w:rPr>
          <w:rStyle w:val="FootnoteReference"/>
          <w:sz w:val="28"/>
          <w:szCs w:val="28"/>
        </w:rPr>
        <w:footnoteReference w:id="15"/>
      </w:r>
      <w:r>
        <w:rPr>
          <w:sz w:val="28"/>
          <w:szCs w:val="28"/>
        </w:rPr>
        <w:t>. אִם כֵּן, לָמָּה אָמְרוּ חֲכָמִים עַד חֲצוֹת, כְּדֵי לְהַרְחִיק</w:t>
      </w:r>
      <w:r>
        <w:rPr>
          <w:rStyle w:val="FootnoteReference"/>
          <w:sz w:val="28"/>
          <w:szCs w:val="28"/>
        </w:rPr>
        <w:footnoteReference w:id="16"/>
      </w:r>
      <w:r>
        <w:rPr>
          <w:sz w:val="28"/>
          <w:szCs w:val="28"/>
        </w:rPr>
        <w:t xml:space="preserve"> אֶת הָאָדָם מִן הָעֲבֵרָה</w:t>
      </w:r>
      <w:r>
        <w:rPr>
          <w:rStyle w:val="FootnoteReference"/>
          <w:sz w:val="28"/>
          <w:szCs w:val="28"/>
        </w:rPr>
        <w:footnoteReference w:id="17"/>
      </w:r>
      <w:r>
        <w:rPr>
          <w:sz w:val="28"/>
          <w:szCs w:val="28"/>
        </w:rPr>
        <w:t xml:space="preserve">: </w:t>
      </w:r>
    </w:p>
    <w:p w14:paraId="6D4E77CE" w14:textId="77777777" w:rsidR="009720D4" w:rsidRDefault="009720D4" w:rsidP="009720D4">
      <w:pPr>
        <w:rPr>
          <w:sz w:val="28"/>
          <w:szCs w:val="28"/>
        </w:rPr>
      </w:pPr>
    </w:p>
    <w:p w14:paraId="76570248" w14:textId="77777777" w:rsidR="009720D4" w:rsidRDefault="009720D4" w:rsidP="009720D4">
      <w:pPr>
        <w:pStyle w:val="Heading2"/>
      </w:pPr>
      <w:r>
        <w:lastRenderedPageBreak/>
        <w:t>משנה ב</w:t>
      </w:r>
      <w:r>
        <w:rPr>
          <w:rStyle w:val="FootnoteReference"/>
          <w:sz w:val="28"/>
        </w:rPr>
        <w:footnoteReference w:id="18"/>
      </w:r>
    </w:p>
    <w:p w14:paraId="02FF8C74" w14:textId="77777777" w:rsidR="009720D4" w:rsidRDefault="009720D4" w:rsidP="009720D4">
      <w:pPr>
        <w:rPr>
          <w:sz w:val="28"/>
          <w:szCs w:val="28"/>
        </w:rPr>
      </w:pPr>
      <w:r>
        <w:rPr>
          <w:b/>
          <w:bCs/>
          <w:sz w:val="28"/>
          <w:szCs w:val="28"/>
        </w:rPr>
        <w:t>מֵאֵימָתַי</w:t>
      </w:r>
      <w:r>
        <w:rPr>
          <w:sz w:val="28"/>
          <w:szCs w:val="28"/>
        </w:rPr>
        <w:t xml:space="preserve"> קוֹרִין אֶת שְׁמַע בְּשַׁחֲרִית. מִשֶּׁיַּכִּיר בֵּין תְּכֵלֶת לְלָבָן</w:t>
      </w:r>
      <w:r>
        <w:rPr>
          <w:rStyle w:val="FootnoteReference"/>
          <w:sz w:val="28"/>
          <w:szCs w:val="28"/>
        </w:rPr>
        <w:footnoteReference w:id="19"/>
      </w:r>
      <w:r>
        <w:rPr>
          <w:sz w:val="28"/>
          <w:szCs w:val="28"/>
        </w:rPr>
        <w:t>. רַבִּי אֱלִיעֶזֶר אוֹמֵר, בֵּין תְּכֵלֶת לְכַרְתִּי</w:t>
      </w:r>
      <w:r>
        <w:rPr>
          <w:rStyle w:val="FootnoteReference"/>
          <w:sz w:val="28"/>
          <w:szCs w:val="28"/>
        </w:rPr>
        <w:footnoteReference w:id="20"/>
      </w:r>
      <w:r>
        <w:rPr>
          <w:rStyle w:val="FootnoteReference"/>
          <w:sz w:val="28"/>
          <w:szCs w:val="28"/>
        </w:rPr>
        <w:footnoteReference w:id="21"/>
      </w:r>
      <w:r>
        <w:rPr>
          <w:rStyle w:val="FootnoteReference"/>
          <w:sz w:val="28"/>
          <w:szCs w:val="28"/>
        </w:rPr>
        <w:footnoteReference w:id="22"/>
      </w:r>
      <w:r>
        <w:rPr>
          <w:sz w:val="28"/>
          <w:szCs w:val="28"/>
        </w:rPr>
        <w:t>. וְגוֹמְרָהּ עַד הָנֵץ הַחַמָּה. רַבִּי יְהוֹשֻׁעַ אוֹמֵר, עַד שָׁלֹשׁ שָׁעוֹת</w:t>
      </w:r>
      <w:r>
        <w:rPr>
          <w:rStyle w:val="FootnoteReference"/>
          <w:sz w:val="28"/>
          <w:szCs w:val="28"/>
        </w:rPr>
        <w:footnoteReference w:id="23"/>
      </w:r>
      <w:r>
        <w:rPr>
          <w:rStyle w:val="FootnoteReference"/>
          <w:sz w:val="28"/>
          <w:szCs w:val="28"/>
        </w:rPr>
        <w:footnoteReference w:id="24"/>
      </w:r>
      <w:r>
        <w:rPr>
          <w:sz w:val="28"/>
          <w:szCs w:val="28"/>
        </w:rPr>
        <w:t>, שֶׁכֵּן דֶּרֶךְ בְּנֵי מְלָכִים</w:t>
      </w:r>
      <w:r>
        <w:rPr>
          <w:rStyle w:val="FootnoteReference"/>
          <w:sz w:val="28"/>
          <w:szCs w:val="28"/>
        </w:rPr>
        <w:footnoteReference w:id="25"/>
      </w:r>
      <w:r>
        <w:rPr>
          <w:sz w:val="28"/>
          <w:szCs w:val="28"/>
        </w:rPr>
        <w:t xml:space="preserve"> לַעֲמֹד בְּשָׁלֹשׁ שָׁעוֹת. הַקּוֹרֵא מִכָּאן וְאֵילָךְ לֹא הִפְסִיד</w:t>
      </w:r>
      <w:r>
        <w:rPr>
          <w:rStyle w:val="FootnoteReference"/>
          <w:sz w:val="28"/>
          <w:szCs w:val="28"/>
        </w:rPr>
        <w:footnoteReference w:id="26"/>
      </w:r>
      <w:r>
        <w:rPr>
          <w:sz w:val="28"/>
          <w:szCs w:val="28"/>
        </w:rPr>
        <w:t>, כְּאָדָם הַקּוֹרֵא בַתּוֹרָה</w:t>
      </w:r>
      <w:r>
        <w:rPr>
          <w:rStyle w:val="FootnoteReference"/>
          <w:sz w:val="28"/>
          <w:szCs w:val="28"/>
        </w:rPr>
        <w:footnoteReference w:id="27"/>
      </w:r>
      <w:r>
        <w:rPr>
          <w:sz w:val="28"/>
          <w:szCs w:val="28"/>
        </w:rPr>
        <w:t xml:space="preserve">: </w:t>
      </w:r>
    </w:p>
    <w:p w14:paraId="20BC0134" w14:textId="77777777" w:rsidR="009720D4" w:rsidRDefault="009720D4" w:rsidP="009720D4">
      <w:pPr>
        <w:rPr>
          <w:sz w:val="28"/>
          <w:szCs w:val="28"/>
        </w:rPr>
      </w:pPr>
    </w:p>
    <w:p w14:paraId="6786F12C" w14:textId="77777777" w:rsidR="009720D4" w:rsidRDefault="009720D4" w:rsidP="009720D4">
      <w:pPr>
        <w:pStyle w:val="Heading2"/>
      </w:pPr>
      <w:r>
        <w:t>משנה ג</w:t>
      </w:r>
      <w:r>
        <w:rPr>
          <w:rStyle w:val="FootnoteReference"/>
          <w:sz w:val="28"/>
        </w:rPr>
        <w:footnoteReference w:id="28"/>
      </w:r>
    </w:p>
    <w:p w14:paraId="3EDF0831" w14:textId="77777777" w:rsidR="009720D4" w:rsidRDefault="009720D4" w:rsidP="009720D4">
      <w:pPr>
        <w:rPr>
          <w:sz w:val="28"/>
          <w:szCs w:val="28"/>
        </w:rPr>
      </w:pPr>
      <w:r>
        <w:rPr>
          <w:b/>
          <w:bCs/>
          <w:sz w:val="28"/>
          <w:szCs w:val="28"/>
        </w:rPr>
        <w:t>בֵּית שַׁמַּאי</w:t>
      </w:r>
      <w:r>
        <w:rPr>
          <w:sz w:val="28"/>
          <w:szCs w:val="28"/>
        </w:rPr>
        <w:t xml:space="preserve"> אוֹמְרִים, בָּעֶרֶב כָּל אָדָם יַטּוּ וְיִקְרְאוּ, וּבַבֹּקֶר יַעַמְדוּ, שֶׁנֶּאֱמַר (דברים ו) וּבְשָׁכְבְּךָ וּבְקוּמֶךָ. וּבֵית הִלֵּל אוֹמְרִים, כָּל אָדָם קוֹרֵא כְדַרְכּוֹ</w:t>
      </w:r>
      <w:r>
        <w:rPr>
          <w:rStyle w:val="FootnoteReference"/>
          <w:sz w:val="28"/>
          <w:szCs w:val="28"/>
        </w:rPr>
        <w:footnoteReference w:id="29"/>
      </w:r>
      <w:r>
        <w:rPr>
          <w:sz w:val="28"/>
          <w:szCs w:val="28"/>
        </w:rPr>
        <w:t>, שֶׁנֶּאֱמַר (שם) וּבְלֶכְתְּךָ בַדֶּרֶךְ</w:t>
      </w:r>
      <w:r>
        <w:rPr>
          <w:rStyle w:val="FootnoteReference"/>
          <w:sz w:val="28"/>
          <w:szCs w:val="28"/>
        </w:rPr>
        <w:footnoteReference w:id="30"/>
      </w:r>
      <w:r>
        <w:rPr>
          <w:sz w:val="28"/>
          <w:szCs w:val="28"/>
        </w:rPr>
        <w:t>. אִם כֵּן, לָמָּה נֶאֱמַר וּבְשָׁכְבְּךָ וּבְקוּמֶךָ, בְּשָׁעָה שֶׁבְּנֵי אָדָם שׁוֹכְבִים, וּבְשָׁעָה שֶׁבְּנֵי אָדָם עוֹמְדִים</w:t>
      </w:r>
      <w:r>
        <w:rPr>
          <w:rStyle w:val="FootnoteReference"/>
          <w:sz w:val="28"/>
          <w:szCs w:val="28"/>
        </w:rPr>
        <w:footnoteReference w:id="31"/>
      </w:r>
      <w:r>
        <w:rPr>
          <w:rStyle w:val="FootnoteReference"/>
          <w:sz w:val="28"/>
          <w:szCs w:val="28"/>
        </w:rPr>
        <w:footnoteReference w:id="32"/>
      </w:r>
      <w:r>
        <w:rPr>
          <w:sz w:val="28"/>
          <w:szCs w:val="28"/>
        </w:rPr>
        <w:t>. אָמַר רַבִּי טַרְפוֹן, אֲנִי הָיִיתִי בָא בַדֶּרֶךְ, וְהִטֵּתִי לִקְרוֹת, כְּדִבְרֵי בֵית שַׁמַּאי, וְסִכַּנְתִּי בְעַצְמִי מִפְּנֵי הַלִּסְטִים. אָמְרוּ לוֹ, כְּדַי הָיִיתָ לָחוּב בְּעַצְמְךָ</w:t>
      </w:r>
      <w:r>
        <w:rPr>
          <w:rStyle w:val="FootnoteReference"/>
          <w:sz w:val="28"/>
          <w:szCs w:val="28"/>
        </w:rPr>
        <w:footnoteReference w:id="33"/>
      </w:r>
      <w:r>
        <w:rPr>
          <w:sz w:val="28"/>
          <w:szCs w:val="28"/>
        </w:rPr>
        <w:t>, שֶׁעָבַרְתָּ עַל דִּבְרֵי בֵית הִלֵּל</w:t>
      </w:r>
      <w:r>
        <w:rPr>
          <w:rStyle w:val="FootnoteReference"/>
          <w:sz w:val="28"/>
          <w:szCs w:val="28"/>
        </w:rPr>
        <w:footnoteReference w:id="34"/>
      </w:r>
      <w:r>
        <w:rPr>
          <w:sz w:val="28"/>
          <w:szCs w:val="28"/>
        </w:rPr>
        <w:t xml:space="preserve">: </w:t>
      </w:r>
    </w:p>
    <w:p w14:paraId="0D4A0629" w14:textId="77777777" w:rsidR="009720D4" w:rsidRDefault="009720D4" w:rsidP="009720D4">
      <w:pPr>
        <w:rPr>
          <w:sz w:val="28"/>
          <w:szCs w:val="28"/>
        </w:rPr>
      </w:pPr>
    </w:p>
    <w:p w14:paraId="6BDB1BDF" w14:textId="77777777" w:rsidR="009720D4" w:rsidRDefault="009720D4" w:rsidP="009720D4">
      <w:pPr>
        <w:pStyle w:val="Heading2"/>
      </w:pPr>
      <w:r>
        <w:lastRenderedPageBreak/>
        <w:t>משנה ד</w:t>
      </w:r>
      <w:r>
        <w:rPr>
          <w:rStyle w:val="FootnoteReference"/>
          <w:sz w:val="28"/>
        </w:rPr>
        <w:footnoteReference w:id="35"/>
      </w:r>
    </w:p>
    <w:p w14:paraId="4FC93711" w14:textId="77777777" w:rsidR="009720D4" w:rsidRDefault="009720D4" w:rsidP="009720D4">
      <w:pPr>
        <w:rPr>
          <w:sz w:val="28"/>
          <w:szCs w:val="28"/>
        </w:rPr>
      </w:pPr>
      <w:r>
        <w:rPr>
          <w:b/>
          <w:bCs/>
          <w:sz w:val="28"/>
          <w:szCs w:val="28"/>
        </w:rPr>
        <w:t>בַּשַּׁחַר</w:t>
      </w:r>
      <w:r>
        <w:rPr>
          <w:rStyle w:val="FootnoteReference"/>
          <w:sz w:val="28"/>
          <w:szCs w:val="28"/>
        </w:rPr>
        <w:footnoteReference w:id="36"/>
      </w:r>
      <w:r>
        <w:rPr>
          <w:sz w:val="28"/>
          <w:szCs w:val="28"/>
        </w:rPr>
        <w:t xml:space="preserve"> מְבָרֵךְ שְׁתַּיִם לְפָנֶיהָ</w:t>
      </w:r>
      <w:r>
        <w:rPr>
          <w:rStyle w:val="FootnoteReference"/>
          <w:sz w:val="28"/>
          <w:szCs w:val="28"/>
        </w:rPr>
        <w:footnoteReference w:id="37"/>
      </w:r>
      <w:r>
        <w:rPr>
          <w:sz w:val="28"/>
          <w:szCs w:val="28"/>
        </w:rPr>
        <w:t xml:space="preserve"> וְאַחַת לְאַחֲרֶיהָ, וּבָעֶרֶב שְׁתַּיִם לְפָנֶיהָ וּשְׁתַּיִם לְאַחֲרֶיהָ.</w:t>
      </w:r>
      <w:r>
        <w:rPr>
          <w:rStyle w:val="FootnoteReference"/>
          <w:sz w:val="28"/>
          <w:szCs w:val="28"/>
        </w:rPr>
        <w:footnoteReference w:id="38"/>
      </w:r>
      <w:r>
        <w:rPr>
          <w:sz w:val="28"/>
          <w:szCs w:val="28"/>
        </w:rPr>
        <w:t xml:space="preserve"> אַחַת אֲרֻכָּה וְאַחַת קְצָרָה</w:t>
      </w:r>
      <w:r>
        <w:rPr>
          <w:rStyle w:val="FootnoteReference"/>
          <w:sz w:val="28"/>
          <w:szCs w:val="28"/>
        </w:rPr>
        <w:footnoteReference w:id="39"/>
      </w:r>
      <w:r>
        <w:rPr>
          <w:sz w:val="28"/>
          <w:szCs w:val="28"/>
        </w:rPr>
        <w:t>. מָקוֹם שֶׁאָמְרוּ לְהַאֲרִיךְ</w:t>
      </w:r>
      <w:r>
        <w:rPr>
          <w:rStyle w:val="FootnoteReference"/>
          <w:sz w:val="28"/>
          <w:szCs w:val="28"/>
        </w:rPr>
        <w:footnoteReference w:id="40"/>
      </w:r>
      <w:r>
        <w:rPr>
          <w:sz w:val="28"/>
          <w:szCs w:val="28"/>
        </w:rPr>
        <w:t>, אֵינוֹ רַשַּׁאי לְקַצֵּר</w:t>
      </w:r>
      <w:r>
        <w:rPr>
          <w:rStyle w:val="FootnoteReference"/>
          <w:sz w:val="28"/>
          <w:szCs w:val="28"/>
        </w:rPr>
        <w:footnoteReference w:id="41"/>
      </w:r>
      <w:r>
        <w:rPr>
          <w:sz w:val="28"/>
          <w:szCs w:val="28"/>
        </w:rPr>
        <w:t xml:space="preserve">. לְקַצֵּר, אֵינוֹ רַשַּׁאי לְהַאֲרִיךְ. </w:t>
      </w:r>
      <w:r>
        <w:rPr>
          <w:rStyle w:val="FootnoteReference"/>
          <w:sz w:val="28"/>
          <w:szCs w:val="28"/>
        </w:rPr>
        <w:footnoteReference w:id="42"/>
      </w:r>
      <w:r>
        <w:rPr>
          <w:sz w:val="28"/>
          <w:szCs w:val="28"/>
        </w:rPr>
        <w:t>לַחְתֹּם</w:t>
      </w:r>
      <w:r>
        <w:rPr>
          <w:rStyle w:val="FootnoteReference"/>
          <w:sz w:val="28"/>
          <w:szCs w:val="28"/>
        </w:rPr>
        <w:footnoteReference w:id="43"/>
      </w:r>
      <w:r>
        <w:rPr>
          <w:sz w:val="28"/>
          <w:szCs w:val="28"/>
        </w:rPr>
        <w:t>, אֵינוֹ רַשַּׁאי שֶׁלֹּא לַחְתֹּם</w:t>
      </w:r>
      <w:r>
        <w:rPr>
          <w:rStyle w:val="FootnoteReference"/>
          <w:sz w:val="28"/>
          <w:szCs w:val="28"/>
        </w:rPr>
        <w:footnoteReference w:id="44"/>
      </w:r>
      <w:r>
        <w:rPr>
          <w:sz w:val="28"/>
          <w:szCs w:val="28"/>
        </w:rPr>
        <w:t xml:space="preserve">. וְשֶׁלֹּא לַחְתֹּם, אֵינוֹ רַשַּׁאי לַחְתֹּם: </w:t>
      </w:r>
    </w:p>
    <w:p w14:paraId="75526728" w14:textId="77777777" w:rsidR="009720D4" w:rsidRDefault="009720D4" w:rsidP="009720D4">
      <w:pPr>
        <w:rPr>
          <w:sz w:val="28"/>
          <w:szCs w:val="28"/>
        </w:rPr>
      </w:pPr>
    </w:p>
    <w:p w14:paraId="754C5D84" w14:textId="77777777" w:rsidR="009720D4" w:rsidRDefault="009720D4" w:rsidP="009720D4">
      <w:pPr>
        <w:pStyle w:val="Heading2"/>
      </w:pPr>
      <w:r>
        <w:t>משנה ה</w:t>
      </w:r>
      <w:r>
        <w:rPr>
          <w:rStyle w:val="FootnoteReference"/>
          <w:sz w:val="28"/>
        </w:rPr>
        <w:footnoteReference w:id="45"/>
      </w:r>
    </w:p>
    <w:p w14:paraId="0DAC980D" w14:textId="77777777" w:rsidR="009720D4" w:rsidRDefault="009720D4" w:rsidP="009720D4">
      <w:pPr>
        <w:rPr>
          <w:sz w:val="28"/>
          <w:szCs w:val="28"/>
        </w:rPr>
      </w:pPr>
      <w:r>
        <w:rPr>
          <w:b/>
          <w:bCs/>
          <w:sz w:val="28"/>
          <w:szCs w:val="28"/>
        </w:rPr>
        <w:t>מַזְכִּירִין</w:t>
      </w:r>
      <w:r>
        <w:rPr>
          <w:sz w:val="28"/>
          <w:szCs w:val="28"/>
        </w:rPr>
        <w:t xml:space="preserve"> יְצִיאַת מִצְרַיִם בַּלֵּילוֹת</w:t>
      </w:r>
      <w:r>
        <w:rPr>
          <w:rStyle w:val="FootnoteReference"/>
          <w:sz w:val="28"/>
          <w:szCs w:val="28"/>
        </w:rPr>
        <w:footnoteReference w:id="46"/>
      </w:r>
      <w:r>
        <w:rPr>
          <w:sz w:val="28"/>
          <w:szCs w:val="28"/>
        </w:rPr>
        <w:t>. אָמַר רַבִּי אֶלְעָזָר בֶּן עֲזַרְיָה, הֲרֵי אֲנִי כְּבֶן שִׁבְעִים שָׁנָה</w:t>
      </w:r>
      <w:r>
        <w:rPr>
          <w:rStyle w:val="FootnoteReference"/>
          <w:sz w:val="28"/>
          <w:szCs w:val="28"/>
        </w:rPr>
        <w:footnoteReference w:id="47"/>
      </w:r>
      <w:r>
        <w:rPr>
          <w:sz w:val="28"/>
          <w:szCs w:val="28"/>
        </w:rPr>
        <w:t>, וְלֹא זָכִיתִי שֶׁתֵּאָמֵר יְצִיאַת מִצְרַיִם בַּלֵּילוֹת, עַד שֶׁדְּרָשָׁהּ</w:t>
      </w:r>
      <w:r>
        <w:rPr>
          <w:rStyle w:val="FootnoteReference"/>
          <w:sz w:val="28"/>
          <w:szCs w:val="28"/>
        </w:rPr>
        <w:footnoteReference w:id="48"/>
      </w:r>
      <w:r>
        <w:rPr>
          <w:sz w:val="28"/>
          <w:szCs w:val="28"/>
        </w:rPr>
        <w:t xml:space="preserve"> בֶּן זוֹמָא</w:t>
      </w:r>
      <w:r>
        <w:rPr>
          <w:rStyle w:val="FootnoteReference"/>
          <w:sz w:val="28"/>
          <w:szCs w:val="28"/>
        </w:rPr>
        <w:footnoteReference w:id="49"/>
      </w:r>
      <w:r>
        <w:rPr>
          <w:rStyle w:val="FootnoteReference"/>
          <w:sz w:val="28"/>
          <w:szCs w:val="28"/>
        </w:rPr>
        <w:footnoteReference w:id="50"/>
      </w:r>
      <w:r>
        <w:rPr>
          <w:sz w:val="28"/>
          <w:szCs w:val="28"/>
        </w:rPr>
        <w:t xml:space="preserve">, שֶׁנֶּאֱמַר (דברים טז) לְמַעַן תִּזְכֹּר אֶת יוֹם </w:t>
      </w:r>
      <w:r>
        <w:rPr>
          <w:sz w:val="28"/>
          <w:szCs w:val="28"/>
        </w:rPr>
        <w:lastRenderedPageBreak/>
        <w:t>צֵאתְךָ מֵאֶרֶץ מִצְרַיִם כֹּל יְמֵי חַיֶּיךָ. יְמֵי חַיֶּיךָ, הַיָּמִים. כֹּל יְמֵי חַיֶּיךָ, הַלֵּילוֹת. וַחֲכָמִים אוֹמְרִים, יְמֵי חַיֶּיךָ, הָעוֹלָם הַזֶּה. כֹּל יְמֵי חַיֶּיךָ, לְהָבִיא לִימוֹת הַמָּשִׁיחַ</w:t>
      </w:r>
      <w:r>
        <w:rPr>
          <w:rStyle w:val="FootnoteReference"/>
          <w:sz w:val="28"/>
          <w:szCs w:val="28"/>
        </w:rPr>
        <w:footnoteReference w:id="51"/>
      </w:r>
      <w:r>
        <w:rPr>
          <w:sz w:val="28"/>
          <w:szCs w:val="28"/>
        </w:rPr>
        <w:t xml:space="preserve">: </w:t>
      </w:r>
    </w:p>
    <w:p w14:paraId="553462F9" w14:textId="77777777" w:rsidR="00D85A4F" w:rsidRDefault="00D85A4F"/>
    <w:sectPr w:rsidR="00D85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42909" w14:textId="77777777" w:rsidR="00C47B1C" w:rsidRDefault="00C47B1C" w:rsidP="009720D4">
      <w:pPr>
        <w:spacing w:before="0" w:after="0" w:line="240" w:lineRule="auto"/>
      </w:pPr>
      <w:r>
        <w:separator/>
      </w:r>
    </w:p>
  </w:endnote>
  <w:endnote w:type="continuationSeparator" w:id="0">
    <w:p w14:paraId="0E528E45" w14:textId="77777777" w:rsidR="00C47B1C" w:rsidRDefault="00C47B1C" w:rsidP="009720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4C090" w14:textId="77777777" w:rsidR="00C47B1C" w:rsidRDefault="00C47B1C" w:rsidP="009720D4">
      <w:pPr>
        <w:spacing w:before="0" w:after="0" w:line="240" w:lineRule="auto"/>
      </w:pPr>
      <w:r>
        <w:separator/>
      </w:r>
    </w:p>
  </w:footnote>
  <w:footnote w:type="continuationSeparator" w:id="0">
    <w:p w14:paraId="6E625687" w14:textId="77777777" w:rsidR="00C47B1C" w:rsidRDefault="00C47B1C" w:rsidP="009720D4">
      <w:pPr>
        <w:spacing w:before="0" w:after="0" w:line="240" w:lineRule="auto"/>
      </w:pPr>
      <w:r>
        <w:continuationSeparator/>
      </w:r>
    </w:p>
  </w:footnote>
  <w:footnote w:id="1">
    <w:p w14:paraId="3151F162" w14:textId="77777777" w:rsidR="009720D4" w:rsidRDefault="009720D4" w:rsidP="009720D4">
      <w:pPr>
        <w:pStyle w:val="FootnoteText"/>
        <w:jc w:val="center"/>
        <w:rPr>
          <w:b/>
          <w:bCs/>
        </w:rPr>
      </w:pPr>
      <w:r>
        <w:rPr>
          <w:rStyle w:val="FootnoteCharacters"/>
        </w:rPr>
        <w:footnoteRef/>
      </w:r>
      <w:r>
        <w:rPr>
          <w:rStyle w:val="FootnoteCharacters"/>
        </w:rPr>
        <w:tab/>
        <w:t xml:space="preserve">                                       </w:t>
      </w:r>
      <w:r>
        <w:rPr>
          <w:b/>
          <w:bCs/>
        </w:rPr>
        <w:t>פרק ראשון</w:t>
      </w:r>
    </w:p>
  </w:footnote>
  <w:footnote w:id="2">
    <w:p w14:paraId="2FA5FB18" w14:textId="77777777" w:rsidR="009720D4" w:rsidRDefault="009720D4" w:rsidP="009720D4">
      <w:pPr>
        <w:pStyle w:val="FootnoteText"/>
      </w:pPr>
      <w:r>
        <w:rPr>
          <w:rStyle w:val="FootnoteCharacters"/>
        </w:rPr>
        <w:footnoteRef/>
      </w:r>
      <w:r>
        <w:tab/>
        <w:t xml:space="preserve">גמרא </w:t>
      </w:r>
      <w:r>
        <w:rPr>
          <w:b/>
          <w:bCs/>
        </w:rPr>
        <w:t xml:space="preserve">(ב.) </w:t>
      </w:r>
      <w:r>
        <w:t>משנה אומר זה בלשון שאלה מפני שממשיך מציווי הקרא לקרוא קריאת שמע. אז, כבר ידוע החיוב, ורק שואל על החיוב מתי זמנו. (אגב, ק"ק ממה ממשיך לפי מד“א שחיוב ק"ש הוא מדרבנן (כא.).)</w:t>
      </w:r>
    </w:p>
  </w:footnote>
  <w:footnote w:id="3">
    <w:p w14:paraId="0D9E8DEE" w14:textId="77777777" w:rsidR="009720D4" w:rsidRDefault="009720D4" w:rsidP="009720D4">
      <w:pPr>
        <w:pStyle w:val="FootnoteText"/>
      </w:pPr>
      <w:r>
        <w:rPr>
          <w:rStyle w:val="FootnoteCharacters"/>
        </w:rPr>
        <w:footnoteRef/>
      </w:r>
      <w:r>
        <w:tab/>
        <w:t>קרא אומר, “בשכבך.” זה אומר שצריכים לקרוא קריאת שמע בזמן שכיבה. מניחים (ולא כל כך פשוט לי למה מניחים כן) שזמן שכיבה אינו זמן שכיבה של הקורא, אלא של בני אדם. משנה יבאר מתי נחשב זמן שכיבה ובו קוראים קריאת שמע.</w:t>
      </w:r>
    </w:p>
  </w:footnote>
  <w:footnote w:id="4">
    <w:p w14:paraId="16B79E82" w14:textId="77777777" w:rsidR="009720D4" w:rsidRDefault="009720D4" w:rsidP="009720D4">
      <w:pPr>
        <w:pStyle w:val="FootnoteText"/>
      </w:pPr>
      <w:r>
        <w:rPr>
          <w:rStyle w:val="FootnoteCharacters"/>
        </w:rPr>
        <w:footnoteRef/>
      </w:r>
      <w:r>
        <w:tab/>
        <w:t xml:space="preserve">גמרא </w:t>
      </w:r>
      <w:r>
        <w:rPr>
          <w:b/>
          <w:bCs/>
        </w:rPr>
        <w:t>(ב.)</w:t>
      </w:r>
      <w:r>
        <w:t xml:space="preserve"> מבאר שני טעמים למה מקדים לבאר זמן ק"ש של ערבית קודם שמבאר (במשנה ב) זמן ק"ש של שחרית:</w:t>
      </w:r>
    </w:p>
    <w:p w14:paraId="1D4899CD" w14:textId="77777777" w:rsidR="009720D4" w:rsidRDefault="009720D4" w:rsidP="009720D4">
      <w:pPr>
        <w:pStyle w:val="FootnoteText"/>
        <w:numPr>
          <w:ilvl w:val="0"/>
          <w:numId w:val="1"/>
        </w:numPr>
        <w:ind w:left="1060" w:hanging="360"/>
      </w:pPr>
      <w:r>
        <w:t>קאי על קרא (כמו שבארנו לעיל), וכמו שקרא אמר חיוב לילה ראשון, כך משנה מבאר חיוב לילה ראשון.</w:t>
      </w:r>
    </w:p>
    <w:p w14:paraId="05410646" w14:textId="77777777" w:rsidR="009720D4" w:rsidRDefault="009720D4" w:rsidP="009720D4">
      <w:pPr>
        <w:pStyle w:val="FootnoteText"/>
        <w:numPr>
          <w:ilvl w:val="0"/>
          <w:numId w:val="1"/>
        </w:numPr>
        <w:ind w:left="1060" w:hanging="360"/>
      </w:pPr>
      <w:r>
        <w:t>לומד לעשות כן מבריאת העולם, ששם כ’, “ויהי ערב ויהי בקר,” שמשמע שלילה בא קודם יום.</w:t>
      </w:r>
    </w:p>
  </w:footnote>
  <w:footnote w:id="5">
    <w:p w14:paraId="2A9A52C5" w14:textId="77777777" w:rsidR="009720D4" w:rsidRDefault="009720D4" w:rsidP="009720D4">
      <w:pPr>
        <w:pStyle w:val="FootnoteText"/>
      </w:pPr>
      <w:r>
        <w:rPr>
          <w:rStyle w:val="FootnoteCharacters"/>
        </w:rPr>
        <w:footnoteRef/>
      </w:r>
      <w:r>
        <w:tab/>
        <w:t>גמרא (</w:t>
      </w:r>
      <w:r>
        <w:rPr>
          <w:b/>
          <w:bCs/>
        </w:rPr>
        <w:t xml:space="preserve">ב.,ב:) </w:t>
      </w:r>
      <w:r>
        <w:t xml:space="preserve">מבאר שזה צאת הכוכבים. לומד את זה מן הקרא. קרא </w:t>
      </w:r>
      <w:r>
        <w:rPr>
          <w:b/>
          <w:bCs/>
        </w:rPr>
        <w:t>(ויקרא כב)</w:t>
      </w:r>
      <w:r>
        <w:t xml:space="preserve"> אומר, “ובא השמש וטהר" (ומבאר גמרא </w:t>
      </w:r>
      <w:r>
        <w:rPr>
          <w:b/>
          <w:bCs/>
        </w:rPr>
        <w:t>(יבמות)</w:t>
      </w:r>
      <w:r>
        <w:t xml:space="preserve"> שזה אומר זמן שמותר לאכול תרומה). דורש גמרא ש"ובא השמש" אומר סוף היום, ו"וטהר" אומר שאז הטמא נטהר. (מבאר גמרא </w:t>
      </w:r>
      <w:r>
        <w:rPr>
          <w:b/>
          <w:bCs/>
        </w:rPr>
        <w:t>(ב:)</w:t>
      </w:r>
      <w:r>
        <w:t xml:space="preserve"> שהיה אפשר לומר ש"ובא השמש" ר"ל שיתחיל היום, ו"וטהר" אומר שיקרב קרבנות לטהר עצמו, אלא שלשון "וטהר,” ולא "ויטהר,” מורה שאין הקרא אומר כן.)</w:t>
      </w:r>
    </w:p>
    <w:p w14:paraId="7D6610E7" w14:textId="77777777" w:rsidR="009720D4" w:rsidRDefault="009720D4" w:rsidP="009720D4">
      <w:pPr>
        <w:pStyle w:val="FootnoteText"/>
      </w:pPr>
      <w:r>
        <w:tab/>
        <w:t>גמ’ מזכיר קרא (גבי בנין ביה“מ השני) שהוא זכר לדבר). בירושלמי, מזכיר שלש שיעורים של מנין כוכבים. יש מי שאומר שרק צריכים שני כוכבים, ויש צד שצריך שלש כוכבים, ויש שיטה שצריך ארבע כוכבים.</w:t>
      </w:r>
    </w:p>
  </w:footnote>
  <w:footnote w:id="6">
    <w:p w14:paraId="4FA356BE" w14:textId="77777777" w:rsidR="009720D4" w:rsidRDefault="009720D4" w:rsidP="009720D4">
      <w:pPr>
        <w:pStyle w:val="FootnoteText"/>
      </w:pPr>
      <w:r>
        <w:rPr>
          <w:rStyle w:val="FootnoteCharacters"/>
        </w:rPr>
        <w:footnoteRef/>
      </w:r>
      <w:r>
        <w:tab/>
        <w:t xml:space="preserve">גמרא </w:t>
      </w:r>
      <w:r>
        <w:rPr>
          <w:b/>
          <w:bCs/>
        </w:rPr>
        <w:t>(ב.)</w:t>
      </w:r>
      <w:r>
        <w:t xml:space="preserve"> מבאר שתלה אותו בזמן טהרת כהנים, ולא רק אמר "צאת הכוכבים,” כדי לחדש שכהנים נטהרים בהערב שמת (בצאת).</w:t>
      </w:r>
    </w:p>
  </w:footnote>
  <w:footnote w:id="7">
    <w:p w14:paraId="4843955C" w14:textId="77777777" w:rsidR="009720D4" w:rsidRDefault="009720D4" w:rsidP="009720D4">
      <w:pPr>
        <w:pStyle w:val="FootnoteText"/>
      </w:pPr>
      <w:r>
        <w:rPr>
          <w:rStyle w:val="FootnoteCharacters"/>
        </w:rPr>
        <w:footnoteRef/>
      </w:r>
      <w:r>
        <w:tab/>
        <w:t xml:space="preserve">גמרא מביא חולקים על המשנה. לסוף, נמצא </w:t>
      </w:r>
      <w:r>
        <w:rPr>
          <w:b/>
          <w:bCs/>
        </w:rPr>
        <w:t>שש</w:t>
      </w:r>
      <w:r>
        <w:t xml:space="preserve"> שיטות בזה. נמנה אותם ממוקדם למאוחר:</w:t>
      </w:r>
    </w:p>
    <w:p w14:paraId="63C5B832" w14:textId="77777777" w:rsidR="009720D4" w:rsidRDefault="009720D4" w:rsidP="009720D4">
      <w:pPr>
        <w:pStyle w:val="FootnoteText"/>
        <w:numPr>
          <w:ilvl w:val="0"/>
          <w:numId w:val="2"/>
        </w:numPr>
        <w:ind w:left="1060" w:hanging="360"/>
      </w:pPr>
      <w:r>
        <w:t xml:space="preserve">משעה שהכהנים טובלים. (עיין בהשלמות אות א.) (שיטת רבי מאיר לברייתא אחד בגמ’ </w:t>
      </w:r>
      <w:r>
        <w:rPr>
          <w:b/>
          <w:bCs/>
        </w:rPr>
        <w:t>ב:</w:t>
      </w:r>
      <w:r>
        <w:t>)</w:t>
      </w:r>
    </w:p>
    <w:p w14:paraId="333844D6" w14:textId="77777777" w:rsidR="009720D4" w:rsidRDefault="009720D4" w:rsidP="009720D4">
      <w:pPr>
        <w:pStyle w:val="FootnoteText"/>
        <w:numPr>
          <w:ilvl w:val="0"/>
          <w:numId w:val="2"/>
        </w:numPr>
        <w:ind w:left="1060" w:hanging="360"/>
      </w:pPr>
      <w:r>
        <w:t xml:space="preserve">משעה שקדש היום, שהוא בין השמשות (שיטת רבי אליעזר בגמ’ </w:t>
      </w:r>
      <w:r>
        <w:rPr>
          <w:b/>
          <w:bCs/>
        </w:rPr>
        <w:t>ב:</w:t>
      </w:r>
      <w:r>
        <w:t>) (עיין בהשלמות אות ב.)</w:t>
      </w:r>
    </w:p>
    <w:p w14:paraId="10B58416" w14:textId="77777777" w:rsidR="009720D4" w:rsidRDefault="009720D4" w:rsidP="009720D4">
      <w:pPr>
        <w:pStyle w:val="FootnoteText"/>
        <w:numPr>
          <w:ilvl w:val="0"/>
          <w:numId w:val="2"/>
        </w:numPr>
        <w:ind w:left="1060" w:hanging="360"/>
      </w:pPr>
      <w:r>
        <w:t>משעה שהכהנים אוכלים. זה צאת הכוכבים. (משנה</w:t>
      </w:r>
      <w:r>
        <w:rPr>
          <w:b/>
          <w:bCs/>
        </w:rPr>
        <w:t xml:space="preserve"> ב.</w:t>
      </w:r>
      <w:r>
        <w:t xml:space="preserve">, רבי יהושע </w:t>
      </w:r>
      <w:r>
        <w:rPr>
          <w:b/>
          <w:bCs/>
        </w:rPr>
        <w:t>ב:</w:t>
      </w:r>
      <w:r>
        <w:t>)</w:t>
      </w:r>
    </w:p>
    <w:p w14:paraId="1E98F844" w14:textId="77777777" w:rsidR="009720D4" w:rsidRDefault="009720D4" w:rsidP="009720D4">
      <w:pPr>
        <w:pStyle w:val="FootnoteText"/>
        <w:numPr>
          <w:ilvl w:val="0"/>
          <w:numId w:val="2"/>
        </w:numPr>
        <w:ind w:left="1060" w:hanging="360"/>
      </w:pPr>
      <w:r>
        <w:t xml:space="preserve">משעה שהעני אוכל (שיטת רבי מאיר לברייתא אחד בגמ’ </w:t>
      </w:r>
      <w:r>
        <w:rPr>
          <w:b/>
          <w:bCs/>
        </w:rPr>
        <w:t>ב:</w:t>
      </w:r>
      <w:r>
        <w:t>)</w:t>
      </w:r>
    </w:p>
    <w:p w14:paraId="6D790BFC" w14:textId="77777777" w:rsidR="009720D4" w:rsidRDefault="009720D4" w:rsidP="009720D4">
      <w:pPr>
        <w:pStyle w:val="FootnoteText"/>
        <w:numPr>
          <w:ilvl w:val="0"/>
          <w:numId w:val="2"/>
        </w:numPr>
        <w:ind w:left="1060" w:hanging="360"/>
      </w:pPr>
      <w:r>
        <w:t>משעה שכל אדם נכנס לאכול בשבת (סתם, פשט אחד ברב אחא ב</w:t>
      </w:r>
      <w:r>
        <w:rPr>
          <w:b/>
          <w:bCs/>
        </w:rPr>
        <w:t>רש"י ב:</w:t>
      </w:r>
      <w:r>
        <w:t>). ירושלמי</w:t>
      </w:r>
      <w:r>
        <w:rPr>
          <w:b/>
          <w:bCs/>
        </w:rPr>
        <w:t xml:space="preserve"> (א, א) </w:t>
      </w:r>
      <w:r>
        <w:t>אומר שזה קרוב לצאת הכוכבים, ומבאר שזה זמן שאוכלים בכפרים קטנים (שהוא קרוב לצאת הכוכבים, כיון שיש להם זמן להכין מבעוד יום).</w:t>
      </w:r>
    </w:p>
    <w:p w14:paraId="57CDC718" w14:textId="77777777" w:rsidR="009720D4" w:rsidRDefault="009720D4" w:rsidP="009720D4">
      <w:pPr>
        <w:pStyle w:val="FootnoteText"/>
        <w:numPr>
          <w:ilvl w:val="0"/>
          <w:numId w:val="2"/>
        </w:numPr>
        <w:ind w:left="1060" w:hanging="360"/>
      </w:pPr>
      <w:r>
        <w:t>משעה שכל אדם נכנס לאכול בחול. (פשט אחד ברב אחא ב</w:t>
      </w:r>
      <w:r>
        <w:rPr>
          <w:b/>
          <w:bCs/>
        </w:rPr>
        <w:t>רש"י ב:)</w:t>
      </w:r>
    </w:p>
    <w:p w14:paraId="0C5BCA00" w14:textId="77777777" w:rsidR="009720D4" w:rsidRDefault="009720D4" w:rsidP="009720D4">
      <w:pPr>
        <w:pStyle w:val="FootnoteText"/>
      </w:pPr>
      <w:r>
        <w:rPr>
          <w:b/>
          <w:bCs/>
        </w:rPr>
        <w:tab/>
      </w:r>
      <w:r>
        <w:t xml:space="preserve">בירושלמי </w:t>
      </w:r>
      <w:r>
        <w:rPr>
          <w:b/>
          <w:bCs/>
        </w:rPr>
        <w:t>(א, א)</w:t>
      </w:r>
      <w:r>
        <w:t xml:space="preserve"> מזכיר זמנים אחרים של תחילת לילה. יש לדון אם זמנים אלו יהיו נוגעים לתחילת זמן ק“ש של לילה.</w:t>
      </w:r>
    </w:p>
  </w:footnote>
  <w:footnote w:id="8">
    <w:p w14:paraId="38611327" w14:textId="77777777" w:rsidR="009720D4" w:rsidRDefault="009720D4" w:rsidP="009720D4">
      <w:pPr>
        <w:pStyle w:val="FootnoteText"/>
      </w:pPr>
      <w:r>
        <w:rPr>
          <w:rStyle w:val="FootnoteCharacters"/>
        </w:rPr>
        <w:footnoteRef/>
      </w:r>
      <w:r>
        <w:tab/>
        <w:t xml:space="preserve">אשמורה היא חלק של לילה שבו יש כת מיוחדת של מלאכים הממונים על השמירה. חולקים רבי ורבי נתן </w:t>
      </w:r>
      <w:r>
        <w:rPr>
          <w:b/>
          <w:bCs/>
        </w:rPr>
        <w:t>(ג:)</w:t>
      </w:r>
      <w:r>
        <w:t xml:space="preserve"> כמה משמרות יש בלילה; רבי אומר שיש ארבע, ורבי נתן אומר שיש שלש. גמרא </w:t>
      </w:r>
      <w:r>
        <w:rPr>
          <w:b/>
          <w:bCs/>
        </w:rPr>
        <w:t>(ג.)</w:t>
      </w:r>
      <w:r>
        <w:t xml:space="preserve"> מבאר שר"א סובר שיש שלש. אז, זמן זה הוא ארבע שעות בתוך הלילה.</w:t>
      </w:r>
    </w:p>
  </w:footnote>
  <w:footnote w:id="9">
    <w:p w14:paraId="7F289EFF" w14:textId="77777777" w:rsidR="009720D4" w:rsidRDefault="009720D4" w:rsidP="009720D4">
      <w:pPr>
        <w:pStyle w:val="FootnoteText"/>
      </w:pPr>
      <w:r>
        <w:rPr>
          <w:rStyle w:val="FootnoteCharacters"/>
        </w:rPr>
        <w:footnoteRef/>
      </w:r>
      <w:r>
        <w:tab/>
        <w:t>אומר לשון אשמורה, ולא אומר ארבע שעות בלילה, להודיע שיש סימנים למשמרות בארץ. בסוף משמרה ראשונה, חמור נוער.</w:t>
      </w:r>
    </w:p>
  </w:footnote>
  <w:footnote w:id="10">
    <w:p w14:paraId="5468A90D" w14:textId="77777777" w:rsidR="009720D4" w:rsidRDefault="009720D4" w:rsidP="009720D4">
      <w:pPr>
        <w:pStyle w:val="FootnoteText"/>
      </w:pPr>
      <w:r>
        <w:rPr>
          <w:rStyle w:val="FootnoteCharacters"/>
        </w:rPr>
        <w:footnoteRef/>
      </w:r>
      <w:r>
        <w:tab/>
        <w:t xml:space="preserve">גמרא </w:t>
      </w:r>
      <w:r>
        <w:rPr>
          <w:b/>
          <w:bCs/>
        </w:rPr>
        <w:t>(ד:)</w:t>
      </w:r>
      <w:r>
        <w:t xml:space="preserve"> מבאר שסוברים שמדאורייתא זמנו הוא עד הבקר, אבל גזרו רבנן שיקרא קודם חצות כדי שלא יעבור ויישן ולא יקרא.</w:t>
      </w:r>
    </w:p>
  </w:footnote>
  <w:footnote w:id="11">
    <w:p w14:paraId="4E2A40D9" w14:textId="77777777" w:rsidR="009720D4" w:rsidRDefault="009720D4" w:rsidP="009720D4">
      <w:pPr>
        <w:pStyle w:val="FootnoteText"/>
      </w:pPr>
      <w:r>
        <w:rPr>
          <w:rStyle w:val="FootnoteCharacters"/>
        </w:rPr>
        <w:footnoteRef/>
      </w:r>
      <w:r>
        <w:tab/>
        <w:t xml:space="preserve">מצאנו במשנה, אז, </w:t>
      </w:r>
      <w:r>
        <w:rPr>
          <w:b/>
          <w:bCs/>
        </w:rPr>
        <w:t>שלש</w:t>
      </w:r>
      <w:r>
        <w:t xml:space="preserve"> שיטות:</w:t>
      </w:r>
    </w:p>
    <w:p w14:paraId="4606989A" w14:textId="77777777" w:rsidR="009720D4" w:rsidRDefault="009720D4" w:rsidP="009720D4">
      <w:pPr>
        <w:pStyle w:val="FootnoteText"/>
        <w:numPr>
          <w:ilvl w:val="0"/>
          <w:numId w:val="3"/>
        </w:numPr>
        <w:ind w:left="1060" w:hanging="360"/>
      </w:pPr>
      <w:r>
        <w:t>עד סוף אשמורה הראשונה מדאורייתא.</w:t>
      </w:r>
    </w:p>
    <w:p w14:paraId="061928A3" w14:textId="77777777" w:rsidR="009720D4" w:rsidRDefault="009720D4" w:rsidP="009720D4">
      <w:pPr>
        <w:pStyle w:val="FootnoteText"/>
        <w:numPr>
          <w:ilvl w:val="0"/>
          <w:numId w:val="3"/>
        </w:numPr>
        <w:ind w:left="1060" w:hanging="360"/>
      </w:pPr>
      <w:r>
        <w:t>עד חצות מדרבנן (ועד עלות השחר מדאורייתא)</w:t>
      </w:r>
    </w:p>
    <w:p w14:paraId="0E389CC8" w14:textId="77777777" w:rsidR="009720D4" w:rsidRDefault="009720D4" w:rsidP="009720D4">
      <w:pPr>
        <w:pStyle w:val="FootnoteText"/>
        <w:numPr>
          <w:ilvl w:val="0"/>
          <w:numId w:val="3"/>
        </w:numPr>
        <w:ind w:left="1060" w:hanging="360"/>
      </w:pPr>
      <w:r>
        <w:t>עד עלות השחר.</w:t>
      </w:r>
    </w:p>
    <w:p w14:paraId="2CE35489" w14:textId="77777777" w:rsidR="009720D4" w:rsidRDefault="009720D4" w:rsidP="009720D4">
      <w:pPr>
        <w:pStyle w:val="FootnoteText"/>
      </w:pPr>
      <w:r>
        <w:tab/>
        <w:t xml:space="preserve">גמרא </w:t>
      </w:r>
      <w:r>
        <w:rPr>
          <w:b/>
          <w:bCs/>
        </w:rPr>
        <w:t>(ב:)</w:t>
      </w:r>
      <w:r>
        <w:t xml:space="preserve"> מביא עוד שיטה: קוראים עד שעה שעני עומד לצאת מסעודתו. גם מביא</w:t>
      </w:r>
      <w:r>
        <w:rPr>
          <w:b/>
          <w:bCs/>
        </w:rPr>
        <w:t xml:space="preserve"> (ח:) </w:t>
      </w:r>
      <w:r>
        <w:t>שיטה אחרת (חד צד ברשב"י) שיכול לקרוא עד הנץ החמה. (עיין בהשלמות אות ג.)</w:t>
      </w:r>
    </w:p>
    <w:p w14:paraId="282EE83C" w14:textId="77777777" w:rsidR="009720D4" w:rsidRDefault="009720D4" w:rsidP="009720D4">
      <w:pPr>
        <w:pStyle w:val="FootnoteText"/>
      </w:pPr>
      <w:r>
        <w:tab/>
        <w:t>רש"י מבאר שיש מחלקת אחת יסודית, והוא אם זמן שכיבה הוא הזמן שבני אדם הולכים לישון או (אף) זמן שבני אדם שוכבים. שיטה המובאה בגמ’ ור“א סוברים שהוא הזמן שבני אדם הולכים לישון, וחולקים מתי הוא זמן זה. רבנן ור“ג סוברים שהוא הזמן שבני אדם שוכבים, ורק חולקים אם לגזור כדי שיקרא קודם חצות אם לא.</w:t>
      </w:r>
    </w:p>
  </w:footnote>
  <w:footnote w:id="12">
    <w:p w14:paraId="2A8FFED2" w14:textId="77777777" w:rsidR="009720D4" w:rsidRDefault="009720D4" w:rsidP="009720D4">
      <w:pPr>
        <w:pStyle w:val="FootnoteText"/>
      </w:pPr>
      <w:r>
        <w:rPr>
          <w:rStyle w:val="FootnoteCharacters"/>
        </w:rPr>
        <w:footnoteRef/>
      </w:r>
      <w:r>
        <w:tab/>
        <w:t>היו שכורים מבית המשתה, ואז לא קראו קריאת שמע. היו יכולים לשתות ולפטור את עצמם כיון שהעוסק במצווה פטור מן המצווה. (</w:t>
      </w:r>
      <w:r>
        <w:rPr>
          <w:b/>
          <w:bCs/>
        </w:rPr>
        <w:t>סוכה כה:</w:t>
      </w:r>
      <w:r>
        <w:t>)</w:t>
      </w:r>
    </w:p>
  </w:footnote>
  <w:footnote w:id="13">
    <w:p w14:paraId="712F7A87" w14:textId="77777777" w:rsidR="009720D4" w:rsidRDefault="009720D4" w:rsidP="009720D4">
      <w:pPr>
        <w:pStyle w:val="FootnoteText"/>
      </w:pPr>
      <w:r>
        <w:rPr>
          <w:rStyle w:val="FootnoteCharacters"/>
        </w:rPr>
        <w:footnoteRef/>
      </w:r>
      <w:r>
        <w:tab/>
        <w:t>גמרא (</w:t>
      </w:r>
      <w:r>
        <w:rPr>
          <w:b/>
          <w:bCs/>
        </w:rPr>
        <w:t>ט.</w:t>
      </w:r>
      <w:r>
        <w:t>) מבאר ששאלו לו אם רבנן חולקים עליו בדין דאו’, שאם חלקו, לא היו קוראים, שהלכה כחכמים כיון שהם הרבים.</w:t>
      </w:r>
    </w:p>
  </w:footnote>
  <w:footnote w:id="14">
    <w:p w14:paraId="457C8EBE" w14:textId="77777777" w:rsidR="009720D4" w:rsidRDefault="009720D4" w:rsidP="009720D4">
      <w:pPr>
        <w:pStyle w:val="FootnoteText"/>
      </w:pPr>
      <w:r>
        <w:rPr>
          <w:rStyle w:val="FootnoteCharacters"/>
        </w:rPr>
        <w:footnoteRef/>
      </w:r>
      <w:r>
        <w:tab/>
        <w:t xml:space="preserve">אבל כאן לא גזרו רבנן, אלא ממשיך להעלותם כל הלילה. רק הזכיר את זה להוכיח להם שמצוות קריאת שמע- כיון שהוא דבר שמצוותו בלילה- הוא כל הלילה. </w:t>
      </w:r>
      <w:r>
        <w:rPr>
          <w:b/>
          <w:bCs/>
        </w:rPr>
        <w:t>(רש"י ב.)</w:t>
      </w:r>
    </w:p>
  </w:footnote>
  <w:footnote w:id="15">
    <w:p w14:paraId="567CF90C" w14:textId="77777777" w:rsidR="009720D4" w:rsidRDefault="009720D4" w:rsidP="009720D4">
      <w:pPr>
        <w:pStyle w:val="FootnoteText"/>
      </w:pPr>
      <w:r>
        <w:rPr>
          <w:rStyle w:val="FootnoteCharacters"/>
        </w:rPr>
        <w:footnoteRef/>
      </w:r>
      <w:r>
        <w:tab/>
        <w:t xml:space="preserve">גמרא </w:t>
      </w:r>
      <w:r>
        <w:rPr>
          <w:b/>
          <w:bCs/>
        </w:rPr>
        <w:t>(ט.)</w:t>
      </w:r>
      <w:r>
        <w:t xml:space="preserve"> מדייק ממה שלא מזכיר אכילת קרבן פסח שסובר שאין זה נכון גבי אותו מצווה. זה אומר שקרבן פסח נאכל עד חצות מדאורייתא. חלקו בזה ראב"ע ור"ע, שראב"ע סובר שרק נאכל עד חצות מדאורייתא, ורבי עקיבא סובר שנאכל עד הבקר.</w:t>
      </w:r>
    </w:p>
    <w:p w14:paraId="136B1C07" w14:textId="77777777" w:rsidR="009720D4" w:rsidRDefault="009720D4" w:rsidP="009720D4">
      <w:pPr>
        <w:pStyle w:val="FootnoteText"/>
      </w:pPr>
      <w:r>
        <w:tab/>
        <w:t>ירושלמי</w:t>
      </w:r>
      <w:r>
        <w:rPr>
          <w:b/>
          <w:bCs/>
        </w:rPr>
        <w:t xml:space="preserve"> (א, א) </w:t>
      </w:r>
      <w:r>
        <w:t>אומר שיש שגורסים במשנה ”אכילת פסחים,“ ואז המשנה הולך לשיטת ר“ע. גם מבאר שאף אם לא כתוב במשנה, יש לומר שמשנה סובר כר“ע ורק מזכיר דברים שיכולים, אף לרבנן, לקיים אחר חצות. אבל, תקנו רבנן טומאה על פסחים אחר חצות, ואז א“א לקיים אותו אחר כן. לכן, אינו נמנה במשנה.</w:t>
      </w:r>
    </w:p>
  </w:footnote>
  <w:footnote w:id="16">
    <w:p w14:paraId="0F1EE3C8" w14:textId="77777777" w:rsidR="009720D4" w:rsidRDefault="009720D4" w:rsidP="009720D4">
      <w:pPr>
        <w:pStyle w:val="FootnoteText"/>
      </w:pPr>
      <w:r>
        <w:rPr>
          <w:rStyle w:val="FootnoteCharacters"/>
        </w:rPr>
        <w:footnoteRef/>
      </w:r>
      <w:r>
        <w:tab/>
        <w:t xml:space="preserve">ירושלמי </w:t>
      </w:r>
      <w:r>
        <w:rPr>
          <w:b/>
          <w:bCs/>
        </w:rPr>
        <w:t>(א, א)</w:t>
      </w:r>
      <w:r>
        <w:t xml:space="preserve"> מבאר שלפעמים לא יבין שכבר בא הבקר, ויבוא לאחר אותו. אז, תקנו שיעשה אותו אף קודם חצות.</w:t>
      </w:r>
    </w:p>
  </w:footnote>
  <w:footnote w:id="17">
    <w:p w14:paraId="2F151BB7" w14:textId="77777777" w:rsidR="009720D4" w:rsidRDefault="009720D4" w:rsidP="009720D4">
      <w:pPr>
        <w:pStyle w:val="FootnoteText"/>
        <w:rPr>
          <w:b/>
          <w:bCs/>
        </w:rPr>
      </w:pPr>
      <w:r>
        <w:rPr>
          <w:rStyle w:val="FootnoteCharacters"/>
        </w:rPr>
        <w:footnoteRef/>
      </w:r>
      <w:r>
        <w:rPr>
          <w:b/>
          <w:bCs/>
        </w:rPr>
        <w:tab/>
        <w:t>רש"י (ב.)</w:t>
      </w:r>
      <w:r>
        <w:t xml:space="preserve"> מבאר שעבירה זה הוא איסור אכילת נותר, שהוא חיוב כרת. לא הבנתי ל"ל אמר שהוא איסור של ביטול אכילת קדשים, כמו שהוא גבי קריאת שמע. אולי אין חיוב לאכול קדשים, אלא רק מצווה קיומית, ולא היינו גוזרים מחמת זה.</w:t>
      </w:r>
    </w:p>
  </w:footnote>
  <w:footnote w:id="18">
    <w:p w14:paraId="57D50DD3" w14:textId="77777777" w:rsidR="009720D4" w:rsidRDefault="009720D4" w:rsidP="009720D4">
      <w:pPr>
        <w:pStyle w:val="FootnoteText"/>
        <w:rPr>
          <w:b/>
          <w:bCs/>
        </w:rPr>
      </w:pPr>
      <w:r>
        <w:rPr>
          <w:rStyle w:val="FootnoteCharacters"/>
        </w:rPr>
        <w:footnoteRef/>
      </w:r>
      <w:r>
        <w:rPr>
          <w:rStyle w:val="FootnoteCharacters"/>
        </w:rPr>
        <w:tab/>
        <w:t xml:space="preserve">                    </w:t>
      </w:r>
      <w:r>
        <w:rPr>
          <w:b/>
          <w:bCs/>
        </w:rPr>
        <w:t>משנה ב</w:t>
      </w:r>
    </w:p>
  </w:footnote>
  <w:footnote w:id="19">
    <w:p w14:paraId="23804965" w14:textId="77777777" w:rsidR="009720D4" w:rsidRDefault="009720D4" w:rsidP="009720D4">
      <w:pPr>
        <w:pStyle w:val="FootnoteText"/>
      </w:pPr>
      <w:r>
        <w:rPr>
          <w:rStyle w:val="FootnoteCharacters"/>
        </w:rPr>
        <w:footnoteRef/>
      </w:r>
      <w:r>
        <w:tab/>
        <w:t xml:space="preserve">גמרא </w:t>
      </w:r>
      <w:r>
        <w:rPr>
          <w:b/>
          <w:bCs/>
        </w:rPr>
        <w:t>(ט:)</w:t>
      </w:r>
      <w:r>
        <w:t xml:space="preserve"> מבאר שאין קוראים כשיכולים לחלק בין חתיכה של לבן לחתיכה של תכלת, שזה קל לעשות אפילו בלילה, אלא רק כשיכולים לחלק בין תכלת שבבגד הצבוע ללבן שבו. (יש לדון אם זה אף בשיעור של רבי אליעזר.) מרש“י קצת משמע שהסיבה שאותו זמן מאוחר הוא מפני שאף הלבן שם קצת צבוע, ורק לא צבוע יפה. אז, הם יותר דומים.</w:t>
      </w:r>
    </w:p>
    <w:p w14:paraId="0B8C7732" w14:textId="77777777" w:rsidR="009720D4" w:rsidRDefault="009720D4" w:rsidP="009720D4">
      <w:pPr>
        <w:pStyle w:val="FootnoteText"/>
      </w:pPr>
      <w:r>
        <w:tab/>
        <w:t xml:space="preserve">ירושלמי </w:t>
      </w:r>
      <w:r>
        <w:rPr>
          <w:b/>
          <w:bCs/>
        </w:rPr>
        <w:t>(א, ב)</w:t>
      </w:r>
      <w:r>
        <w:t xml:space="preserve"> וגמ’ מנחות </w:t>
      </w:r>
      <w:r>
        <w:rPr>
          <w:b/>
          <w:bCs/>
        </w:rPr>
        <w:t>(מג:)</w:t>
      </w:r>
      <w:r>
        <w:t>, לפי שיטה אחת שם, מבאר שהוא זמן שיכולים להבחין בין תכלת ולבן של ציצית. (לכאו’, אין זה חולק על בבלי). דורש כן ממש"כ, ”וראיתם אותו.“ סובר שזה קאי על הלבן (או על כל הציצית, ואומר שצריך להכיר את החלקים שבו), ואומר שצריך להכיר אותו מן התכלת הקרוב לו.</w:t>
      </w:r>
    </w:p>
  </w:footnote>
  <w:footnote w:id="20">
    <w:p w14:paraId="26C561ED" w14:textId="77777777" w:rsidR="009720D4" w:rsidRDefault="009720D4" w:rsidP="009720D4">
      <w:pPr>
        <w:pStyle w:val="FootnoteText"/>
      </w:pPr>
      <w:r>
        <w:rPr>
          <w:rStyle w:val="FootnoteCharacters"/>
        </w:rPr>
        <w:footnoteRef/>
      </w:r>
      <w:r>
        <w:tab/>
        <w:t xml:space="preserve">ירושלמי </w:t>
      </w:r>
      <w:r>
        <w:rPr>
          <w:b/>
          <w:bCs/>
        </w:rPr>
        <w:t>(א, ב)</w:t>
      </w:r>
      <w:r>
        <w:t xml:space="preserve"> מבאר שר“א דורש את זה מ“וראיתם אותו.“ סובר שזה קאי על פתיל התכלת. כיון שנאמר סתם (רק אומר שצריך להכיר אותו, ולא נאמר ממה), מניחים שצריך להכיר אותו מדבר הדומה לו, והוא כרתי.</w:t>
      </w:r>
    </w:p>
    <w:p w14:paraId="7D4A93BD" w14:textId="77777777" w:rsidR="009720D4" w:rsidRDefault="009720D4" w:rsidP="009720D4">
      <w:pPr>
        <w:pStyle w:val="FootnoteText"/>
      </w:pPr>
      <w:r>
        <w:tab/>
        <w:t>שיעור זה הוא אחר שיעור של הת“ק.</w:t>
      </w:r>
    </w:p>
  </w:footnote>
  <w:footnote w:id="21">
    <w:p w14:paraId="3112C747" w14:textId="77777777" w:rsidR="009720D4" w:rsidRDefault="009720D4" w:rsidP="009720D4">
      <w:pPr>
        <w:pStyle w:val="FootnoteText"/>
      </w:pPr>
      <w:r>
        <w:rPr>
          <w:rStyle w:val="FootnoteCharacters"/>
        </w:rPr>
        <w:footnoteRef/>
      </w:r>
      <w:r>
        <w:tab/>
        <w:t xml:space="preserve">גמרא </w:t>
      </w:r>
      <w:r>
        <w:rPr>
          <w:b/>
          <w:bCs/>
        </w:rPr>
        <w:t>(ט:)</w:t>
      </w:r>
      <w:r>
        <w:t xml:space="preserve"> וירושלמי </w:t>
      </w:r>
      <w:r>
        <w:rPr>
          <w:b/>
          <w:bCs/>
        </w:rPr>
        <w:t xml:space="preserve">(א, א </w:t>
      </w:r>
      <w:r>
        <w:t>ו</w:t>
      </w:r>
      <w:r>
        <w:rPr>
          <w:b/>
          <w:bCs/>
        </w:rPr>
        <w:t xml:space="preserve">ב) </w:t>
      </w:r>
      <w:r>
        <w:t>מוסיף ארבע שיטות תנאים (לא ידוע לי סדרם):</w:t>
      </w:r>
    </w:p>
    <w:p w14:paraId="3873ADF5" w14:textId="77777777" w:rsidR="009720D4" w:rsidRDefault="009720D4" w:rsidP="009720D4">
      <w:pPr>
        <w:pStyle w:val="FootnoteText"/>
        <w:numPr>
          <w:ilvl w:val="0"/>
          <w:numId w:val="4"/>
        </w:numPr>
        <w:ind w:left="1060" w:hanging="360"/>
      </w:pPr>
      <w:r>
        <w:t>רבי מאיר אומר שהוא משיכיר בין זאב לכלב. (בירושלמי מביא זה בשם ”אית דתני.“) ירושלמי מצדד שזה שווה לשיעור של ר"א. לכאו’, סובר ש"וראיתם אותו“ קאי על בהמה, וסובר, כר“א, שצריך להכיר אותו ממה שדומה לו. (א“כ, שיעור ההרחק יהיה ג“כ ד"א, כמו שנבאר באחרים.)</w:t>
      </w:r>
    </w:p>
    <w:p w14:paraId="48E56E90" w14:textId="77777777" w:rsidR="009720D4" w:rsidRDefault="009720D4" w:rsidP="009720D4">
      <w:pPr>
        <w:pStyle w:val="FootnoteText"/>
        <w:numPr>
          <w:ilvl w:val="0"/>
          <w:numId w:val="4"/>
        </w:numPr>
        <w:ind w:left="1060" w:hanging="360"/>
      </w:pPr>
      <w:r>
        <w:t>רבי עקיבא אומר שהוא משיכיר בין חמור לערוד. ערוד הוא חמור הבר.</w:t>
      </w:r>
    </w:p>
    <w:p w14:paraId="24CF6CFF" w14:textId="77777777" w:rsidR="009720D4" w:rsidRDefault="009720D4" w:rsidP="009720D4">
      <w:pPr>
        <w:pStyle w:val="FootnoteText"/>
        <w:numPr>
          <w:ilvl w:val="0"/>
          <w:numId w:val="4"/>
        </w:numPr>
        <w:ind w:left="1060" w:hanging="360"/>
      </w:pPr>
      <w:r>
        <w:t xml:space="preserve">אחרים אומרים שהוא משיכיר את חבירו (שהוא קצת מכיר (ירושלמי </w:t>
      </w:r>
      <w:r>
        <w:rPr>
          <w:b/>
          <w:bCs/>
        </w:rPr>
        <w:t>(א, ב)</w:t>
      </w:r>
      <w:r>
        <w:t>))</w:t>
      </w:r>
      <w:r>
        <w:rPr>
          <w:b/>
          <w:bCs/>
        </w:rPr>
        <w:t xml:space="preserve"> </w:t>
      </w:r>
      <w:r>
        <w:t>מרוחק ד"א. דורש את זה מ“וראיתם אותו,“ שסובר שקאי על ראיית חבר, וסתם ראייה הוא בהרחק ד"א. (ירושלמי מצדד ששיטה זו שווה לת“ק של המשנה.)</w:t>
      </w:r>
    </w:p>
    <w:p w14:paraId="44952E94" w14:textId="77777777" w:rsidR="009720D4" w:rsidRDefault="009720D4" w:rsidP="009720D4">
      <w:pPr>
        <w:pStyle w:val="FootnoteText"/>
        <w:numPr>
          <w:ilvl w:val="0"/>
          <w:numId w:val="4"/>
        </w:numPr>
        <w:ind w:left="1060" w:hanging="360"/>
      </w:pPr>
      <w:r>
        <w:t>ר“ש אומר שהוא מעלות השחר.</w:t>
      </w:r>
    </w:p>
    <w:p w14:paraId="2A28C998" w14:textId="77777777" w:rsidR="009720D4" w:rsidRDefault="009720D4" w:rsidP="009720D4">
      <w:pPr>
        <w:pStyle w:val="FootnoteText"/>
      </w:pPr>
      <w:r>
        <w:tab/>
        <w:t>ירושלמי מזכיר שר“מ דורש ד“א מ“וראיתם אותו“ (בענין גודל מצוות תכלת.) א“כ, לא יהיה מקור לו לסבור כשום אחד מן השיטות כי אם כר“ש. ויש לדון. (עיין בהשלמות אות כד.)</w:t>
      </w:r>
    </w:p>
    <w:p w14:paraId="79CAA049" w14:textId="77777777" w:rsidR="009720D4" w:rsidRDefault="009720D4" w:rsidP="009720D4">
      <w:pPr>
        <w:pStyle w:val="FootnoteText"/>
      </w:pPr>
      <w:r>
        <w:tab/>
        <w:t xml:space="preserve">גמרא </w:t>
      </w:r>
      <w:r>
        <w:rPr>
          <w:b/>
          <w:bCs/>
        </w:rPr>
        <w:t>(ט:)</w:t>
      </w:r>
      <w:r>
        <w:t xml:space="preserve"> פוסק כאחרים.</w:t>
      </w:r>
    </w:p>
  </w:footnote>
  <w:footnote w:id="22">
    <w:p w14:paraId="6D740914" w14:textId="77777777" w:rsidR="009720D4" w:rsidRDefault="009720D4" w:rsidP="009720D4">
      <w:pPr>
        <w:pStyle w:val="FootnoteText"/>
      </w:pPr>
      <w:r>
        <w:rPr>
          <w:rStyle w:val="FootnoteCharacters"/>
        </w:rPr>
        <w:footnoteRef/>
      </w:r>
      <w:r>
        <w:tab/>
        <w:t xml:space="preserve">גמרא </w:t>
      </w:r>
      <w:r>
        <w:rPr>
          <w:b/>
          <w:bCs/>
        </w:rPr>
        <w:t>(ט.)</w:t>
      </w:r>
      <w:r>
        <w:t xml:space="preserve"> מבאר שכל זה בדיעבד, אבל לכתחילה, זמנו כוותיקין (שהוא קצת קודם הנץ החמה). צריך שני הקדמות לבאר למה כן. הראשון הוא שזמן המובחר להתפלל הוא עם הנץ החמה. גמרא </w:t>
      </w:r>
      <w:r>
        <w:rPr>
          <w:b/>
          <w:bCs/>
        </w:rPr>
        <w:t>(ט:)</w:t>
      </w:r>
      <w:r>
        <w:t xml:space="preserve"> לומד את זה מ"ייראוך עם שמש.” ההקדמה השניה הוא שצריכים לסמוך גאולה לתפלה (על כל פנים, בשחרית). אז, נמצא שכדי להתפלל עם הוותיקין ולסמוך גאולה לתפלה, צריך לקרוא קריאת שמע (שנקרא עם גאולה) סמוך להנץ.</w:t>
      </w:r>
    </w:p>
  </w:footnote>
  <w:footnote w:id="23">
    <w:p w14:paraId="178D2826" w14:textId="77777777" w:rsidR="009720D4" w:rsidRDefault="009720D4" w:rsidP="009720D4">
      <w:pPr>
        <w:pStyle w:val="FootnoteText"/>
        <w:rPr>
          <w:b/>
          <w:bCs/>
        </w:rPr>
      </w:pPr>
      <w:r>
        <w:rPr>
          <w:rStyle w:val="FootnoteCharacters"/>
        </w:rPr>
        <w:footnoteRef/>
      </w:r>
      <w:r>
        <w:rPr>
          <w:b/>
          <w:bCs/>
        </w:rPr>
        <w:tab/>
        <w:t>רש"י (ג:)</w:t>
      </w:r>
      <w:r>
        <w:t xml:space="preserve"> מפרש שזה עד תחילת שעה שלישית, ולא סוף שעה שלישית. (כן הוא הפשטות של רש"י, אבל עיין בשי“ח ש“י (גלגל חמישי וגלגל ששי) שדחינו את זה.)</w:t>
      </w:r>
    </w:p>
  </w:footnote>
  <w:footnote w:id="24">
    <w:p w14:paraId="1D49F23A" w14:textId="77777777" w:rsidR="009720D4" w:rsidRDefault="009720D4" w:rsidP="009720D4">
      <w:pPr>
        <w:pStyle w:val="FootnoteText"/>
      </w:pPr>
      <w:r>
        <w:rPr>
          <w:rStyle w:val="FootnoteCharacters"/>
        </w:rPr>
        <w:footnoteRef/>
      </w:r>
      <w:r>
        <w:tab/>
        <w:t xml:space="preserve">ירושלמי </w:t>
      </w:r>
      <w:r>
        <w:rPr>
          <w:b/>
          <w:bCs/>
        </w:rPr>
        <w:t>(א, ב)</w:t>
      </w:r>
      <w:r>
        <w:t xml:space="preserve"> אומר שאין לסמוך על זה אלא בשעת הדחק. אז, אם שכח, יקרא אז, או אם צריך לעשות מצווה, יכול להמתין עד אז, אבל חוץ מזה, אין ר"י מיקל.</w:t>
      </w:r>
    </w:p>
  </w:footnote>
  <w:footnote w:id="25">
    <w:p w14:paraId="38DE6C4B" w14:textId="77777777" w:rsidR="009720D4" w:rsidRDefault="009720D4" w:rsidP="009720D4">
      <w:pPr>
        <w:pStyle w:val="FootnoteText"/>
      </w:pPr>
      <w:r>
        <w:rPr>
          <w:rStyle w:val="FootnoteCharacters"/>
        </w:rPr>
        <w:footnoteRef/>
      </w:r>
      <w:r>
        <w:tab/>
        <w:t xml:space="preserve">בגמרא </w:t>
      </w:r>
      <w:r>
        <w:rPr>
          <w:b/>
          <w:bCs/>
        </w:rPr>
        <w:t>(ט:)</w:t>
      </w:r>
      <w:r>
        <w:t xml:space="preserve"> גורס "מלכים" במקום "בני מלכים.” מגמרא </w:t>
      </w:r>
      <w:r>
        <w:rPr>
          <w:b/>
          <w:bCs/>
        </w:rPr>
        <w:t>(ג:, ד.)</w:t>
      </w:r>
      <w:r>
        <w:t xml:space="preserve"> מבואר שזה אף גבי מלכים. אפשר שמלכים קל וחומר מבני מלכים, שהם יותר חשובים, ומסתמא הם יותר מעונגים. ויש לדון, שאף יש להם יותר לעשות, ואז נפרך הקל וחומר.</w:t>
      </w:r>
    </w:p>
  </w:footnote>
  <w:footnote w:id="26">
    <w:p w14:paraId="47ED4F30" w14:textId="77777777" w:rsidR="009720D4" w:rsidRDefault="009720D4" w:rsidP="009720D4">
      <w:pPr>
        <w:pStyle w:val="FootnoteText"/>
      </w:pPr>
      <w:r>
        <w:rPr>
          <w:rStyle w:val="FootnoteCharacters"/>
        </w:rPr>
        <w:footnoteRef/>
      </w:r>
      <w:r>
        <w:tab/>
        <w:t>לא הפסיד ברכות, שיכול לברך על קריאת שמע (שנים לפניה ואחרת לאחריה) אף לאחר זמנו. יש לשון אחד שאומר שאמורא אחד בגמרא (</w:t>
      </w:r>
      <w:r>
        <w:rPr>
          <w:b/>
          <w:bCs/>
        </w:rPr>
        <w:t>י:</w:t>
      </w:r>
      <w:r>
        <w:t>) שחולק על זה, אבל איתותב. (עיין בהשלמות אות ד.)</w:t>
      </w:r>
    </w:p>
  </w:footnote>
  <w:footnote w:id="27">
    <w:p w14:paraId="7603CB63" w14:textId="77777777" w:rsidR="009720D4" w:rsidRDefault="009720D4" w:rsidP="009720D4">
      <w:pPr>
        <w:pStyle w:val="FootnoteText"/>
      </w:pPr>
      <w:r>
        <w:rPr>
          <w:rStyle w:val="FootnoteCharacters"/>
        </w:rPr>
        <w:footnoteRef/>
      </w:r>
      <w:r>
        <w:tab/>
        <w:t>גמרא (</w:t>
      </w:r>
      <w:r>
        <w:rPr>
          <w:b/>
          <w:bCs/>
        </w:rPr>
        <w:t>י:</w:t>
      </w:r>
      <w:r>
        <w:t>) לומד מזה שגדול קריאת שמע בעונתה מתלמוד תורה, שמשמע שקריאת שמע שלא בזמנה הוא כתלמוד ותרה. פשוט שקריאת שמע בזמנה יותר טוב מקריאת שמע שלא בזמנה, ואז צריך לומר שק”ש בזמנה יותר טוב מתלמוד תורה. לכאורה, הסיבה לזה הוא שקריאת שמע כולל תלמוד תורה, ומוסיף עליו מצוות תלמוד תורה. (עיין בהשלמות אות ה.)</w:t>
      </w:r>
    </w:p>
  </w:footnote>
  <w:footnote w:id="28">
    <w:p w14:paraId="0A9E84D6" w14:textId="77777777" w:rsidR="009720D4" w:rsidRDefault="009720D4" w:rsidP="009720D4">
      <w:pPr>
        <w:pStyle w:val="FootnoteText"/>
        <w:rPr>
          <w:b/>
          <w:bCs/>
        </w:rPr>
      </w:pPr>
      <w:r>
        <w:rPr>
          <w:rStyle w:val="FootnoteCharacters"/>
        </w:rPr>
        <w:footnoteRef/>
      </w:r>
      <w:r>
        <w:rPr>
          <w:rStyle w:val="FootnoteCharacters"/>
        </w:rPr>
        <w:tab/>
        <w:t xml:space="preserve">                    </w:t>
      </w:r>
      <w:r>
        <w:rPr>
          <w:b/>
          <w:bCs/>
        </w:rPr>
        <w:t>משנה ג</w:t>
      </w:r>
    </w:p>
  </w:footnote>
  <w:footnote w:id="29">
    <w:p w14:paraId="7E5AC08F" w14:textId="77777777" w:rsidR="009720D4" w:rsidRDefault="009720D4" w:rsidP="009720D4">
      <w:pPr>
        <w:pStyle w:val="FootnoteText"/>
      </w:pPr>
      <w:r>
        <w:rPr>
          <w:rStyle w:val="FootnoteCharacters"/>
        </w:rPr>
        <w:footnoteRef/>
      </w:r>
      <w:r>
        <w:tab/>
        <w:t xml:space="preserve">כל אדם יכול לקרוא מעומד או מוטה או בכל אופן שירצה. חולקים בגמרא </w:t>
      </w:r>
      <w:r>
        <w:rPr>
          <w:b/>
          <w:bCs/>
        </w:rPr>
        <w:t>(יא.)</w:t>
      </w:r>
      <w:r>
        <w:t xml:space="preserve"> אם יוצאים לבית הלל אם עומד לקרוא קריאת שמע ביום (או להיפך), שרב יחזקאל אמר שיצא, ורב יוסף אמר שכיון שעשה כבית שמאי, לא יצא. </w:t>
      </w:r>
      <w:r>
        <w:rPr>
          <w:b/>
          <w:bCs/>
        </w:rPr>
        <w:t>תוס’</w:t>
      </w:r>
      <w:r>
        <w:t xml:space="preserve"> מבאר שכולי עלמא מודו שקיים מצוותו מדאורייתא, ורק חולקים אם לא יצא מדרבנן.</w:t>
      </w:r>
    </w:p>
  </w:footnote>
  <w:footnote w:id="30">
    <w:p w14:paraId="7A9A1E57" w14:textId="77777777" w:rsidR="009720D4" w:rsidRDefault="009720D4" w:rsidP="009720D4">
      <w:pPr>
        <w:pStyle w:val="FootnoteText"/>
      </w:pPr>
      <w:r>
        <w:rPr>
          <w:rStyle w:val="FootnoteCharacters"/>
        </w:rPr>
        <w:footnoteRef/>
      </w:r>
      <w:r>
        <w:tab/>
        <w:t xml:space="preserve">בית שמאי דוחים </w:t>
      </w:r>
      <w:r>
        <w:rPr>
          <w:b/>
          <w:bCs/>
        </w:rPr>
        <w:t>(יא)</w:t>
      </w:r>
      <w:r>
        <w:t xml:space="preserve"> שלומדים מכאן פטור לחתן הנושא בתולה. כמו"כ, לומדים מ"בשבתך" פטור לעוסק במצווה. בית הלל סוברים שיכולים לדרוש שני הדברים מ“ובלכתך בדרך.“</w:t>
      </w:r>
    </w:p>
  </w:footnote>
  <w:footnote w:id="31">
    <w:p w14:paraId="058ADB22" w14:textId="77777777" w:rsidR="009720D4" w:rsidRDefault="009720D4" w:rsidP="009720D4">
      <w:pPr>
        <w:pStyle w:val="FootnoteText"/>
      </w:pPr>
      <w:r>
        <w:rPr>
          <w:rStyle w:val="FootnoteCharacters"/>
        </w:rPr>
        <w:footnoteRef/>
      </w:r>
      <w:r>
        <w:tab/>
        <w:t>בית שמאי דוחים (</w:t>
      </w:r>
      <w:r>
        <w:rPr>
          <w:b/>
          <w:bCs/>
        </w:rPr>
        <w:t>יא.</w:t>
      </w:r>
      <w:r>
        <w:t>) שאם כן, היה לו לומר "בבקר ובערב.” לשון הקרא משמע שקורא בשכיבה בשעת שכיבה ובקומה בשעת קימה.</w:t>
      </w:r>
    </w:p>
  </w:footnote>
  <w:footnote w:id="32">
    <w:p w14:paraId="3B054DA4" w14:textId="77777777" w:rsidR="009720D4" w:rsidRDefault="009720D4" w:rsidP="009720D4">
      <w:pPr>
        <w:pStyle w:val="FootnoteText"/>
      </w:pPr>
      <w:r>
        <w:rPr>
          <w:rStyle w:val="FootnoteCharacters"/>
        </w:rPr>
        <w:footnoteRef/>
      </w:r>
      <w:r>
        <w:tab/>
        <w:t>לא פשוט לי מהיכי תיתי לבית שמאי דין זה של זמן קריאת שמע.</w:t>
      </w:r>
    </w:p>
  </w:footnote>
  <w:footnote w:id="33">
    <w:p w14:paraId="55805F73" w14:textId="77777777" w:rsidR="009720D4" w:rsidRDefault="009720D4" w:rsidP="009720D4">
      <w:pPr>
        <w:pStyle w:val="FootnoteText"/>
      </w:pPr>
      <w:r>
        <w:rPr>
          <w:rStyle w:val="FootnoteCharacters"/>
        </w:rPr>
        <w:footnoteRef/>
      </w:r>
      <w:r>
        <w:tab/>
        <w:t xml:space="preserve">מכאן לומד גמרא </w:t>
      </w:r>
      <w:r>
        <w:rPr>
          <w:b/>
          <w:bCs/>
        </w:rPr>
        <w:t>(יא.)</w:t>
      </w:r>
      <w:r>
        <w:t xml:space="preserve"> שכל העושה כדברי בית שמאי חייב מיתה. עיין בשי"ח ש"י.</w:t>
      </w:r>
    </w:p>
  </w:footnote>
  <w:footnote w:id="34">
    <w:p w14:paraId="38DA9492" w14:textId="77777777" w:rsidR="009720D4" w:rsidRDefault="009720D4" w:rsidP="009720D4">
      <w:pPr>
        <w:pStyle w:val="FootnoteText"/>
      </w:pPr>
      <w:r>
        <w:rPr>
          <w:rStyle w:val="FootnoteCharacters"/>
        </w:rPr>
        <w:footnoteRef/>
      </w:r>
      <w:r>
        <w:tab/>
        <w:t xml:space="preserve">דין זה, שצריך לעשות כדברי ב“ה, הוא רק לאחר בת קול שפסק כבית הלל. אף לאחר ב“ק, חולק ר“י עליו, ואומר שאפשר לעשות כב“ש, שאין בת קול קובעת ההלכה. </w:t>
      </w:r>
      <w:r>
        <w:rPr>
          <w:b/>
          <w:bCs/>
        </w:rPr>
        <w:t>(עירובין יג.?)</w:t>
      </w:r>
    </w:p>
  </w:footnote>
  <w:footnote w:id="35">
    <w:p w14:paraId="34827E0E" w14:textId="77777777" w:rsidR="009720D4" w:rsidRDefault="009720D4" w:rsidP="009720D4">
      <w:pPr>
        <w:pStyle w:val="FootnoteText"/>
        <w:rPr>
          <w:b/>
          <w:bCs/>
        </w:rPr>
      </w:pPr>
      <w:r>
        <w:rPr>
          <w:rStyle w:val="FootnoteCharacters"/>
        </w:rPr>
        <w:footnoteRef/>
      </w:r>
      <w:r>
        <w:rPr>
          <w:rStyle w:val="FootnoteCharacters"/>
        </w:rPr>
        <w:tab/>
        <w:t xml:space="preserve">                    </w:t>
      </w:r>
      <w:r>
        <w:rPr>
          <w:b/>
          <w:bCs/>
        </w:rPr>
        <w:t>משנה ד</w:t>
      </w:r>
    </w:p>
  </w:footnote>
  <w:footnote w:id="36">
    <w:p w14:paraId="0D2AB0D6" w14:textId="77777777" w:rsidR="009720D4" w:rsidRDefault="009720D4" w:rsidP="009720D4">
      <w:pPr>
        <w:pStyle w:val="FootnoteText"/>
      </w:pPr>
      <w:r>
        <w:rPr>
          <w:rStyle w:val="FootnoteCharacters"/>
        </w:rPr>
        <w:footnoteRef/>
      </w:r>
      <w:r>
        <w:tab/>
        <w:t xml:space="preserve">גמרא </w:t>
      </w:r>
      <w:r>
        <w:rPr>
          <w:b/>
          <w:bCs/>
        </w:rPr>
        <w:t>(ב.)</w:t>
      </w:r>
      <w:r>
        <w:t xml:space="preserve"> מבאר מה ששחר מקדים, אף שבמשנה ראשונה ושניה, ערב הקדים. כיון שהזכיר משנה דין של יום יותר קרוב לזה (כיון שהזכיר אותו אחר דין לילה), ממשיך לבאר דין יום קודם לדין לילה.</w:t>
      </w:r>
    </w:p>
  </w:footnote>
  <w:footnote w:id="37">
    <w:p w14:paraId="39CEBBBD" w14:textId="77777777" w:rsidR="009720D4" w:rsidRDefault="009720D4" w:rsidP="009720D4">
      <w:pPr>
        <w:pStyle w:val="FootnoteText"/>
      </w:pPr>
      <w:r>
        <w:rPr>
          <w:rStyle w:val="FootnoteCharacters"/>
        </w:rPr>
        <w:footnoteRef/>
      </w:r>
      <w:r>
        <w:tab/>
        <w:t xml:space="preserve">הראשון הוא יוצא אור. בשני, חלקו ת"ק וחכמים. תנא קמא אומר שהוא אהבה רבה, וחכמים אומרים שהוא אהבת עולם.(גמרא </w:t>
      </w:r>
      <w:r>
        <w:rPr>
          <w:b/>
          <w:bCs/>
        </w:rPr>
        <w:t>יא:</w:t>
      </w:r>
      <w:r>
        <w:t>)</w:t>
      </w:r>
    </w:p>
  </w:footnote>
  <w:footnote w:id="38">
    <w:p w14:paraId="4B050BC4" w14:textId="77777777" w:rsidR="009720D4" w:rsidRDefault="009720D4" w:rsidP="009720D4">
      <w:pPr>
        <w:pStyle w:val="FootnoteText"/>
      </w:pPr>
      <w:r>
        <w:rPr>
          <w:rStyle w:val="FootnoteCharacters"/>
        </w:rPr>
        <w:footnoteRef/>
      </w:r>
      <w:r>
        <w:tab/>
        <w:t xml:space="preserve">ירושלמי </w:t>
      </w:r>
      <w:r>
        <w:rPr>
          <w:b/>
          <w:bCs/>
        </w:rPr>
        <w:t>(א, ה)</w:t>
      </w:r>
      <w:r>
        <w:t xml:space="preserve"> מפרש שני ענינים שיוצאים ממניינים אלו:</w:t>
      </w:r>
    </w:p>
    <w:p w14:paraId="1BA12A55" w14:textId="77777777" w:rsidR="009720D4" w:rsidRDefault="009720D4" w:rsidP="009720D4">
      <w:pPr>
        <w:pStyle w:val="FootnoteText"/>
        <w:numPr>
          <w:ilvl w:val="0"/>
          <w:numId w:val="5"/>
        </w:numPr>
        <w:ind w:left="720" w:hanging="360"/>
      </w:pPr>
      <w:r>
        <w:t>מנין תפילות (כל ברכה וכל פרשה נחשבת תפלה) של יום ושל לילה שווים. זה מניח שבלילה לא אומרים פרשה שלישית של ק“ש. אז, במקומו, יש עוד ברכה. אז, מקיימים ”והגית בו יומם ולילה,“ שעושים את ההיגיון של יום שווה לשל לילה.</w:t>
      </w:r>
    </w:p>
    <w:p w14:paraId="10E1C756" w14:textId="77777777" w:rsidR="009720D4" w:rsidRDefault="009720D4" w:rsidP="009720D4">
      <w:pPr>
        <w:pStyle w:val="FootnoteText"/>
        <w:numPr>
          <w:ilvl w:val="0"/>
          <w:numId w:val="5"/>
        </w:numPr>
        <w:ind w:left="720" w:hanging="360"/>
      </w:pPr>
      <w:r>
        <w:t>מנין הברכות של יום שלם (יום ולילה) הם שבע. אז, מקיימים ”שבע ביום הללתיך.“</w:t>
      </w:r>
    </w:p>
  </w:footnote>
  <w:footnote w:id="39">
    <w:p w14:paraId="40A8FA85" w14:textId="77777777" w:rsidR="009720D4" w:rsidRDefault="009720D4" w:rsidP="009720D4">
      <w:pPr>
        <w:pStyle w:val="FootnoteText"/>
      </w:pPr>
      <w:r>
        <w:rPr>
          <w:rStyle w:val="FootnoteCharacters"/>
        </w:rPr>
        <w:footnoteRef/>
      </w:r>
      <w:r>
        <w:tab/>
        <w:t xml:space="preserve">קאי על שנים שלאחרי קריאת שמע של ערבית </w:t>
      </w:r>
      <w:r>
        <w:rPr>
          <w:b/>
          <w:bCs/>
        </w:rPr>
        <w:t xml:space="preserve">(רש"י יא.) </w:t>
      </w:r>
      <w:r>
        <w:t>(פני“מ (א, ה) כ’ שקאי על שנים שלפניו. אז, קאי על של יום ועל של לילה.)</w:t>
      </w:r>
    </w:p>
  </w:footnote>
  <w:footnote w:id="40">
    <w:p w14:paraId="2D9F96B6" w14:textId="77777777" w:rsidR="009720D4" w:rsidRDefault="009720D4" w:rsidP="009720D4">
      <w:pPr>
        <w:pStyle w:val="FootnoteText"/>
      </w:pPr>
      <w:r>
        <w:rPr>
          <w:rStyle w:val="FootnoteCharacters"/>
        </w:rPr>
        <w:footnoteRef/>
      </w:r>
      <w:r>
        <w:tab/>
        <w:t xml:space="preserve">פני משה </w:t>
      </w:r>
      <w:r>
        <w:rPr>
          <w:b/>
          <w:bCs/>
        </w:rPr>
        <w:t>(א, ה)</w:t>
      </w:r>
      <w:r>
        <w:t xml:space="preserve"> באר שר“ל להתחיל ולסיים בברכה.</w:t>
      </w:r>
    </w:p>
  </w:footnote>
  <w:footnote w:id="41">
    <w:p w14:paraId="5E658827" w14:textId="77777777" w:rsidR="009720D4" w:rsidRDefault="009720D4" w:rsidP="009720D4">
      <w:pPr>
        <w:pStyle w:val="FootnoteText"/>
      </w:pPr>
      <w:r>
        <w:rPr>
          <w:rStyle w:val="FootnoteCharacters"/>
        </w:rPr>
        <w:footnoteRef/>
      </w:r>
      <w:r>
        <w:tab/>
        <w:t>רק לומר ברכה אחת (בתחילה או בסוף).</w:t>
      </w:r>
    </w:p>
  </w:footnote>
  <w:footnote w:id="42">
    <w:p w14:paraId="7825174E" w14:textId="77777777" w:rsidR="009720D4" w:rsidRDefault="009720D4" w:rsidP="009720D4">
      <w:pPr>
        <w:pStyle w:val="FootnoteText"/>
      </w:pPr>
      <w:r>
        <w:rPr>
          <w:rStyle w:val="FootnoteCharacters"/>
        </w:rPr>
        <w:footnoteRef/>
      </w:r>
      <w:r>
        <w:tab/>
        <w:t>עכשיו, המשנה ידבר על ברכות קצרות. יש שני מינים של ברכות קצרות- ברכות שמברכים בתחילתם וברכות שמברכים בסופם.</w:t>
      </w:r>
    </w:p>
  </w:footnote>
  <w:footnote w:id="43">
    <w:p w14:paraId="41FC150E" w14:textId="77777777" w:rsidR="009720D4" w:rsidRDefault="009720D4" w:rsidP="009720D4">
      <w:pPr>
        <w:pStyle w:val="FootnoteText"/>
      </w:pPr>
      <w:r>
        <w:rPr>
          <w:rStyle w:val="FootnoteCharacters"/>
        </w:rPr>
        <w:footnoteRef/>
      </w:r>
      <w:r>
        <w:tab/>
        <w:t>ברכות שמברכים עליהם רק בסופם.</w:t>
      </w:r>
    </w:p>
  </w:footnote>
  <w:footnote w:id="44">
    <w:p w14:paraId="7EC08E87" w14:textId="77777777" w:rsidR="009720D4" w:rsidRDefault="009720D4" w:rsidP="009720D4">
      <w:pPr>
        <w:pStyle w:val="FootnoteText"/>
      </w:pPr>
      <w:r>
        <w:rPr>
          <w:rStyle w:val="FootnoteCharacters"/>
        </w:rPr>
        <w:footnoteRef/>
      </w:r>
      <w:r>
        <w:tab/>
        <w:t>אלא לברך רק בתחילתו. (פנ“ם)</w:t>
      </w:r>
    </w:p>
  </w:footnote>
  <w:footnote w:id="45">
    <w:p w14:paraId="3C28C615" w14:textId="77777777" w:rsidR="009720D4" w:rsidRDefault="009720D4" w:rsidP="009720D4">
      <w:pPr>
        <w:pStyle w:val="FootnoteText"/>
        <w:rPr>
          <w:b/>
          <w:bCs/>
        </w:rPr>
      </w:pPr>
      <w:r>
        <w:rPr>
          <w:rStyle w:val="FootnoteCharacters"/>
        </w:rPr>
        <w:footnoteRef/>
      </w:r>
      <w:r>
        <w:rPr>
          <w:rStyle w:val="FootnoteCharacters"/>
        </w:rPr>
        <w:tab/>
        <w:t xml:space="preserve">                    </w:t>
      </w:r>
      <w:r>
        <w:rPr>
          <w:b/>
          <w:bCs/>
        </w:rPr>
        <w:t>משנה ה</w:t>
      </w:r>
    </w:p>
  </w:footnote>
  <w:footnote w:id="46">
    <w:p w14:paraId="0343E2FB" w14:textId="77777777" w:rsidR="009720D4" w:rsidRDefault="009720D4" w:rsidP="009720D4">
      <w:pPr>
        <w:pStyle w:val="FootnoteText"/>
      </w:pPr>
      <w:r>
        <w:rPr>
          <w:rStyle w:val="FootnoteCharacters"/>
        </w:rPr>
        <w:footnoteRef/>
      </w:r>
      <w:r>
        <w:tab/>
        <w:t xml:space="preserve">בירושלמי </w:t>
      </w:r>
      <w:r>
        <w:rPr>
          <w:b/>
          <w:bCs/>
        </w:rPr>
        <w:t>(א, ו)</w:t>
      </w:r>
      <w:r>
        <w:t xml:space="preserve"> מבאר (ובבלי גם דן בזה קצת) שחלקו איך להזכיר אותו. יש שלש שיטות:</w:t>
      </w:r>
    </w:p>
    <w:p w14:paraId="5E67785F" w14:textId="77777777" w:rsidR="009720D4" w:rsidRDefault="009720D4" w:rsidP="009720D4">
      <w:pPr>
        <w:pStyle w:val="FootnoteText"/>
        <w:numPr>
          <w:ilvl w:val="0"/>
          <w:numId w:val="6"/>
        </w:numPr>
        <w:ind w:left="720" w:hanging="360"/>
      </w:pPr>
      <w:r>
        <w:t>יאמר כל פרשה שלישית.</w:t>
      </w:r>
    </w:p>
    <w:p w14:paraId="4281AF67" w14:textId="77777777" w:rsidR="009720D4" w:rsidRDefault="009720D4" w:rsidP="009720D4">
      <w:pPr>
        <w:pStyle w:val="FootnoteText"/>
        <w:numPr>
          <w:ilvl w:val="0"/>
          <w:numId w:val="6"/>
        </w:numPr>
        <w:ind w:left="720" w:hanging="360"/>
      </w:pPr>
      <w:r>
        <w:t>לא יאמר פרשה שלישית (אא“כ כבר התחיל אותו). אלא, יזכיר יצ“מ בנוסח אחר (שמזכיר הגמ’).</w:t>
      </w:r>
    </w:p>
    <w:p w14:paraId="0432D990" w14:textId="77777777" w:rsidR="009720D4" w:rsidRDefault="009720D4" w:rsidP="009720D4">
      <w:pPr>
        <w:pStyle w:val="FootnoteText"/>
        <w:numPr>
          <w:ilvl w:val="0"/>
          <w:numId w:val="6"/>
        </w:numPr>
        <w:ind w:left="720" w:hanging="360"/>
      </w:pPr>
      <w:r>
        <w:t>יאמר מקצת פרשה שלישית.</w:t>
      </w:r>
    </w:p>
  </w:footnote>
  <w:footnote w:id="47">
    <w:p w14:paraId="2DD1264E" w14:textId="77777777" w:rsidR="009720D4" w:rsidRDefault="009720D4" w:rsidP="009720D4">
      <w:pPr>
        <w:pStyle w:val="FootnoteText"/>
        <w:rPr>
          <w:b/>
          <w:bCs/>
        </w:rPr>
      </w:pPr>
      <w:r>
        <w:rPr>
          <w:rStyle w:val="FootnoteCharacters"/>
        </w:rPr>
        <w:footnoteRef/>
      </w:r>
      <w:r>
        <w:rPr>
          <w:b/>
          <w:bCs/>
        </w:rPr>
        <w:tab/>
        <w:t>רש"י (יב:)</w:t>
      </w:r>
      <w:r>
        <w:t xml:space="preserve"> מבאר שהיה בן שמנה עשרה, אבל היה נראה כבן שבעים, שהיה לו זקן לבן, כדי שיהיה ראוי להיות נשיא (עיין גמרא לקמן </w:t>
      </w:r>
      <w:r>
        <w:rPr>
          <w:b/>
          <w:bCs/>
        </w:rPr>
        <w:t>כח.</w:t>
      </w:r>
      <w:r>
        <w:t>) ירושלמי פי’ שהיה בן שבעים שנה, והזכיר לשון כזה כיון שלא מצוי שמלך יחיה לזמן רב.  (עיין בהשלמות אות כה.)</w:t>
      </w:r>
    </w:p>
  </w:footnote>
  <w:footnote w:id="48">
    <w:p w14:paraId="4BB752A1" w14:textId="77777777" w:rsidR="009720D4" w:rsidRDefault="009720D4" w:rsidP="009720D4">
      <w:pPr>
        <w:pStyle w:val="FootnoteText"/>
      </w:pPr>
      <w:r>
        <w:rPr>
          <w:rStyle w:val="FootnoteCharacters"/>
        </w:rPr>
        <w:footnoteRef/>
      </w:r>
      <w:r>
        <w:tab/>
        <w:t>קצ“ב, שאם לא ידע את הדרשה שלו, איך ידע דין זה. צ“ל שהיה לו מסורה שהדין נכון.</w:t>
      </w:r>
    </w:p>
  </w:footnote>
  <w:footnote w:id="49">
    <w:p w14:paraId="52E9D197" w14:textId="77777777" w:rsidR="009720D4" w:rsidRDefault="009720D4" w:rsidP="009720D4">
      <w:pPr>
        <w:pStyle w:val="FootnoteText"/>
        <w:rPr>
          <w:b/>
          <w:bCs/>
        </w:rPr>
      </w:pPr>
      <w:r>
        <w:rPr>
          <w:rStyle w:val="FootnoteCharacters"/>
        </w:rPr>
        <w:footnoteRef/>
      </w:r>
      <w:r>
        <w:rPr>
          <w:b/>
          <w:bCs/>
        </w:rPr>
        <w:tab/>
        <w:t>רש"י (יב:)</w:t>
      </w:r>
      <w:r>
        <w:t xml:space="preserve"> מבאר שדרש כן ביום שהתחיל ראב"ע להיות נשיא.</w:t>
      </w:r>
    </w:p>
  </w:footnote>
  <w:footnote w:id="50">
    <w:p w14:paraId="6F1A654B" w14:textId="77777777" w:rsidR="009720D4" w:rsidRDefault="009720D4" w:rsidP="009720D4">
      <w:pPr>
        <w:pStyle w:val="FootnoteText"/>
      </w:pPr>
      <w:r>
        <w:rPr>
          <w:rStyle w:val="FootnoteCharacters"/>
        </w:rPr>
        <w:footnoteRef/>
      </w:r>
      <w:r>
        <w:tab/>
        <w:t>בן זומא היה דרשן טוב (כמו שמבואר בסוף סוטה).</w:t>
      </w:r>
    </w:p>
  </w:footnote>
  <w:footnote w:id="51">
    <w:p w14:paraId="62ACED79" w14:textId="77777777" w:rsidR="009720D4" w:rsidRDefault="009720D4" w:rsidP="009720D4">
      <w:pPr>
        <w:pStyle w:val="FootnoteText"/>
      </w:pPr>
      <w:r>
        <w:rPr>
          <w:rStyle w:val="FootnoteCharacters"/>
        </w:rPr>
        <w:footnoteRef/>
      </w:r>
      <w:r>
        <w:tab/>
        <w:t xml:space="preserve">ראב“ע דורש מקרא </w:t>
      </w:r>
      <w:r>
        <w:rPr>
          <w:b/>
          <w:bCs/>
        </w:rPr>
        <w:t>(יב:)</w:t>
      </w:r>
      <w:r>
        <w:t xml:space="preserve"> שלא נזכיר יצ“מ בימות המשיח. דוחים רבנן שזה רק אומר שלא יהיה אז עיקר, אלא טפל לנסים של ימות המשיח.</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5323C"/>
    <w:multiLevelType w:val="hybridMultilevel"/>
    <w:tmpl w:val="E2928DB8"/>
    <w:name w:val="Numbered list 44"/>
    <w:lvl w:ilvl="0" w:tplc="3D3CBBA0">
      <w:start w:val="1"/>
      <w:numFmt w:val="decimal"/>
      <w:lvlText w:val="%1."/>
      <w:lvlJc w:val="right"/>
      <w:pPr>
        <w:ind w:left="360" w:firstLine="0"/>
      </w:pPr>
    </w:lvl>
    <w:lvl w:ilvl="1" w:tplc="8AE4B2B2">
      <w:start w:val="1"/>
      <w:numFmt w:val="decimal"/>
      <w:lvlText w:val="%2."/>
      <w:lvlJc w:val="right"/>
      <w:pPr>
        <w:ind w:left="720" w:firstLine="0"/>
      </w:pPr>
    </w:lvl>
    <w:lvl w:ilvl="2" w:tplc="CDBAF1B6">
      <w:start w:val="1"/>
      <w:numFmt w:val="decimal"/>
      <w:lvlText w:val="%3."/>
      <w:lvlJc w:val="right"/>
      <w:pPr>
        <w:ind w:left="1080" w:firstLine="0"/>
      </w:pPr>
    </w:lvl>
    <w:lvl w:ilvl="3" w:tplc="8E3ABAC8">
      <w:start w:val="1"/>
      <w:numFmt w:val="decimal"/>
      <w:lvlText w:val="%4."/>
      <w:lvlJc w:val="right"/>
      <w:pPr>
        <w:ind w:left="1440" w:firstLine="0"/>
      </w:pPr>
    </w:lvl>
    <w:lvl w:ilvl="4" w:tplc="06564EE8">
      <w:start w:val="1"/>
      <w:numFmt w:val="decimal"/>
      <w:lvlText w:val="%5."/>
      <w:lvlJc w:val="right"/>
      <w:pPr>
        <w:ind w:left="1800" w:firstLine="0"/>
      </w:pPr>
    </w:lvl>
    <w:lvl w:ilvl="5" w:tplc="7EAC0094">
      <w:start w:val="1"/>
      <w:numFmt w:val="decimal"/>
      <w:lvlText w:val="%6."/>
      <w:lvlJc w:val="right"/>
      <w:pPr>
        <w:ind w:left="2160" w:firstLine="0"/>
      </w:pPr>
    </w:lvl>
    <w:lvl w:ilvl="6" w:tplc="8362F03A">
      <w:start w:val="1"/>
      <w:numFmt w:val="decimal"/>
      <w:lvlText w:val="%7."/>
      <w:lvlJc w:val="right"/>
      <w:pPr>
        <w:ind w:left="2520" w:firstLine="0"/>
      </w:pPr>
    </w:lvl>
    <w:lvl w:ilvl="7" w:tplc="A502D85E">
      <w:start w:val="1"/>
      <w:numFmt w:val="decimal"/>
      <w:lvlText w:val="%8."/>
      <w:lvlJc w:val="right"/>
      <w:pPr>
        <w:ind w:left="2880" w:firstLine="0"/>
      </w:pPr>
    </w:lvl>
    <w:lvl w:ilvl="8" w:tplc="1CF8B51A">
      <w:start w:val="1"/>
      <w:numFmt w:val="decimal"/>
      <w:lvlText w:val="%9."/>
      <w:lvlJc w:val="right"/>
      <w:pPr>
        <w:ind w:left="3240" w:firstLine="0"/>
      </w:pPr>
    </w:lvl>
  </w:abstractNum>
  <w:abstractNum w:abstractNumId="1" w15:restartNumberingAfterBreak="0">
    <w:nsid w:val="381531CD"/>
    <w:multiLevelType w:val="hybridMultilevel"/>
    <w:tmpl w:val="6E10D310"/>
    <w:name w:val="Numbered list 5"/>
    <w:lvl w:ilvl="0" w:tplc="9FE822B8">
      <w:start w:val="1"/>
      <w:numFmt w:val="decimal"/>
      <w:lvlText w:val="%1."/>
      <w:lvlJc w:val="right"/>
      <w:pPr>
        <w:ind w:left="700" w:firstLine="0"/>
      </w:pPr>
    </w:lvl>
    <w:lvl w:ilvl="1" w:tplc="6128BABE">
      <w:start w:val="1"/>
      <w:numFmt w:val="decimal"/>
      <w:lvlText w:val="%2."/>
      <w:lvlJc w:val="right"/>
      <w:pPr>
        <w:ind w:left="1060" w:firstLine="0"/>
      </w:pPr>
    </w:lvl>
    <w:lvl w:ilvl="2" w:tplc="BD341036">
      <w:start w:val="1"/>
      <w:numFmt w:val="decimal"/>
      <w:lvlText w:val="%3."/>
      <w:lvlJc w:val="right"/>
      <w:pPr>
        <w:ind w:left="1420" w:firstLine="0"/>
      </w:pPr>
    </w:lvl>
    <w:lvl w:ilvl="3" w:tplc="485A1C78">
      <w:start w:val="1"/>
      <w:numFmt w:val="decimal"/>
      <w:lvlText w:val="%4."/>
      <w:lvlJc w:val="right"/>
      <w:pPr>
        <w:ind w:left="1780" w:firstLine="0"/>
      </w:pPr>
    </w:lvl>
    <w:lvl w:ilvl="4" w:tplc="8DF43456">
      <w:start w:val="1"/>
      <w:numFmt w:val="decimal"/>
      <w:lvlText w:val="%5."/>
      <w:lvlJc w:val="right"/>
      <w:pPr>
        <w:ind w:left="2140" w:firstLine="0"/>
      </w:pPr>
    </w:lvl>
    <w:lvl w:ilvl="5" w:tplc="46BADEB2">
      <w:start w:val="1"/>
      <w:numFmt w:val="decimal"/>
      <w:lvlText w:val="%6."/>
      <w:lvlJc w:val="right"/>
      <w:pPr>
        <w:ind w:left="2500" w:firstLine="0"/>
      </w:pPr>
    </w:lvl>
    <w:lvl w:ilvl="6" w:tplc="D8A27136">
      <w:start w:val="1"/>
      <w:numFmt w:val="decimal"/>
      <w:lvlText w:val="%7."/>
      <w:lvlJc w:val="right"/>
      <w:pPr>
        <w:ind w:left="2860" w:firstLine="0"/>
      </w:pPr>
    </w:lvl>
    <w:lvl w:ilvl="7" w:tplc="7E9A5148">
      <w:start w:val="1"/>
      <w:numFmt w:val="decimal"/>
      <w:lvlText w:val="%8."/>
      <w:lvlJc w:val="right"/>
      <w:pPr>
        <w:ind w:left="3220" w:firstLine="0"/>
      </w:pPr>
    </w:lvl>
    <w:lvl w:ilvl="8" w:tplc="C562F8B0">
      <w:start w:val="1"/>
      <w:numFmt w:val="decimal"/>
      <w:lvlText w:val="%9."/>
      <w:lvlJc w:val="right"/>
      <w:pPr>
        <w:ind w:left="3580" w:firstLine="0"/>
      </w:pPr>
    </w:lvl>
  </w:abstractNum>
  <w:abstractNum w:abstractNumId="2" w15:restartNumberingAfterBreak="0">
    <w:nsid w:val="3E0A400A"/>
    <w:multiLevelType w:val="hybridMultilevel"/>
    <w:tmpl w:val="1C368BBC"/>
    <w:name w:val="Numbered list 2"/>
    <w:lvl w:ilvl="0" w:tplc="477236E4">
      <w:numFmt w:val="bullet"/>
      <w:lvlText w:val=""/>
      <w:lvlJc w:val="right"/>
      <w:pPr>
        <w:ind w:left="700" w:firstLine="0"/>
      </w:pPr>
      <w:rPr>
        <w:rFonts w:ascii="Symbol" w:hAnsi="Symbol" w:cs="Symbol"/>
      </w:rPr>
    </w:lvl>
    <w:lvl w:ilvl="1" w:tplc="3CF86154">
      <w:numFmt w:val="bullet"/>
      <w:lvlText w:val="◦"/>
      <w:lvlJc w:val="right"/>
      <w:pPr>
        <w:ind w:left="1060" w:firstLine="0"/>
      </w:pPr>
      <w:rPr>
        <w:rFonts w:ascii="OpenSymbol" w:hAnsi="OpenSymbol" w:cs="OpenSymbol"/>
      </w:rPr>
    </w:lvl>
    <w:lvl w:ilvl="2" w:tplc="4FB69252">
      <w:numFmt w:val="bullet"/>
      <w:lvlText w:val="▪"/>
      <w:lvlJc w:val="right"/>
      <w:pPr>
        <w:ind w:left="1420" w:firstLine="0"/>
      </w:pPr>
      <w:rPr>
        <w:rFonts w:ascii="OpenSymbol" w:hAnsi="OpenSymbol" w:cs="OpenSymbol"/>
      </w:rPr>
    </w:lvl>
    <w:lvl w:ilvl="3" w:tplc="E0768B24">
      <w:numFmt w:val="bullet"/>
      <w:lvlText w:val=""/>
      <w:lvlJc w:val="right"/>
      <w:pPr>
        <w:ind w:left="1780" w:firstLine="0"/>
      </w:pPr>
      <w:rPr>
        <w:rFonts w:ascii="Symbol" w:hAnsi="Symbol" w:cs="Symbol"/>
      </w:rPr>
    </w:lvl>
    <w:lvl w:ilvl="4" w:tplc="85FA27FA">
      <w:numFmt w:val="bullet"/>
      <w:lvlText w:val="◦"/>
      <w:lvlJc w:val="right"/>
      <w:pPr>
        <w:ind w:left="2140" w:firstLine="0"/>
      </w:pPr>
      <w:rPr>
        <w:rFonts w:ascii="OpenSymbol" w:hAnsi="OpenSymbol" w:cs="OpenSymbol"/>
      </w:rPr>
    </w:lvl>
    <w:lvl w:ilvl="5" w:tplc="2EDE7D66">
      <w:numFmt w:val="bullet"/>
      <w:lvlText w:val="▪"/>
      <w:lvlJc w:val="right"/>
      <w:pPr>
        <w:ind w:left="2500" w:firstLine="0"/>
      </w:pPr>
      <w:rPr>
        <w:rFonts w:ascii="OpenSymbol" w:hAnsi="OpenSymbol" w:cs="OpenSymbol"/>
      </w:rPr>
    </w:lvl>
    <w:lvl w:ilvl="6" w:tplc="2482F66E">
      <w:numFmt w:val="bullet"/>
      <w:lvlText w:val=""/>
      <w:lvlJc w:val="right"/>
      <w:pPr>
        <w:ind w:left="2860" w:firstLine="0"/>
      </w:pPr>
      <w:rPr>
        <w:rFonts w:ascii="Symbol" w:hAnsi="Symbol" w:cs="Symbol"/>
      </w:rPr>
    </w:lvl>
    <w:lvl w:ilvl="7" w:tplc="7EDE9642">
      <w:numFmt w:val="bullet"/>
      <w:lvlText w:val="◦"/>
      <w:lvlJc w:val="right"/>
      <w:pPr>
        <w:ind w:left="3220" w:firstLine="0"/>
      </w:pPr>
      <w:rPr>
        <w:rFonts w:ascii="OpenSymbol" w:hAnsi="OpenSymbol" w:cs="OpenSymbol"/>
      </w:rPr>
    </w:lvl>
    <w:lvl w:ilvl="8" w:tplc="DCF675F4">
      <w:numFmt w:val="bullet"/>
      <w:lvlText w:val="▪"/>
      <w:lvlJc w:val="right"/>
      <w:pPr>
        <w:ind w:left="3580" w:firstLine="0"/>
      </w:pPr>
      <w:rPr>
        <w:rFonts w:ascii="OpenSymbol" w:hAnsi="OpenSymbol" w:cs="OpenSymbol"/>
      </w:rPr>
    </w:lvl>
  </w:abstractNum>
  <w:abstractNum w:abstractNumId="3" w15:restartNumberingAfterBreak="0">
    <w:nsid w:val="5C322F3E"/>
    <w:multiLevelType w:val="hybridMultilevel"/>
    <w:tmpl w:val="15C230FA"/>
    <w:name w:val="Numbered list 3"/>
    <w:lvl w:ilvl="0" w:tplc="2F8A066A">
      <w:start w:val="1"/>
      <w:numFmt w:val="decimal"/>
      <w:lvlText w:val="%1."/>
      <w:lvlJc w:val="right"/>
      <w:pPr>
        <w:ind w:left="700" w:firstLine="0"/>
      </w:pPr>
    </w:lvl>
    <w:lvl w:ilvl="1" w:tplc="57D4F55C">
      <w:start w:val="1"/>
      <w:numFmt w:val="decimal"/>
      <w:lvlText w:val="%2."/>
      <w:lvlJc w:val="right"/>
      <w:pPr>
        <w:ind w:left="1060" w:firstLine="0"/>
      </w:pPr>
    </w:lvl>
    <w:lvl w:ilvl="2" w:tplc="56F42CFA">
      <w:start w:val="1"/>
      <w:numFmt w:val="decimal"/>
      <w:lvlText w:val="%3."/>
      <w:lvlJc w:val="right"/>
      <w:pPr>
        <w:ind w:left="1420" w:firstLine="0"/>
      </w:pPr>
    </w:lvl>
    <w:lvl w:ilvl="3" w:tplc="00ECCDEE">
      <w:start w:val="1"/>
      <w:numFmt w:val="decimal"/>
      <w:lvlText w:val="%4."/>
      <w:lvlJc w:val="right"/>
      <w:pPr>
        <w:ind w:left="1780" w:firstLine="0"/>
      </w:pPr>
    </w:lvl>
    <w:lvl w:ilvl="4" w:tplc="BECC47C0">
      <w:start w:val="1"/>
      <w:numFmt w:val="decimal"/>
      <w:lvlText w:val="%5."/>
      <w:lvlJc w:val="right"/>
      <w:pPr>
        <w:ind w:left="2140" w:firstLine="0"/>
      </w:pPr>
    </w:lvl>
    <w:lvl w:ilvl="5" w:tplc="08282CB6">
      <w:start w:val="1"/>
      <w:numFmt w:val="decimal"/>
      <w:lvlText w:val="%6."/>
      <w:lvlJc w:val="right"/>
      <w:pPr>
        <w:ind w:left="2500" w:firstLine="0"/>
      </w:pPr>
    </w:lvl>
    <w:lvl w:ilvl="6" w:tplc="D0EA553E">
      <w:start w:val="1"/>
      <w:numFmt w:val="decimal"/>
      <w:lvlText w:val="%7."/>
      <w:lvlJc w:val="right"/>
      <w:pPr>
        <w:ind w:left="2860" w:firstLine="0"/>
      </w:pPr>
    </w:lvl>
    <w:lvl w:ilvl="7" w:tplc="9F0ABEB0">
      <w:start w:val="1"/>
      <w:numFmt w:val="decimal"/>
      <w:lvlText w:val="%8."/>
      <w:lvlJc w:val="right"/>
      <w:pPr>
        <w:ind w:left="3220" w:firstLine="0"/>
      </w:pPr>
    </w:lvl>
    <w:lvl w:ilvl="8" w:tplc="E7FC2EDC">
      <w:start w:val="1"/>
      <w:numFmt w:val="decimal"/>
      <w:lvlText w:val="%9."/>
      <w:lvlJc w:val="right"/>
      <w:pPr>
        <w:ind w:left="3580" w:firstLine="0"/>
      </w:pPr>
    </w:lvl>
  </w:abstractNum>
  <w:abstractNum w:abstractNumId="4" w15:restartNumberingAfterBreak="0">
    <w:nsid w:val="653B43A6"/>
    <w:multiLevelType w:val="hybridMultilevel"/>
    <w:tmpl w:val="F9A4B05A"/>
    <w:name w:val="Numbered list 4"/>
    <w:lvl w:ilvl="0" w:tplc="16B09F76">
      <w:numFmt w:val="bullet"/>
      <w:lvlText w:val=""/>
      <w:lvlJc w:val="right"/>
      <w:pPr>
        <w:ind w:left="700" w:firstLine="0"/>
      </w:pPr>
      <w:rPr>
        <w:rFonts w:ascii="Symbol" w:hAnsi="Symbol" w:cs="Symbol"/>
      </w:rPr>
    </w:lvl>
    <w:lvl w:ilvl="1" w:tplc="168A2316">
      <w:numFmt w:val="bullet"/>
      <w:lvlText w:val="◦"/>
      <w:lvlJc w:val="right"/>
      <w:pPr>
        <w:ind w:left="1060" w:firstLine="0"/>
      </w:pPr>
      <w:rPr>
        <w:rFonts w:ascii="OpenSymbol" w:hAnsi="OpenSymbol" w:cs="OpenSymbol"/>
      </w:rPr>
    </w:lvl>
    <w:lvl w:ilvl="2" w:tplc="572E1B60">
      <w:numFmt w:val="bullet"/>
      <w:lvlText w:val="▪"/>
      <w:lvlJc w:val="right"/>
      <w:pPr>
        <w:ind w:left="1420" w:firstLine="0"/>
      </w:pPr>
      <w:rPr>
        <w:rFonts w:ascii="OpenSymbol" w:hAnsi="OpenSymbol" w:cs="OpenSymbol"/>
      </w:rPr>
    </w:lvl>
    <w:lvl w:ilvl="3" w:tplc="8FE025F8">
      <w:numFmt w:val="bullet"/>
      <w:lvlText w:val=""/>
      <w:lvlJc w:val="right"/>
      <w:pPr>
        <w:ind w:left="1780" w:firstLine="0"/>
      </w:pPr>
      <w:rPr>
        <w:rFonts w:ascii="Symbol" w:hAnsi="Symbol" w:cs="Symbol"/>
      </w:rPr>
    </w:lvl>
    <w:lvl w:ilvl="4" w:tplc="E72E7AB4">
      <w:numFmt w:val="bullet"/>
      <w:lvlText w:val="◦"/>
      <w:lvlJc w:val="right"/>
      <w:pPr>
        <w:ind w:left="2140" w:firstLine="0"/>
      </w:pPr>
      <w:rPr>
        <w:rFonts w:ascii="OpenSymbol" w:hAnsi="OpenSymbol" w:cs="OpenSymbol"/>
      </w:rPr>
    </w:lvl>
    <w:lvl w:ilvl="5" w:tplc="AA564CB4">
      <w:numFmt w:val="bullet"/>
      <w:lvlText w:val="▪"/>
      <w:lvlJc w:val="right"/>
      <w:pPr>
        <w:ind w:left="2500" w:firstLine="0"/>
      </w:pPr>
      <w:rPr>
        <w:rFonts w:ascii="OpenSymbol" w:hAnsi="OpenSymbol" w:cs="OpenSymbol"/>
      </w:rPr>
    </w:lvl>
    <w:lvl w:ilvl="6" w:tplc="F664E356">
      <w:numFmt w:val="bullet"/>
      <w:lvlText w:val=""/>
      <w:lvlJc w:val="right"/>
      <w:pPr>
        <w:ind w:left="2860" w:firstLine="0"/>
      </w:pPr>
      <w:rPr>
        <w:rFonts w:ascii="Symbol" w:hAnsi="Symbol" w:cs="Symbol"/>
      </w:rPr>
    </w:lvl>
    <w:lvl w:ilvl="7" w:tplc="E17833C8">
      <w:numFmt w:val="bullet"/>
      <w:lvlText w:val="◦"/>
      <w:lvlJc w:val="right"/>
      <w:pPr>
        <w:ind w:left="3220" w:firstLine="0"/>
      </w:pPr>
      <w:rPr>
        <w:rFonts w:ascii="OpenSymbol" w:hAnsi="OpenSymbol" w:cs="OpenSymbol"/>
      </w:rPr>
    </w:lvl>
    <w:lvl w:ilvl="8" w:tplc="F4F02E84">
      <w:numFmt w:val="bullet"/>
      <w:lvlText w:val="▪"/>
      <w:lvlJc w:val="right"/>
      <w:pPr>
        <w:ind w:left="3580" w:firstLine="0"/>
      </w:pPr>
      <w:rPr>
        <w:rFonts w:ascii="OpenSymbol" w:hAnsi="OpenSymbol" w:cs="OpenSymbol"/>
      </w:rPr>
    </w:lvl>
  </w:abstractNum>
  <w:abstractNum w:abstractNumId="5" w15:restartNumberingAfterBreak="0">
    <w:nsid w:val="654F4C09"/>
    <w:multiLevelType w:val="hybridMultilevel"/>
    <w:tmpl w:val="6EAADAA6"/>
    <w:name w:val="Numbered list 43"/>
    <w:lvl w:ilvl="0" w:tplc="8E388622">
      <w:start w:val="1"/>
      <w:numFmt w:val="decimal"/>
      <w:lvlText w:val="%1."/>
      <w:lvlJc w:val="right"/>
      <w:pPr>
        <w:ind w:left="360" w:firstLine="0"/>
      </w:pPr>
    </w:lvl>
    <w:lvl w:ilvl="1" w:tplc="44ACD898">
      <w:start w:val="1"/>
      <w:numFmt w:val="decimal"/>
      <w:lvlText w:val="%2."/>
      <w:lvlJc w:val="right"/>
      <w:pPr>
        <w:ind w:left="720" w:firstLine="0"/>
      </w:pPr>
    </w:lvl>
    <w:lvl w:ilvl="2" w:tplc="E766C818">
      <w:start w:val="1"/>
      <w:numFmt w:val="decimal"/>
      <w:lvlText w:val="%3."/>
      <w:lvlJc w:val="right"/>
      <w:pPr>
        <w:ind w:left="1080" w:firstLine="0"/>
      </w:pPr>
    </w:lvl>
    <w:lvl w:ilvl="3" w:tplc="CE6490A2">
      <w:start w:val="1"/>
      <w:numFmt w:val="decimal"/>
      <w:lvlText w:val="%4."/>
      <w:lvlJc w:val="right"/>
      <w:pPr>
        <w:ind w:left="1440" w:firstLine="0"/>
      </w:pPr>
    </w:lvl>
    <w:lvl w:ilvl="4" w:tplc="0F7EC38A">
      <w:start w:val="1"/>
      <w:numFmt w:val="decimal"/>
      <w:lvlText w:val="%5."/>
      <w:lvlJc w:val="right"/>
      <w:pPr>
        <w:ind w:left="1800" w:firstLine="0"/>
      </w:pPr>
    </w:lvl>
    <w:lvl w:ilvl="5" w:tplc="F7889E40">
      <w:start w:val="1"/>
      <w:numFmt w:val="decimal"/>
      <w:lvlText w:val="%6."/>
      <w:lvlJc w:val="right"/>
      <w:pPr>
        <w:ind w:left="2160" w:firstLine="0"/>
      </w:pPr>
    </w:lvl>
    <w:lvl w:ilvl="6" w:tplc="8DA6AA1E">
      <w:start w:val="1"/>
      <w:numFmt w:val="decimal"/>
      <w:lvlText w:val="%7."/>
      <w:lvlJc w:val="right"/>
      <w:pPr>
        <w:ind w:left="2520" w:firstLine="0"/>
      </w:pPr>
    </w:lvl>
    <w:lvl w:ilvl="7" w:tplc="EB7A30BC">
      <w:start w:val="1"/>
      <w:numFmt w:val="decimal"/>
      <w:lvlText w:val="%8."/>
      <w:lvlJc w:val="right"/>
      <w:pPr>
        <w:ind w:left="2880" w:firstLine="0"/>
      </w:pPr>
    </w:lvl>
    <w:lvl w:ilvl="8" w:tplc="024EE52C">
      <w:start w:val="1"/>
      <w:numFmt w:val="decimal"/>
      <w:lvlText w:val="%9."/>
      <w:lvlJc w:val="right"/>
      <w:pPr>
        <w:ind w:left="3240" w:firstLine="0"/>
      </w:pPr>
    </w:lvl>
  </w:abstractNum>
  <w:num w:numId="1" w16cid:durableId="2076732085">
    <w:abstractNumId w:val="2"/>
  </w:num>
  <w:num w:numId="2" w16cid:durableId="330134950">
    <w:abstractNumId w:val="3"/>
  </w:num>
  <w:num w:numId="3" w16cid:durableId="1694719846">
    <w:abstractNumId w:val="4"/>
  </w:num>
  <w:num w:numId="4" w16cid:durableId="352191990">
    <w:abstractNumId w:val="1"/>
  </w:num>
  <w:num w:numId="5" w16cid:durableId="1576233692">
    <w:abstractNumId w:val="5"/>
  </w:num>
  <w:num w:numId="6" w16cid:durableId="145024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16F"/>
    <w:rsid w:val="005544EB"/>
    <w:rsid w:val="00722795"/>
    <w:rsid w:val="00841FA0"/>
    <w:rsid w:val="009720D4"/>
    <w:rsid w:val="00C47B1C"/>
    <w:rsid w:val="00C5216F"/>
    <w:rsid w:val="00D85A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BE79"/>
  <w15:chartTrackingRefBased/>
  <w15:docId w15:val="{59A08792-C1A1-44A2-9837-38F106330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FA0"/>
    <w:pPr>
      <w:suppressAutoHyphens/>
      <w:bidi/>
      <w:spacing w:before="120" w:after="120" w:line="276" w:lineRule="auto"/>
    </w:pPr>
    <w:rPr>
      <w:rFonts w:ascii="Liberation Serif" w:eastAsia="NSimSun" w:hAnsi="Liberation Serif" w:cs="David"/>
      <w:kern w:val="24"/>
      <w:lang w:eastAsia="zh-CN"/>
      <w14:ligatures w14:val="none"/>
    </w:rPr>
  </w:style>
  <w:style w:type="paragraph" w:styleId="Heading1">
    <w:name w:val="heading 1"/>
    <w:basedOn w:val="Normal"/>
    <w:next w:val="Normal"/>
    <w:link w:val="Heading1Char"/>
    <w:qFormat/>
    <w:rsid w:val="00C52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52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16F"/>
    <w:rPr>
      <w:rFonts w:eastAsiaTheme="majorEastAsia" w:cstheme="majorBidi"/>
      <w:color w:val="272727" w:themeColor="text1" w:themeTint="D8"/>
    </w:rPr>
  </w:style>
  <w:style w:type="paragraph" w:styleId="Title">
    <w:name w:val="Title"/>
    <w:basedOn w:val="Normal"/>
    <w:next w:val="Normal"/>
    <w:link w:val="TitleChar"/>
    <w:uiPriority w:val="10"/>
    <w:qFormat/>
    <w:rsid w:val="00C52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16F"/>
    <w:pPr>
      <w:spacing w:before="160"/>
      <w:jc w:val="center"/>
    </w:pPr>
    <w:rPr>
      <w:i/>
      <w:iCs/>
      <w:color w:val="404040" w:themeColor="text1" w:themeTint="BF"/>
    </w:rPr>
  </w:style>
  <w:style w:type="character" w:customStyle="1" w:styleId="QuoteChar">
    <w:name w:val="Quote Char"/>
    <w:basedOn w:val="DefaultParagraphFont"/>
    <w:link w:val="Quote"/>
    <w:uiPriority w:val="29"/>
    <w:rsid w:val="00C5216F"/>
    <w:rPr>
      <w:i/>
      <w:iCs/>
      <w:color w:val="404040" w:themeColor="text1" w:themeTint="BF"/>
    </w:rPr>
  </w:style>
  <w:style w:type="paragraph" w:styleId="ListParagraph">
    <w:name w:val="List Paragraph"/>
    <w:basedOn w:val="Normal"/>
    <w:uiPriority w:val="34"/>
    <w:qFormat/>
    <w:rsid w:val="00C5216F"/>
    <w:pPr>
      <w:ind w:left="720"/>
      <w:contextualSpacing/>
    </w:pPr>
  </w:style>
  <w:style w:type="character" w:styleId="IntenseEmphasis">
    <w:name w:val="Intense Emphasis"/>
    <w:basedOn w:val="DefaultParagraphFont"/>
    <w:uiPriority w:val="21"/>
    <w:qFormat/>
    <w:rsid w:val="00C5216F"/>
    <w:rPr>
      <w:i/>
      <w:iCs/>
      <w:color w:val="0F4761" w:themeColor="accent1" w:themeShade="BF"/>
    </w:rPr>
  </w:style>
  <w:style w:type="paragraph" w:styleId="IntenseQuote">
    <w:name w:val="Intense Quote"/>
    <w:basedOn w:val="Normal"/>
    <w:next w:val="Normal"/>
    <w:link w:val="IntenseQuoteChar"/>
    <w:uiPriority w:val="30"/>
    <w:qFormat/>
    <w:rsid w:val="00C52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16F"/>
    <w:rPr>
      <w:i/>
      <w:iCs/>
      <w:color w:val="0F4761" w:themeColor="accent1" w:themeShade="BF"/>
    </w:rPr>
  </w:style>
  <w:style w:type="character" w:styleId="IntenseReference">
    <w:name w:val="Intense Reference"/>
    <w:basedOn w:val="DefaultParagraphFont"/>
    <w:uiPriority w:val="32"/>
    <w:qFormat/>
    <w:rsid w:val="00C5216F"/>
    <w:rPr>
      <w:b/>
      <w:bCs/>
      <w:smallCaps/>
      <w:color w:val="0F4761" w:themeColor="accent1" w:themeShade="BF"/>
      <w:spacing w:val="5"/>
    </w:rPr>
  </w:style>
  <w:style w:type="paragraph" w:styleId="FootnoteText">
    <w:name w:val="footnote text"/>
    <w:basedOn w:val="Normal"/>
    <w:link w:val="FootnoteTextChar"/>
    <w:qFormat/>
    <w:rsid w:val="00841FA0"/>
    <w:pPr>
      <w:suppressLineNumbers/>
      <w:ind w:left="346" w:hanging="346"/>
    </w:pPr>
    <w:rPr>
      <w:sz w:val="20"/>
      <w:szCs w:val="20"/>
    </w:rPr>
  </w:style>
  <w:style w:type="character" w:customStyle="1" w:styleId="FootnoteTextChar">
    <w:name w:val="Footnote Text Char"/>
    <w:basedOn w:val="DefaultParagraphFont"/>
    <w:link w:val="FootnoteText"/>
    <w:rsid w:val="00841FA0"/>
    <w:rPr>
      <w:rFonts w:ascii="Liberation Serif" w:eastAsia="NSimSun" w:hAnsi="Liberation Serif" w:cs="David"/>
      <w:kern w:val="24"/>
      <w:sz w:val="20"/>
      <w:szCs w:val="20"/>
      <w:lang w:eastAsia="zh-CN"/>
      <w14:ligatures w14:val="none"/>
    </w:rPr>
  </w:style>
  <w:style w:type="character" w:customStyle="1" w:styleId="FootnoteCharacters">
    <w:name w:val="Footnote Characters"/>
    <w:rsid w:val="009720D4"/>
    <w:rPr>
      <w:vertAlign w:val="superscript"/>
    </w:rPr>
  </w:style>
  <w:style w:type="character" w:styleId="FootnoteReference">
    <w:name w:val="footnote reference"/>
    <w:rsid w:val="009720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3</cp:revision>
  <dcterms:created xsi:type="dcterms:W3CDTF">2025-11-11T12:36:00Z</dcterms:created>
  <dcterms:modified xsi:type="dcterms:W3CDTF">2025-11-11T12:41:00Z</dcterms:modified>
</cp:coreProperties>
</file>