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1"/>
        <w:spacing w:before="40" w:after="0"/>
        <w:jc w:val="start"/>
        <w:rPr>
          <w:rFonts w:cs="DejaVu Serif"/>
        </w:rPr>
      </w:pPr>
      <w:r>
        <w:rPr>
          <w:rFonts w:cs="DejaVu Serif"/>
          <w:rtl w:val="true"/>
        </w:rPr>
        <w:t>משנה א</w:t>
      </w:r>
      <w:r>
        <w:rPr>
          <w:rStyle w:val="FootnoteReference"/>
          <w:rFonts w:cs="DejaVu Serif"/>
          <w:sz w:val="28"/>
          <w:sz w:val="28"/>
          <w:rtl w:val="true"/>
        </w:rPr>
        <w:footnoteReference w:id="2"/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Style w:val="FootnoteReference"/>
          <w:rFonts w:cs="DejaVu Serif"/>
          <w:b w:val="false"/>
          <w:bCs w:val="false"/>
          <w:sz w:val="28"/>
          <w:szCs w:val="28"/>
          <w:rtl w:val="true"/>
        </w:rPr>
        <w:footnoteReference w:id="3"/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הָיָה קוֹרֵא</w:t>
      </w:r>
      <w:r>
        <w:rPr>
          <w:rFonts w:cs="DejaVu Serif"/>
          <w:sz w:val="28"/>
          <w:sz w:val="28"/>
          <w:szCs w:val="28"/>
          <w:rtl w:val="true"/>
        </w:rPr>
        <w:t xml:space="preserve"> בַתּוֹרָה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וְהִגִּיעַ זְמַן הַמִּקְרָא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אִם כִּוֵּן לִבּוֹ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4"/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יָצָא</w:t>
      </w:r>
      <w:r>
        <w:rPr>
          <w:rFonts w:cs="DejaVu Serif"/>
          <w:sz w:val="28"/>
          <w:szCs w:val="28"/>
          <w:rtl w:val="true"/>
        </w:rPr>
        <w:t xml:space="preserve">. </w:t>
      </w:r>
      <w:r>
        <w:rPr>
          <w:rFonts w:cs="DejaVu Serif"/>
          <w:sz w:val="28"/>
          <w:sz w:val="28"/>
          <w:szCs w:val="28"/>
          <w:rtl w:val="true"/>
        </w:rPr>
        <w:t>וְאִם לָאו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לֹא יָצָא</w:t>
      </w:r>
      <w:r>
        <w:rPr>
          <w:rFonts w:cs="DejaVu Serif"/>
          <w:sz w:val="28"/>
          <w:szCs w:val="28"/>
          <w:rtl w:val="true"/>
        </w:rPr>
        <w:t xml:space="preserve">. </w:t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Fonts w:cs="DejaVu Serif"/>
          <w:sz w:val="28"/>
          <w:sz w:val="28"/>
          <w:szCs w:val="28"/>
          <w:rtl w:val="true"/>
        </w:rPr>
        <w:t>בַּפְּרָקִים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5"/>
      </w:r>
      <w:r>
        <w:rPr>
          <w:rFonts w:cs="DejaVu Serif"/>
          <w:sz w:val="28"/>
          <w:sz w:val="28"/>
          <w:szCs w:val="28"/>
          <w:rtl w:val="true"/>
        </w:rPr>
        <w:t xml:space="preserve"> שׁוֹאֵל מִפְּנֵי הַכָּבוֹד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6"/>
      </w:r>
      <w:r>
        <w:rPr>
          <w:rFonts w:cs="DejaVu Serif"/>
          <w:sz w:val="28"/>
          <w:sz w:val="28"/>
          <w:szCs w:val="28"/>
          <w:rtl w:val="true"/>
        </w:rPr>
        <w:t xml:space="preserve"> וּמֵשִׁיב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7"/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 xml:space="preserve">וּבָאֶמְצַע </w:t>
      </w:r>
      <w:r>
        <w:rPr>
          <w:rFonts w:cs="DejaVu Serif"/>
          <w:sz w:val="28"/>
          <w:szCs w:val="28"/>
          <w:rtl w:val="true"/>
        </w:rPr>
        <w:t>[</w:t>
      </w:r>
      <w:r>
        <w:rPr>
          <w:rFonts w:cs="DejaVu Serif"/>
          <w:sz w:val="28"/>
          <w:sz w:val="28"/>
          <w:szCs w:val="28"/>
          <w:rtl w:val="true"/>
        </w:rPr>
        <w:t>ו</w:t>
      </w:r>
      <w:r>
        <w:rPr>
          <w:rFonts w:cs="DejaVu Serif"/>
          <w:sz w:val="28"/>
          <w:szCs w:val="28"/>
          <w:rtl w:val="true"/>
        </w:rPr>
        <w:t xml:space="preserve">] </w:t>
      </w:r>
      <w:r>
        <w:rPr>
          <w:rFonts w:cs="DejaVu Serif"/>
          <w:sz w:val="28"/>
          <w:sz w:val="28"/>
          <w:szCs w:val="28"/>
          <w:rtl w:val="true"/>
        </w:rPr>
        <w:t>שׁוֹאֵל מִפְּנֵי הַיִּרְאָה</w:t>
      </w:r>
      <w:r>
        <w:rPr>
          <w:rStyle w:val="FootnoteReference"/>
          <w:rFonts w:cs="DejaVu Serif"/>
          <w:sz w:val="28"/>
          <w:sz w:val="28"/>
          <w:szCs w:val="28"/>
          <w:rtl w:val="true"/>
        </w:rPr>
        <w:footnoteReference w:id="8"/>
      </w:r>
      <w:r>
        <w:rPr>
          <w:rFonts w:cs="DejaVu Serif"/>
          <w:sz w:val="28"/>
          <w:sz w:val="28"/>
          <w:szCs w:val="28"/>
          <w:rtl w:val="true"/>
        </w:rPr>
        <w:t xml:space="preserve"> וּמֵשִׁיב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דִּבְרֵי רַבִּי מֵאִיר</w:t>
      </w:r>
      <w:r>
        <w:rPr>
          <w:rFonts w:cs="DejaVu Serif"/>
          <w:sz w:val="28"/>
          <w:szCs w:val="28"/>
          <w:rtl w:val="true"/>
        </w:rPr>
        <w:t xml:space="preserve">. </w:t>
      </w:r>
      <w:r>
        <w:rPr>
          <w:rFonts w:cs="DejaVu Serif"/>
          <w:sz w:val="28"/>
          <w:sz w:val="28"/>
          <w:szCs w:val="28"/>
          <w:rtl w:val="true"/>
        </w:rPr>
        <w:t>רַבִּי יְהוּדָה אוֹמֵר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בָּאֶמְצַע שׁוֹאֵל מִפְּנֵי הַיִּרְאָה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וּמֵשִׁיב מִפְּנֵי הַכָּבוֹד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בַּפְּרָקִים שׁוֹאֵל מִפְּנֵי הַכָּבוֹד</w:t>
      </w:r>
      <w:r>
        <w:rPr>
          <w:rFonts w:cs="DejaVu Serif"/>
          <w:sz w:val="28"/>
          <w:szCs w:val="28"/>
          <w:rtl w:val="true"/>
        </w:rPr>
        <w:t xml:space="preserve">, </w:t>
      </w:r>
      <w:r>
        <w:rPr>
          <w:rFonts w:cs="DejaVu Serif"/>
          <w:sz w:val="28"/>
          <w:sz w:val="28"/>
          <w:szCs w:val="28"/>
          <w:rtl w:val="true"/>
        </w:rPr>
        <w:t>וּמֵשִׁיב שָׁלוֹם לְכָל אָדָם</w:t>
      </w:r>
      <w:r>
        <w:rPr>
          <w:rFonts w:cs="DejaVu Serif"/>
          <w:sz w:val="28"/>
          <w:szCs w:val="28"/>
          <w:rtl w:val="true"/>
        </w:rPr>
        <w:t>.</w:t>
      </w:r>
      <w:r>
        <w:rPr>
          <w:rStyle w:val="FootnoteReference"/>
          <w:rFonts w:cs="DejaVu Serif"/>
          <w:sz w:val="28"/>
          <w:szCs w:val="28"/>
          <w:rtl w:val="true"/>
        </w:rPr>
        <w:footnoteReference w:id="9"/>
      </w:r>
      <w:r>
        <w:rPr>
          <w:rFonts w:cs="DejaVu Serif"/>
          <w:sz w:val="28"/>
          <w:szCs w:val="28"/>
          <w:rtl w:val="true"/>
        </w:rPr>
        <w:t xml:space="preserve"> 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b/>
          <w:bCs/>
        </w:rPr>
      </w:pPr>
      <w:r>
        <w:rPr>
          <w:rStyle w:val="FootnoteCharacters"/>
        </w:rPr>
        <w:footnoteRef/>
      </w:r>
      <w:r>
        <w:rPr>
          <w:b/>
          <w:bCs/>
          <w:rtl w:val="true"/>
        </w:rPr>
        <w:tab/>
      </w:r>
      <w:r>
        <w:rPr>
          <w:rFonts w:cs="Noto Rashi Hebrew"/>
          <w:b/>
          <w:b/>
          <w:bCs/>
          <w:rtl w:val="true"/>
        </w:rPr>
        <w:t>משנה א</w:t>
      </w:r>
      <w:r>
        <w:rPr>
          <w:rFonts w:cs="Noto Rashi Hebrew"/>
          <w:b/>
          <w:bCs/>
          <w:rtl w:val="true"/>
        </w:rPr>
        <w:t>:</w:t>
      </w:r>
    </w:p>
  </w:footnote>
  <w:footnote w:id="3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b/>
          <w:bCs/>
          <w:rtl w:val="true"/>
        </w:rPr>
        <w:tab/>
      </w:r>
      <w:r>
        <w:rPr>
          <w:rFonts w:cs="Noto Rashi Hebrew"/>
          <w:b/>
          <w:b/>
          <w:bCs/>
          <w:rtl w:val="true"/>
        </w:rPr>
        <w:t>הקדמה</w:t>
      </w:r>
      <w:r>
        <w:rPr>
          <w:rFonts w:cs="Noto Rashi Hebrew"/>
          <w:b/>
          <w:bCs/>
          <w:rtl w:val="true"/>
        </w:rPr>
        <w:t>:</w:t>
      </w:r>
    </w:p>
    <w:p>
      <w:pPr>
        <w:pStyle w:val="FootnoteText"/>
        <w:rPr>
          <w:rFonts w:cs="Noto Rashi Hebrew"/>
        </w:rPr>
      </w:pPr>
      <w:r>
        <w:rPr>
          <w:rFonts w:cs="Noto Rashi Hebrew"/>
          <w:b/>
          <w:bCs/>
          <w:rtl w:val="true"/>
        </w:rPr>
        <w:tab/>
      </w:r>
      <w:r>
        <w:rPr>
          <w:rFonts w:cs="Noto Rashi Hebrew"/>
          <w:b w:val="false"/>
          <w:b w:val="false"/>
          <w:bCs w:val="false"/>
          <w:rtl w:val="true"/>
        </w:rPr>
        <w:t xml:space="preserve">המשנה יבאר שני דברים </w:t>
      </w:r>
      <w:r>
        <w:rPr>
          <w:rFonts w:cs="Noto Rashi Hebrew"/>
          <w:b w:val="false"/>
          <w:bCs w:val="false"/>
          <w:rtl w:val="true"/>
        </w:rPr>
        <w:t>(</w:t>
      </w:r>
      <w:r>
        <w:rPr>
          <w:rFonts w:cs="Noto Rashi Hebrew"/>
          <w:b w:val="false"/>
          <w:b w:val="false"/>
          <w:bCs w:val="false"/>
          <w:rtl w:val="true"/>
        </w:rPr>
        <w:t>ולא נראה שיש יחס ביניהם</w:t>
      </w:r>
      <w:r>
        <w:rPr>
          <w:rFonts w:cs="Noto Rashi Hebrew"/>
          <w:b w:val="false"/>
          <w:bCs w:val="false"/>
          <w:rtl w:val="true"/>
        </w:rPr>
        <w:t>):</w:t>
      </w:r>
    </w:p>
    <w:p>
      <w:pPr>
        <w:pStyle w:val="FootnoteText"/>
        <w:numPr>
          <w:ilvl w:val="0"/>
          <w:numId w:val="2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יבאר שצריך כוונה בקריאת שמע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0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יבאר דין הפסק באמצע קריאת שמע </w:t>
      </w:r>
      <w:r>
        <w:rPr>
          <w:rFonts w:cs="Noto Rashi Hebrew"/>
          <w:b w:val="false"/>
          <w:bCs w:val="false"/>
          <w:rtl w:val="true"/>
        </w:rPr>
        <w:t>(</w:t>
      </w:r>
      <w:r>
        <w:rPr>
          <w:rFonts w:cs="Noto Rashi Hebrew"/>
          <w:b w:val="false"/>
          <w:b w:val="false"/>
          <w:bCs w:val="false"/>
          <w:rtl w:val="true"/>
        </w:rPr>
        <w:t>וממשנה לקמן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יוצא ש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קריאת שמע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>כאן כולל ברכות קריאת שמע</w:t>
      </w:r>
      <w:r>
        <w:rPr>
          <w:rFonts w:cs="Noto Rashi Hebrew"/>
          <w:b w:val="false"/>
          <w:bCs w:val="false"/>
          <w:rtl w:val="true"/>
        </w:rPr>
        <w:t>).</w:t>
      </w:r>
    </w:p>
    <w:p>
      <w:pPr>
        <w:pStyle w:val="FootnoteText"/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Cs w:val="false"/>
          <w:rtl w:val="true"/>
        </w:rPr>
        <w:tab/>
      </w:r>
      <w:r>
        <w:rPr>
          <w:rFonts w:cs="Noto Rashi Hebrew"/>
          <w:b w:val="false"/>
          <w:b w:val="false"/>
          <w:bCs w:val="false"/>
          <w:rtl w:val="true"/>
        </w:rPr>
        <w:t>יש להעיר שלכאו</w:t>
      </w:r>
      <w:r>
        <w:rPr>
          <w:rFonts w:cs="Noto Rashi Hebrew"/>
          <w:b w:val="false"/>
          <w:bCs w:val="false"/>
          <w:rtl w:val="true"/>
        </w:rPr>
        <w:t xml:space="preserve">' </w:t>
      </w:r>
      <w:r>
        <w:rPr>
          <w:rFonts w:cs="Noto Rashi Hebrew"/>
          <w:b w:val="false"/>
          <w:b w:val="false"/>
          <w:bCs w:val="false"/>
          <w:rtl w:val="true"/>
        </w:rPr>
        <w:t xml:space="preserve">משנה זה </w:t>
      </w:r>
      <w:r>
        <w:rPr>
          <w:rFonts w:cs="Noto Rashi Hebrew"/>
          <w:b w:val="false"/>
          <w:bCs w:val="false"/>
          <w:rtl w:val="true"/>
        </w:rPr>
        <w:t>(</w:t>
      </w:r>
      <w:r>
        <w:rPr>
          <w:rFonts w:cs="Noto Rashi Hebrew"/>
          <w:b w:val="false"/>
          <w:b w:val="false"/>
          <w:bCs w:val="false"/>
          <w:rtl w:val="true"/>
        </w:rPr>
        <w:t>וכל הבאים אחריו</w:t>
      </w:r>
      <w:r>
        <w:rPr>
          <w:rFonts w:cs="Noto Rashi Hebrew"/>
          <w:b w:val="false"/>
          <w:bCs w:val="false"/>
          <w:rtl w:val="true"/>
        </w:rPr>
        <w:t xml:space="preserve">) </w:t>
      </w:r>
      <w:r>
        <w:rPr>
          <w:rFonts w:cs="Noto Rashi Hebrew"/>
          <w:b w:val="false"/>
          <w:b w:val="false"/>
          <w:bCs w:val="false"/>
          <w:rtl w:val="true"/>
        </w:rPr>
        <w:t>הם בשני קריאות של שמע – בקריאה של בקר ובקריאה של ערב</w:t>
      </w:r>
      <w:r>
        <w:rPr>
          <w:rFonts w:cs="Noto Rashi Hebrew"/>
          <w:b w:val="false"/>
          <w:bCs w:val="false"/>
          <w:rtl w:val="true"/>
        </w:rPr>
        <w:t xml:space="preserve">. </w:t>
      </w:r>
      <w:r>
        <w:rPr>
          <w:rFonts w:cs="Noto Rashi Hebrew"/>
          <w:b w:val="false"/>
          <w:bCs w:val="false"/>
          <w:rtl w:val="true"/>
        </w:rPr>
        <w:t>[</w:t>
      </w:r>
      <w:r>
        <w:rPr>
          <w:rFonts w:cs="Noto Rashi Hebrew"/>
          <w:b w:val="false"/>
          <w:b w:val="false"/>
          <w:bCs w:val="false"/>
          <w:rtl w:val="true"/>
        </w:rPr>
        <w:t>א</w:t>
      </w:r>
      <w:r>
        <w:rPr>
          <w:rFonts w:cs="Noto Rashi Hebrew"/>
          <w:b w:val="false"/>
          <w:bCs w:val="false"/>
          <w:rtl w:val="true"/>
        </w:rPr>
        <w:t>]</w:t>
      </w:r>
    </w:p>
  </w:footnote>
  <w:footnote w:id="4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 xml:space="preserve">גמרא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יג</w:t>
      </w:r>
      <w:r>
        <w:rPr>
          <w:rFonts w:cs="Noto Rashi Hebrew"/>
          <w:b/>
          <w:bCs/>
          <w:u w:val="single"/>
          <w:rtl w:val="true"/>
        </w:rPr>
        <w:t>.)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>מזכיר שני צדדיםבביאור מה צריך לכוון</w:t>
      </w:r>
      <w:r>
        <w:rPr>
          <w:rFonts w:cs="Noto Rashi Hebrew"/>
          <w:rtl w:val="true"/>
        </w:rPr>
        <w:t>:</w:t>
      </w:r>
    </w:p>
    <w:p>
      <w:pPr>
        <w:pStyle w:val="FootnoteText"/>
        <w:numPr>
          <w:ilvl w:val="0"/>
          <w:numId w:val="1"/>
        </w:numPr>
        <w:rPr>
          <w:rFonts w:cs="Noto Rashi Hebrew"/>
        </w:rPr>
      </w:pPr>
      <w:r>
        <w:rPr>
          <w:rFonts w:cs="Noto Rashi Hebrew"/>
          <w:rtl w:val="true"/>
        </w:rPr>
        <w:t>אפשר שצריך לכוון לקיים מצווה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שיטה זה סובר שכדי לקיים מצווה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צריך לכוון לקיים אותו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וזה נקרא 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מצוות צ’ כוונה</w:t>
      </w:r>
      <w:r>
        <w:rPr>
          <w:rFonts w:cs="Noto Rashi Hebrew"/>
          <w:rtl w:val="true"/>
        </w:rPr>
        <w:t>.”</w:t>
      </w:r>
    </w:p>
    <w:p>
      <w:pPr>
        <w:pStyle w:val="FootnoteText"/>
        <w:numPr>
          <w:ilvl w:val="0"/>
          <w:numId w:val="1"/>
        </w:numPr>
        <w:rPr>
          <w:rFonts w:cs="Noto Rashi Hebrew"/>
        </w:rPr>
      </w:pPr>
      <w:r>
        <w:rPr>
          <w:rFonts w:cs="Noto Rashi Hebrew"/>
          <w:rtl w:val="true"/>
        </w:rPr>
        <w:t>אפשר שצריך לכוון לומר מילים</w:t>
      </w:r>
      <w:r>
        <w:rPr>
          <w:rFonts w:cs="Noto Rashi Hebrew"/>
          <w:rtl w:val="true"/>
        </w:rPr>
        <w:t>. [</w:t>
      </w:r>
      <w:r>
        <w:rPr>
          <w:rFonts w:cs="Noto Rashi Hebrew"/>
          <w:rtl w:val="true"/>
        </w:rPr>
        <w:t>ב</w:t>
      </w:r>
      <w:r>
        <w:rPr>
          <w:rFonts w:cs="Noto Rashi Hebrew"/>
          <w:rtl w:val="true"/>
        </w:rPr>
        <w:t xml:space="preserve">] </w:t>
      </w:r>
      <w:r>
        <w:rPr>
          <w:rFonts w:cs="Noto Rashi Hebrew"/>
          <w:rtl w:val="true"/>
        </w:rPr>
        <w:t>גמרא מבאר ששיטה זה מוקים משנה בקורא להגיה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ואם לא מכוון לומר כל המילים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לא יכולים להניח שיאמר את כולם</w:t>
      </w:r>
      <w:r>
        <w:rPr>
          <w:rFonts w:cs="Noto Rashi Hebrew"/>
          <w:rtl w:val="true"/>
        </w:rPr>
        <w:t>.</w:t>
      </w:r>
    </w:p>
    <w:p>
      <w:pPr>
        <w:pStyle w:val="FootnoteText"/>
        <w:rPr>
          <w:rFonts w:cs="Noto Rashi Hebrew"/>
        </w:rPr>
      </w:pPr>
      <w:r>
        <w:rPr>
          <w:rFonts w:cs="Noto Rashi Hebrew"/>
          <w:rtl w:val="true"/>
        </w:rPr>
        <w:tab/>
        <w:t>[</w:t>
      </w:r>
      <w:r>
        <w:rPr>
          <w:rFonts w:cs="Noto Rashi Hebrew"/>
          <w:rtl w:val="true"/>
        </w:rPr>
        <w:t>ג</w:t>
      </w:r>
      <w:r>
        <w:rPr>
          <w:rFonts w:cs="Noto Rashi Hebrew"/>
          <w:rtl w:val="true"/>
        </w:rPr>
        <w:t>]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Fonts w:cs="Noto Rashi Hebrew"/>
          <w:rtl w:val="true"/>
        </w:rPr>
        <w:t>לקמן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המשנה יפרש מה נחשב ”בין הפרקים</w:t>
      </w:r>
      <w:r>
        <w:rPr>
          <w:rFonts w:cs="Noto Rashi Hebrew"/>
          <w:rtl w:val="true"/>
        </w:rPr>
        <w:t>.“</w:t>
      </w:r>
    </w:p>
  </w:footnote>
  <w:footnote w:id="6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י מפרש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יג</w:t>
      </w:r>
      <w:r>
        <w:rPr>
          <w:rFonts w:cs="Noto Rashi Hebrew"/>
          <w:rtl w:val="true"/>
        </w:rPr>
        <w:t xml:space="preserve">.) </w:t>
      </w:r>
      <w:r>
        <w:rPr>
          <w:rFonts w:cs="Noto Rashi Hebrew"/>
          <w:rtl w:val="true"/>
        </w:rPr>
        <w:t>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שואל מפני הכבוד</w:t>
      </w:r>
      <w:r>
        <w:rPr>
          <w:rFonts w:cs="Noto Rashi Hebrew"/>
          <w:rtl w:val="true"/>
        </w:rPr>
        <w:t xml:space="preserve">" </w:t>
      </w:r>
      <w:r>
        <w:rPr>
          <w:rFonts w:cs="Noto Rashi Hebrew"/>
          <w:rtl w:val="true"/>
        </w:rPr>
        <w:t>רצה לומר ששואל את אדם הנכבד</w:t>
      </w:r>
      <w:r>
        <w:rPr>
          <w:rFonts w:cs="Noto Rashi Hebrew"/>
          <w:rtl w:val="true"/>
        </w:rPr>
        <w:t xml:space="preserve">. </w:t>
      </w:r>
    </w:p>
  </w:footnote>
  <w:footnote w:id="7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ר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משיב לכבוד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ואם תאמר אם יכול לשאול בלשומו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פשוט שיכול להשיב לו</w:t>
      </w:r>
      <w:r>
        <w:rPr>
          <w:rFonts w:cs="Noto Rashi Hebrew"/>
          <w:rtl w:val="true"/>
        </w:rPr>
        <w:t>. [</w:t>
      </w:r>
      <w:r>
        <w:rPr>
          <w:rFonts w:cs="Noto Rashi Hebrew"/>
          <w:rtl w:val="true"/>
        </w:rPr>
        <w:t>ד</w:t>
      </w:r>
      <w:r>
        <w:rPr>
          <w:rFonts w:cs="Noto Rashi Hebrew"/>
          <w:rtl w:val="true"/>
        </w:rPr>
        <w:t>]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 xml:space="preserve">גמרא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יג</w:t>
      </w:r>
      <w:r>
        <w:rPr>
          <w:rFonts w:cs="Noto Rashi Hebrew"/>
          <w:b/>
          <w:bCs/>
          <w:u w:val="single"/>
          <w:rtl w:val="true"/>
        </w:rPr>
        <w:t>:)</w:t>
      </w:r>
      <w:r>
        <w:rPr>
          <w:rFonts w:cs="Noto Rashi Hebrew"/>
          <w:b w:val="false"/>
          <w:bCs w:val="false"/>
          <w:rtl w:val="true"/>
        </w:rPr>
        <w:t xml:space="preserve"> </w:t>
      </w:r>
      <w:r>
        <w:rPr>
          <w:rFonts w:cs="Noto Rashi Hebrew"/>
          <w:rtl w:val="true"/>
        </w:rPr>
        <w:t>משיב שאין הכי נמי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גמרא מפרש שהמשנה חסר מילים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ור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ל 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ואצ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ל משיב</w:t>
      </w:r>
      <w:r>
        <w:rPr>
          <w:rFonts w:cs="Noto Rashi Hebrew"/>
          <w:rtl w:val="true"/>
        </w:rPr>
        <w:t>.” [</w:t>
      </w:r>
      <w:r>
        <w:rPr>
          <w:rFonts w:cs="Noto Rashi Hebrew"/>
          <w:rtl w:val="true"/>
        </w:rPr>
        <w:t>ה</w:t>
      </w:r>
      <w:r>
        <w:rPr>
          <w:rFonts w:cs="Noto Rashi Hebrew"/>
          <w:rtl w:val="true"/>
        </w:rPr>
        <w:t xml:space="preserve">] </w:t>
      </w:r>
      <w:r>
        <w:rPr>
          <w:rFonts w:cs="Noto Rashi Hebrew"/>
          <w:rtl w:val="true"/>
        </w:rPr>
        <w:t>כמו כן צריכים לפרש מה שאומר המשנה לקמן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כשאומר שמשיב ליראה באמצע הפרקים</w:t>
      </w:r>
      <w:r>
        <w:rPr>
          <w:rFonts w:cs="Noto Rashi Hebrew"/>
          <w:rtl w:val="true"/>
        </w:rPr>
        <w:t>.</w:t>
      </w:r>
    </w:p>
  </w:footnote>
  <w:footnote w:id="8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י מפרש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יג</w:t>
      </w:r>
      <w:r>
        <w:rPr>
          <w:rFonts w:cs="Noto Rashi Hebrew"/>
          <w:rtl w:val="true"/>
        </w:rPr>
        <w:t xml:space="preserve">.) </w:t>
      </w:r>
      <w:r>
        <w:rPr>
          <w:rFonts w:cs="Noto Rashi Hebrew"/>
          <w:rtl w:val="true"/>
        </w:rPr>
        <w:t>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שואל מפני היראה</w:t>
      </w:r>
      <w:r>
        <w:rPr>
          <w:rFonts w:cs="Noto Rashi Hebrew"/>
          <w:rtl w:val="true"/>
        </w:rPr>
        <w:t xml:space="preserve">" </w:t>
      </w:r>
      <w:r>
        <w:rPr>
          <w:rFonts w:cs="Noto Rashi Hebrew"/>
          <w:rtl w:val="true"/>
        </w:rPr>
        <w:t>רצה לומר ששואל את אדם שהוא ירא שיהרג אותו</w:t>
      </w:r>
      <w:r>
        <w:rPr>
          <w:rFonts w:cs="Noto Rashi Hebrew"/>
          <w:rtl w:val="true"/>
        </w:rPr>
        <w:t>. [</w:t>
      </w:r>
      <w:r>
        <w:rPr>
          <w:rFonts w:cs="Noto Rashi Hebrew"/>
          <w:rtl w:val="true"/>
        </w:rPr>
        <w:t>ז</w:t>
      </w:r>
      <w:r>
        <w:rPr>
          <w:rFonts w:cs="Noto Rashi Hebrew"/>
          <w:rtl w:val="true"/>
        </w:rPr>
        <w:t>]</w:t>
      </w:r>
    </w:p>
  </w:footnote>
  <w:footnote w:id="9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b/>
          <w:bCs/>
          <w:rtl w:val="true"/>
        </w:rPr>
        <w:tab/>
      </w:r>
      <w:r>
        <w:rPr>
          <w:rFonts w:cs="Noto Rashi Hebrew"/>
          <w:b/>
          <w:b/>
          <w:bCs/>
          <w:rtl w:val="true"/>
        </w:rPr>
        <w:t>דינים היוצאים מן המשנה</w:t>
      </w:r>
      <w:r>
        <w:rPr>
          <w:rFonts w:cs="Noto Rashi Hebrew"/>
          <w:b/>
          <w:bCs/>
          <w:rtl w:val="true"/>
        </w:rPr>
        <w:t>:</w:t>
      </w:r>
    </w:p>
    <w:p>
      <w:pPr>
        <w:pStyle w:val="FootnoteText"/>
        <w:numPr>
          <w:ilvl w:val="0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אדם צריך לכוון בקריאת שמע</w:t>
      </w:r>
      <w:r>
        <w:rPr>
          <w:rFonts w:cs="Noto Rashi Hebrew"/>
          <w:b w:val="false"/>
          <w:bCs w:val="false"/>
          <w:rtl w:val="true"/>
        </w:rPr>
        <w:t xml:space="preserve">. </w:t>
      </w:r>
      <w:r>
        <w:rPr>
          <w:rFonts w:cs="Noto Rashi Hebrew"/>
          <w:b w:val="false"/>
          <w:b w:val="false"/>
          <w:bCs w:val="false"/>
          <w:rtl w:val="true"/>
        </w:rPr>
        <w:t>איזה כוונה צריך</w:t>
      </w:r>
      <w:r>
        <w:rPr>
          <w:rFonts w:cs="Noto Rashi Hebrew"/>
          <w:b w:val="false"/>
          <w:bCs w:val="false"/>
          <w:rtl w:val="true"/>
        </w:rPr>
        <w:t>:</w:t>
      </w:r>
    </w:p>
    <w:p>
      <w:pPr>
        <w:pStyle w:val="FootnoteText"/>
        <w:numPr>
          <w:ilvl w:val="1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כוונה לקיים את המצווה</w:t>
      </w:r>
      <w:r>
        <w:rPr>
          <w:rFonts w:cs="Noto Rashi Hebrew"/>
          <w:b w:val="false"/>
          <w:bCs w:val="false"/>
          <w:rtl w:val="true"/>
        </w:rPr>
        <w:t>. (</w:t>
      </w:r>
      <w:r>
        <w:rPr>
          <w:rFonts w:cs="Noto Rashi Hebrew"/>
          <w:b w:val="false"/>
          <w:b w:val="false"/>
          <w:bCs w:val="false"/>
          <w:rtl w:val="true"/>
        </w:rPr>
        <w:t>כן הוא בכל מצוות</w:t>
      </w:r>
      <w:r>
        <w:rPr>
          <w:rFonts w:cs="Noto Rashi Hebrew"/>
          <w:b w:val="false"/>
          <w:bCs w:val="false"/>
          <w:rtl w:val="true"/>
        </w:rPr>
        <w:t>.)</w:t>
      </w:r>
    </w:p>
    <w:p>
      <w:pPr>
        <w:pStyle w:val="FootnoteText"/>
        <w:numPr>
          <w:ilvl w:val="1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כוונה לעשות המצווה </w:t>
      </w:r>
      <w:r>
        <w:rPr>
          <w:rFonts w:cs="Noto Rashi Hebrew"/>
          <w:b w:val="false"/>
          <w:bCs w:val="false"/>
          <w:rtl w:val="true"/>
        </w:rPr>
        <w:t>(</w:t>
      </w:r>
      <w:r>
        <w:rPr>
          <w:rFonts w:cs="Noto Rashi Hebrew"/>
          <w:b w:val="false"/>
          <w:b w:val="false"/>
          <w:bCs w:val="false"/>
          <w:rtl w:val="true"/>
        </w:rPr>
        <w:t>לקרוא</w:t>
      </w:r>
      <w:r>
        <w:rPr>
          <w:rFonts w:cs="Noto Rashi Hebrew"/>
          <w:b w:val="false"/>
          <w:bCs w:val="false"/>
          <w:rtl w:val="true"/>
        </w:rPr>
        <w:t>). (</w:t>
      </w:r>
      <w:r>
        <w:rPr>
          <w:rFonts w:cs="Noto Rashi Hebrew"/>
          <w:b w:val="false"/>
          <w:b w:val="false"/>
          <w:bCs w:val="false"/>
          <w:rtl w:val="true"/>
        </w:rPr>
        <w:t>כן הוא בכל מצוות</w:t>
      </w:r>
      <w:r>
        <w:rPr>
          <w:rFonts w:cs="Noto Rashi Hebrew"/>
          <w:b w:val="false"/>
          <w:bCs w:val="false"/>
          <w:rtl w:val="true"/>
        </w:rPr>
        <w:t>.)</w:t>
      </w:r>
    </w:p>
    <w:p>
      <w:pPr>
        <w:pStyle w:val="FootnoteText"/>
        <w:numPr>
          <w:ilvl w:val="0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לא יכול אדם להפסיק באמצע קריאת שמע</w:t>
      </w:r>
      <w:r>
        <w:rPr>
          <w:rFonts w:cs="Noto Rashi Hebrew"/>
          <w:b w:val="false"/>
          <w:bCs w:val="false"/>
          <w:rtl w:val="true"/>
        </w:rPr>
        <w:t xml:space="preserve">. </w:t>
      </w:r>
      <w:r>
        <w:rPr>
          <w:rFonts w:cs="Noto Rashi Hebrew"/>
          <w:b w:val="false"/>
          <w:b w:val="false"/>
          <w:bCs w:val="false"/>
          <w:rtl w:val="true"/>
        </w:rPr>
        <w:t>אבל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לפעמים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זה נדחה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מפני אמירת שלום</w:t>
      </w:r>
      <w:r>
        <w:rPr>
          <w:rFonts w:cs="Noto Rashi Hebrew"/>
          <w:b w:val="false"/>
          <w:bCs w:val="false"/>
          <w:rtl w:val="true"/>
        </w:rPr>
        <w:t>:</w:t>
      </w:r>
    </w:p>
    <w:p>
      <w:pPr>
        <w:pStyle w:val="FootnoteText"/>
        <w:numPr>
          <w:ilvl w:val="1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לאדם רגיל </w:t>
      </w:r>
      <w:r>
        <w:rPr>
          <w:rFonts w:cs="Noto Rashi Hebrew"/>
          <w:b w:val="false"/>
          <w:bCs w:val="false"/>
          <w:rtl w:val="true"/>
        </w:rPr>
        <w:t>-</w:t>
      </w:r>
    </w:p>
    <w:p>
      <w:pPr>
        <w:pStyle w:val="FootnoteText"/>
        <w:numPr>
          <w:ilvl w:val="2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לשאול – אסור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2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להשיב </w:t>
      </w:r>
      <w:r>
        <w:rPr>
          <w:rFonts w:cs="Noto Rashi Hebrew"/>
          <w:b w:val="false"/>
          <w:bCs w:val="false"/>
          <w:rtl w:val="true"/>
        </w:rPr>
        <w:t>-</w:t>
      </w:r>
    </w:p>
    <w:p>
      <w:pPr>
        <w:pStyle w:val="FootnoteText"/>
        <w:numPr>
          <w:ilvl w:val="3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רבי מאיר – אסור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3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רבי יהודה – </w:t>
      </w:r>
    </w:p>
    <w:p>
      <w:pPr>
        <w:pStyle w:val="FootnoteText"/>
        <w:numPr>
          <w:ilvl w:val="4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באמצע פרק – אסור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4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בין הפרקים </w:t>
      </w:r>
      <w:r>
        <w:rPr>
          <w:rFonts w:cs="Noto Rashi Hebrew"/>
          <w:b w:val="false"/>
          <w:bCs w:val="false"/>
          <w:rtl w:val="true"/>
        </w:rPr>
        <w:t xml:space="preserve">- </w:t>
      </w:r>
      <w:r>
        <w:rPr>
          <w:rFonts w:cs="Noto Rashi Hebrew"/>
          <w:b w:val="false"/>
          <w:b w:val="false"/>
          <w:bCs w:val="false"/>
          <w:rtl w:val="true"/>
        </w:rPr>
        <w:t>מותר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1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לאדם נכבד </w:t>
      </w:r>
      <w:r>
        <w:rPr>
          <w:rFonts w:cs="Noto Rashi Hebrew"/>
          <w:b w:val="false"/>
          <w:bCs w:val="false"/>
          <w:rtl w:val="true"/>
        </w:rPr>
        <w:t>-</w:t>
      </w:r>
    </w:p>
    <w:p>
      <w:pPr>
        <w:pStyle w:val="FootnoteText"/>
        <w:numPr>
          <w:ilvl w:val="2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לשאול </w:t>
      </w:r>
      <w:r>
        <w:rPr>
          <w:rFonts w:cs="Noto Rashi Hebrew"/>
          <w:b w:val="false"/>
          <w:bCs w:val="false"/>
          <w:rtl w:val="true"/>
        </w:rPr>
        <w:t xml:space="preserve">- </w:t>
      </w:r>
    </w:p>
    <w:p>
      <w:pPr>
        <w:pStyle w:val="FootnoteText"/>
        <w:numPr>
          <w:ilvl w:val="3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באמצע הפרק </w:t>
      </w:r>
      <w:r>
        <w:rPr>
          <w:rFonts w:cs="Noto Rashi Hebrew"/>
          <w:b w:val="false"/>
          <w:bCs w:val="false"/>
          <w:rtl w:val="true"/>
        </w:rPr>
        <w:t>-</w:t>
        <w:tab/>
      </w:r>
      <w:r>
        <w:rPr>
          <w:rFonts w:cs="Noto Rashi Hebrew"/>
          <w:b w:val="false"/>
          <w:b w:val="false"/>
          <w:bCs w:val="false"/>
          <w:rtl w:val="true"/>
        </w:rPr>
        <w:t>אסור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3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בין הפרקים – מותר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2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להשיב </w:t>
      </w:r>
      <w:r>
        <w:rPr>
          <w:rFonts w:cs="Noto Rashi Hebrew"/>
          <w:b w:val="false"/>
          <w:bCs w:val="false"/>
          <w:rtl w:val="true"/>
        </w:rPr>
        <w:t>-</w:t>
      </w:r>
    </w:p>
    <w:p>
      <w:pPr>
        <w:pStyle w:val="FootnoteText"/>
        <w:numPr>
          <w:ilvl w:val="3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באמצע הפרק </w:t>
      </w:r>
      <w:r>
        <w:rPr>
          <w:rFonts w:cs="Noto Rashi Hebrew"/>
          <w:b w:val="false"/>
          <w:bCs w:val="false"/>
          <w:rtl w:val="true"/>
        </w:rPr>
        <w:t xml:space="preserve">- </w:t>
      </w:r>
    </w:p>
    <w:p>
      <w:pPr>
        <w:pStyle w:val="FootnoteText"/>
        <w:numPr>
          <w:ilvl w:val="4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רבי מאיר – אסור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4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רבי יהודה – מותר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3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בין הפרקים – מותר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1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לאדם שירא ממנו </w:t>
      </w:r>
      <w:r>
        <w:rPr>
          <w:rFonts w:cs="Noto Rashi Hebrew"/>
          <w:b w:val="false"/>
          <w:bCs w:val="false"/>
          <w:rtl w:val="true"/>
        </w:rPr>
        <w:t>-</w:t>
      </w:r>
    </w:p>
    <w:p>
      <w:pPr>
        <w:pStyle w:val="FootnoteText"/>
        <w:numPr>
          <w:ilvl w:val="2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לשאול – מותר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2"/>
          <w:numId w:val="3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להשיב – מותר</w:t>
      </w:r>
      <w:r>
        <w:rPr>
          <w:rFonts w:cs="Noto Rashi Hebrew"/>
          <w:b w:val="false"/>
          <w:bCs w:val="false"/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Times New Roman"/>
      <w:b/>
      <w:bCs/>
      <w:szCs w:val="28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bidi w:val="1"/>
      <w:ind w:hanging="340" w:start="340"/>
      <w:jc w:val="start"/>
    </w:pPr>
    <w:rPr>
      <w:rFonts w:eastAsia="DejaVu Serif"/>
      <w:sz w:val="20"/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LibreOffice/25.8.2.2$Linux_X86_64 LibreOffice_project/580$Build-2</Application>
  <AppVersion>15.0000</AppVersion>
  <Pages>1</Pages>
  <Words>355</Words>
  <Characters>1454</Characters>
  <CharactersWithSpaces>1769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2026-02-20T10:58:58Z</dcterms:created>
  <dc:creator/>
  <dc:description/>
  <dc:language>en-US</dc:language>
  <cp:lastModifiedBy/>
  <dcterms:modified xsi:type="dcterms:W3CDTF">2026-03-01T12:12:29Z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