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1"/>
        <w:spacing w:before="40" w:after="0"/>
        <w:jc w:val="start"/>
        <w:rPr>
          <w:sz w:val="24"/>
          <w:szCs w:val="24"/>
        </w:rPr>
      </w:pPr>
      <w:r>
        <w:rPr>
          <w:rFonts w:cs="DejaVu Serif"/>
          <w:sz w:val="24"/>
          <w:sz w:val="24"/>
          <w:szCs w:val="24"/>
          <w:rtl w:val="true"/>
        </w:rPr>
        <w:t>משנה ב</w:t>
      </w:r>
      <w:r>
        <w:rPr>
          <w:rStyle w:val="FootnoteReference"/>
          <w:rFonts w:cs="DejaVu Serif"/>
          <w:sz w:val="24"/>
          <w:sz w:val="24"/>
          <w:szCs w:val="24"/>
          <w:rtl w:val="true"/>
        </w:rPr>
        <w:footnoteReference w:id="2"/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rStyle w:val="FootnoteReference"/>
          <w:rFonts w:cs="DejaVu Serif"/>
          <w:b w:val="false"/>
          <w:bCs w:val="false"/>
          <w:sz w:val="24"/>
          <w:szCs w:val="24"/>
          <w:rtl w:val="true"/>
        </w:rPr>
        <w:footnoteReference w:id="3"/>
      </w:r>
      <w:r>
        <w:rPr>
          <w:rFonts w:cs="DejaVu Serif"/>
          <w:b w:val="false"/>
          <w:b w:val="false"/>
          <w:bCs w:val="false"/>
          <w:sz w:val="24"/>
          <w:sz w:val="24"/>
          <w:szCs w:val="24"/>
          <w:rtl w:val="true"/>
        </w:rPr>
        <w:t>אֵלּוּ הֵן בֵּין הַפְּרָקִים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בֵּין בְּרָכָה רִאשׁוֹנָה לִשְׁנִיָּה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בֵּין שְׁנִיָּה לִשְׁמַע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וּבֵין שְׁמַע לִוְהָיָה אִם שָׁמֹעַ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 xml:space="preserve">בֵּין וְהָיָה אִם שָׁמֹעַ לְוַיֹּאמֶר </w:t>
      </w:r>
      <w:r>
        <w:rPr>
          <w:rFonts w:cs="DejaVu Serif"/>
          <w:sz w:val="24"/>
          <w:szCs w:val="24"/>
          <w:rtl w:val="true"/>
        </w:rPr>
        <w:t>[</w:t>
      </w:r>
      <w:r>
        <w:rPr>
          <w:rFonts w:cs="DejaVu Serif"/>
          <w:sz w:val="24"/>
          <w:sz w:val="24"/>
          <w:szCs w:val="24"/>
          <w:rtl w:val="true"/>
        </w:rPr>
        <w:t>א</w:t>
      </w:r>
      <w:r>
        <w:rPr>
          <w:rFonts w:cs="DejaVu Serif"/>
          <w:sz w:val="24"/>
          <w:szCs w:val="24"/>
          <w:rtl w:val="true"/>
        </w:rPr>
        <w:t xml:space="preserve">], </w:t>
      </w:r>
      <w:r>
        <w:rPr>
          <w:rFonts w:cs="DejaVu Serif"/>
          <w:sz w:val="24"/>
          <w:sz w:val="24"/>
          <w:szCs w:val="24"/>
          <w:rtl w:val="true"/>
        </w:rPr>
        <w:t xml:space="preserve">בֵּין וַיֹּאמֶר לֶאֱמֶת וְיַצִּיב </w:t>
      </w:r>
      <w:r>
        <w:rPr>
          <w:rFonts w:cs="DejaVu Serif"/>
          <w:b w:val="false"/>
          <w:bCs w:val="false"/>
          <w:i w:val="false"/>
          <w:iCs w:val="false"/>
          <w:sz w:val="24"/>
          <w:szCs w:val="24"/>
          <w:rtl w:val="true"/>
        </w:rPr>
        <w:t>[</w:t>
      </w:r>
      <w:r>
        <w:rPr>
          <w:rFonts w:cs="DejaVu Serif"/>
          <w:b w:val="false"/>
          <w:b w:val="false"/>
          <w:bCs w:val="false"/>
          <w:i w:val="false"/>
          <w:i w:val="false"/>
          <w:iCs w:val="false"/>
          <w:sz w:val="24"/>
          <w:sz w:val="24"/>
          <w:szCs w:val="24"/>
          <w:rtl w:val="true"/>
        </w:rPr>
        <w:t xml:space="preserve">א </w:t>
      </w:r>
      <w:r>
        <w:rPr>
          <w:rFonts w:cs="DejaVu Serif"/>
          <w:b w:val="false"/>
          <w:bCs w:val="false"/>
          <w:i w:val="false"/>
          <w:iCs w:val="false"/>
          <w:sz w:val="24"/>
          <w:szCs w:val="24"/>
          <w:rtl w:val="true"/>
        </w:rPr>
        <w:t xml:space="preserve">- </w:t>
      </w:r>
      <w:r>
        <w:rPr>
          <w:rFonts w:cs="DejaVu Serif"/>
          <w:b w:val="false"/>
          <w:b w:val="false"/>
          <w:bCs w:val="false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cs="DejaVu Serif"/>
          <w:b w:val="false"/>
          <w:bCs w:val="false"/>
          <w:i w:val="false"/>
          <w:iCs w:val="false"/>
          <w:sz w:val="24"/>
          <w:szCs w:val="24"/>
          <w:rtl w:val="true"/>
        </w:rPr>
        <w:t>]</w:t>
      </w:r>
      <w:r>
        <w:rPr>
          <w:rFonts w:cs="DejaVu Serif"/>
          <w:sz w:val="24"/>
          <w:szCs w:val="24"/>
          <w:rtl w:val="true"/>
        </w:rPr>
        <w:t xml:space="preserve">. </w:t>
      </w:r>
      <w:r>
        <w:rPr>
          <w:rFonts w:cs="DejaVu Serif"/>
          <w:sz w:val="24"/>
          <w:sz w:val="24"/>
          <w:szCs w:val="24"/>
          <w:rtl w:val="true"/>
        </w:rPr>
        <w:t>רַבִּי יְהוּדָה אוֹמֵר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בֵּין וַיֹּאמֶר לֶאֱמֶת וְיַצִּיב לֹא יַפְסִיק</w:t>
      </w:r>
      <w:r>
        <w:rPr>
          <w:rStyle w:val="FootnoteReference"/>
          <w:rFonts w:cs="DejaVu Serif"/>
          <w:sz w:val="24"/>
          <w:sz w:val="24"/>
          <w:szCs w:val="24"/>
          <w:rtl w:val="true"/>
        </w:rPr>
        <w:footnoteReference w:id="4"/>
      </w:r>
      <w:r>
        <w:rPr>
          <w:rStyle w:val="FootnoteReference"/>
          <w:rFonts w:cs="DejaVu Serif"/>
          <w:sz w:val="24"/>
          <w:sz w:val="24"/>
          <w:szCs w:val="24"/>
          <w:rtl w:val="true"/>
        </w:rPr>
        <w:footnoteReference w:id="5"/>
      </w:r>
      <w:r>
        <w:rPr>
          <w:rFonts w:cs="DejaVu Serif"/>
          <w:sz w:val="24"/>
          <w:szCs w:val="24"/>
          <w:rtl w:val="true"/>
        </w:rPr>
        <w:t>. [</w:t>
      </w:r>
      <w:r>
        <w:rPr>
          <w:rFonts w:cs="DejaVu Serif"/>
          <w:sz w:val="24"/>
          <w:sz w:val="24"/>
          <w:szCs w:val="24"/>
          <w:rtl w:val="true"/>
        </w:rPr>
        <w:t>ג</w:t>
      </w:r>
      <w:r>
        <w:rPr>
          <w:rFonts w:cs="DejaVu Serif"/>
          <w:sz w:val="24"/>
          <w:szCs w:val="24"/>
          <w:rtl w:val="true"/>
        </w:rPr>
        <w:t>]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rFonts w:cs="DejaVu Serif"/>
          <w:sz w:val="24"/>
          <w:sz w:val="24"/>
          <w:szCs w:val="24"/>
          <w:rtl w:val="true"/>
        </w:rPr>
        <w:t>אָמַר רַבִּי יְהוֹשֻׁעַ בֶּן קָרְחָה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לָמָּה קָדְמָה שְׁמַע לִוְהָיָה אִם שָׁמֹעַ</w:t>
      </w:r>
      <w:r>
        <w:rPr>
          <w:rStyle w:val="FootnoteReference"/>
          <w:rFonts w:cs="DejaVu Serif"/>
          <w:sz w:val="24"/>
          <w:sz w:val="24"/>
          <w:szCs w:val="24"/>
          <w:rtl w:val="true"/>
        </w:rPr>
        <w:footnoteReference w:id="6"/>
      </w:r>
      <w:r>
        <w:rPr>
          <w:rFonts w:cs="DejaVu Serif"/>
          <w:sz w:val="24"/>
          <w:szCs w:val="24"/>
          <w:rtl w:val="true"/>
        </w:rPr>
        <w:t>, [</w:t>
      </w:r>
      <w:r>
        <w:rPr>
          <w:rFonts w:cs="DejaVu Serif"/>
          <w:sz w:val="24"/>
          <w:sz w:val="24"/>
          <w:szCs w:val="24"/>
          <w:rtl w:val="true"/>
        </w:rPr>
        <w:t>ד</w:t>
      </w:r>
      <w:r>
        <w:rPr>
          <w:rFonts w:cs="DejaVu Serif"/>
          <w:sz w:val="24"/>
          <w:szCs w:val="24"/>
          <w:rtl w:val="true"/>
        </w:rPr>
        <w:t>]</w:t>
      </w:r>
      <w:r>
        <w:rPr>
          <w:rFonts w:cs="DejaVu Serif"/>
          <w:i/>
          <w:iCs/>
          <w:sz w:val="24"/>
          <w:szCs w:val="24"/>
          <w:rtl w:val="true"/>
        </w:rPr>
        <w:t xml:space="preserve">  </w:t>
      </w:r>
      <w:r>
        <w:rPr>
          <w:rFonts w:cs="DejaVu Serif"/>
          <w:sz w:val="24"/>
          <w:sz w:val="24"/>
          <w:szCs w:val="24"/>
          <w:rtl w:val="true"/>
        </w:rPr>
        <w:t xml:space="preserve">אֶלָּא כְדֵי שֶׁיְּקַבֵּל עָלָיו עֹל מַלְכוּת שָׁמַיִם </w:t>
      </w:r>
      <w:r>
        <w:rPr>
          <w:rFonts w:cs="DejaVu Serif"/>
          <w:sz w:val="24"/>
          <w:szCs w:val="24"/>
          <w:rtl w:val="true"/>
        </w:rPr>
        <w:t>[</w:t>
      </w:r>
      <w:r>
        <w:rPr>
          <w:rFonts w:cs="DejaVu Serif"/>
          <w:sz w:val="24"/>
          <w:sz w:val="24"/>
          <w:szCs w:val="24"/>
          <w:rtl w:val="true"/>
        </w:rPr>
        <w:t>ה</w:t>
      </w:r>
      <w:r>
        <w:rPr>
          <w:rFonts w:cs="DejaVu Serif"/>
          <w:sz w:val="24"/>
          <w:szCs w:val="24"/>
          <w:rtl w:val="true"/>
        </w:rPr>
        <w:t xml:space="preserve">] </w:t>
      </w:r>
      <w:r>
        <w:rPr>
          <w:rFonts w:cs="DejaVu Serif"/>
          <w:sz w:val="24"/>
          <w:sz w:val="24"/>
          <w:szCs w:val="24"/>
          <w:rtl w:val="true"/>
        </w:rPr>
        <w:t>תְּחִלָּה</w:t>
      </w:r>
      <w:r>
        <w:rPr>
          <w:rFonts w:cs="DejaVu Serif"/>
          <w:sz w:val="24"/>
          <w:szCs w:val="24"/>
          <w:rtl w:val="true"/>
        </w:rPr>
        <w:t>,</w:t>
      </w:r>
      <w:r>
        <w:rPr>
          <w:rFonts w:cs="DejaVu Serif"/>
          <w:i/>
          <w:iCs/>
          <w:sz w:val="24"/>
          <w:szCs w:val="24"/>
          <w:rtl w:val="true"/>
        </w:rPr>
        <w:t xml:space="preserve"> </w:t>
      </w:r>
      <w:r>
        <w:rPr>
          <w:rFonts w:cs="DejaVu Serif"/>
          <w:sz w:val="24"/>
          <w:sz w:val="24"/>
          <w:szCs w:val="24"/>
          <w:rtl w:val="true"/>
        </w:rPr>
        <w:t>וְאַחַר כָּךְ יְקַבֵּל עָלָיו עֹל מִצְוֹת</w:t>
      </w:r>
      <w:r>
        <w:rPr>
          <w:rFonts w:cs="DejaVu Serif"/>
          <w:sz w:val="24"/>
          <w:szCs w:val="24"/>
          <w:rtl w:val="true"/>
        </w:rPr>
        <w:t xml:space="preserve">. </w:t>
      </w:r>
      <w:r>
        <w:rPr>
          <w:rFonts w:cs="DejaVu Serif"/>
          <w:sz w:val="24"/>
          <w:sz w:val="24"/>
          <w:szCs w:val="24"/>
          <w:rtl w:val="true"/>
        </w:rPr>
        <w:t>וְהָיָה אִם שָׁמֹעַ לְוַיֹּאמֶר</w:t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שֶׁוְהָיָה אִם שָׁמֹעַ נוֹהֵג בַּיּוֹם וּבַלַּיְלָה</w:t>
      </w:r>
      <w:r>
        <w:rPr>
          <w:rStyle w:val="FootnoteReference"/>
          <w:rFonts w:cs="DejaVu Serif"/>
          <w:sz w:val="24"/>
          <w:sz w:val="24"/>
          <w:szCs w:val="24"/>
          <w:rtl w:val="true"/>
        </w:rPr>
        <w:footnoteReference w:id="7"/>
      </w:r>
      <w:r>
        <w:rPr>
          <w:rFonts w:cs="DejaVu Serif"/>
          <w:sz w:val="24"/>
          <w:szCs w:val="24"/>
          <w:rtl w:val="true"/>
        </w:rPr>
        <w:t xml:space="preserve">, </w:t>
      </w:r>
      <w:r>
        <w:rPr>
          <w:rFonts w:cs="DejaVu Serif"/>
          <w:sz w:val="24"/>
          <w:sz w:val="24"/>
          <w:szCs w:val="24"/>
          <w:rtl w:val="true"/>
        </w:rPr>
        <w:t>וַיֹּאמֶר אֵינוֹ נוֹהֵג אֶלָּא בַּיּוֹם</w:t>
      </w:r>
      <w:r>
        <w:rPr>
          <w:rFonts w:cs="DejaVu Serif"/>
          <w:sz w:val="24"/>
          <w:szCs w:val="24"/>
          <w:rtl w:val="true"/>
        </w:rPr>
        <w:t>:</w:t>
      </w:r>
      <w:r>
        <w:rPr>
          <w:rStyle w:val="FootnoteReference"/>
          <w:rFonts w:cs="DejaVu Serif"/>
          <w:sz w:val="24"/>
          <w:szCs w:val="24"/>
          <w:rtl w:val="true"/>
        </w:rPr>
        <w:footnoteReference w:id="8"/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b/>
          <w:bCs/>
          <w:rtl w:val="true"/>
        </w:rPr>
        <w:tab/>
      </w:r>
      <w:r>
        <w:rPr>
          <w:rFonts w:cs="Noto Rashi Hebrew"/>
          <w:b/>
          <w:b/>
          <w:bCs/>
          <w:rtl w:val="true"/>
        </w:rPr>
        <w:t>משנה ב</w:t>
      </w:r>
      <w:r>
        <w:rPr>
          <w:rFonts w:cs="Noto Rashi Hebrew"/>
          <w:b/>
          <w:bCs/>
          <w:rtl w:val="true"/>
        </w:rPr>
        <w:t>: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tl w:val="true"/>
        </w:rPr>
        <w:tab/>
      </w:r>
      <w:r>
        <w:rPr>
          <w:rFonts w:cs="Noto Rashi Hebrew"/>
          <w:b/>
          <w:b/>
          <w:bCs/>
          <w:rtl w:val="true"/>
        </w:rPr>
        <w:t>הקדמה</w:t>
      </w:r>
      <w:r>
        <w:rPr>
          <w:b/>
          <w:bCs/>
          <w:rtl w:val="true"/>
        </w:rPr>
        <w:t>:</w:t>
      </w:r>
    </w:p>
    <w:p>
      <w:pPr>
        <w:pStyle w:val="FootnoteText"/>
        <w:rPr>
          <w:rFonts w:cs="Noto Rashi Hebrew"/>
        </w:rPr>
      </w:pPr>
      <w:r>
        <w:rPr>
          <w:rFonts w:cs="Noto Rashi Hebrew"/>
          <w:b w:val="false"/>
          <w:bCs w:val="false"/>
          <w:rtl w:val="true"/>
        </w:rPr>
        <w:tab/>
      </w:r>
      <w:r>
        <w:rPr>
          <w:rFonts w:cs="Noto Rashi Hebrew"/>
          <w:b w:val="false"/>
          <w:b w:val="false"/>
          <w:bCs w:val="false"/>
          <w:rtl w:val="true"/>
        </w:rPr>
        <w:t>אחרי שהזכיר לעיל שדין הפסק בקריאת שמע תלוי באם הוא מפסיק באמצע הפרק או בין הפרקים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המשנה ממשיך לבאר מתי נחשב באמצע הפרק ומתי נחשב בין הפרקים</w:t>
      </w:r>
      <w:r>
        <w:rPr>
          <w:rFonts w:cs="Noto Rashi Hebrew"/>
          <w:b w:val="false"/>
          <w:bCs w:val="false"/>
          <w:rtl w:val="true"/>
        </w:rPr>
        <w:t xml:space="preserve">. </w:t>
      </w:r>
    </w:p>
    <w:p>
      <w:pPr>
        <w:pStyle w:val="FootnoteTex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rFonts w:cs="Noto Rashi Hebrew"/>
          <w:b w:val="false"/>
          <w:b w:val="false"/>
          <w:bCs w:val="false"/>
          <w:rtl w:val="true"/>
        </w:rPr>
        <w:t>כיון שמשנה מונה את הפרקים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ממשיך לבאר את סדר הפרקים – למה נתקנו באותו סדר</w:t>
      </w:r>
      <w:r>
        <w:rPr>
          <w:rFonts w:cs="Noto Rashi Hebrew"/>
          <w:b w:val="false"/>
          <w:bCs w:val="false"/>
          <w:rtl w:val="true"/>
        </w:rPr>
        <w:t>.</w:t>
      </w:r>
    </w:p>
  </w:footnote>
  <w:footnote w:id="4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גמרא מבאר מקור לזה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והוא שכתיב</w:t>
      </w:r>
      <w:r>
        <w:rPr>
          <w:rFonts w:cs="Noto Rashi Hebrew"/>
          <w:rtl w:val="true"/>
        </w:rPr>
        <w:t>, "</w:t>
      </w:r>
      <w:r>
        <w:rPr>
          <w:rFonts w:cs="Noto Rashi Hebrew"/>
          <w:rtl w:val="true"/>
        </w:rPr>
        <w:t>וה’ אלקים אמת</w:t>
      </w:r>
      <w:r>
        <w:rPr>
          <w:rFonts w:cs="Noto Rashi Hebrew"/>
          <w:rtl w:val="true"/>
        </w:rPr>
        <w:t>.” [</w:t>
      </w:r>
      <w:r>
        <w:rPr>
          <w:rFonts w:cs="Noto Rashi Hebrew"/>
          <w:rtl w:val="true"/>
        </w:rPr>
        <w:t>ב</w:t>
      </w:r>
      <w:r>
        <w:rPr>
          <w:rFonts w:cs="Noto Rashi Hebrew"/>
          <w:rtl w:val="true"/>
        </w:rPr>
        <w:t xml:space="preserve">] </w:t>
      </w:r>
      <w:r>
        <w:rPr>
          <w:rFonts w:cs="Noto Rashi Hebrew"/>
          <w:rtl w:val="true"/>
        </w:rPr>
        <w:t>אם הפסיק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חולקים רבי אבהו ורבה אם חוזר ואומר 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אמת</w:t>
      </w:r>
      <w:r>
        <w:rPr>
          <w:rFonts w:cs="Noto Rashi Hebrew"/>
          <w:rtl w:val="true"/>
        </w:rPr>
        <w:t xml:space="preserve">,” </w:t>
      </w:r>
      <w:r>
        <w:rPr>
          <w:rFonts w:cs="Noto Rashi Hebrew"/>
          <w:rtl w:val="true"/>
        </w:rPr>
        <w:t>כדי לקיים את זה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יד</w:t>
      </w:r>
      <w:r>
        <w:rPr>
          <w:rFonts w:cs="Noto Rashi Hebrew"/>
          <w:b/>
          <w:bCs/>
          <w:u w:val="single"/>
          <w:rtl w:val="true"/>
        </w:rPr>
        <w:t>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tl w:val="true"/>
        </w:rPr>
        <w:tab/>
      </w:r>
      <w:r>
        <w:rPr>
          <w:rFonts w:cs="Noto Rashi Hebrew"/>
          <w:rtl w:val="true"/>
        </w:rPr>
        <w:t xml:space="preserve">גמרא פוסק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יד</w:t>
      </w:r>
      <w:r>
        <w:rPr>
          <w:rFonts w:cs="Noto Rashi Hebrew"/>
          <w:b/>
          <w:bCs/>
          <w:u w:val="single"/>
          <w:rtl w:val="true"/>
        </w:rPr>
        <w:t>:)</w:t>
      </w:r>
      <w:r>
        <w:rPr>
          <w:rFonts w:cs="Noto Rashi Hebrew"/>
          <w:b w:val="false"/>
          <w:bCs w:val="false"/>
          <w:u w:val="none"/>
          <w:rtl w:val="true"/>
        </w:rPr>
        <w:t xml:space="preserve"> </w:t>
      </w:r>
      <w:r>
        <w:rPr>
          <w:rFonts w:cs="Noto Rashi Hebrew"/>
          <w:b w:val="false"/>
          <w:b w:val="false"/>
          <w:bCs w:val="false"/>
          <w:u w:val="none"/>
          <w:rtl w:val="true"/>
        </w:rPr>
        <w:t>כרבי יהודה</w:t>
      </w:r>
      <w:r>
        <w:rPr>
          <w:rFonts w:cs="Noto Rashi Hebrew"/>
          <w:b w:val="false"/>
          <w:bCs w:val="false"/>
          <w:u w:val="none"/>
          <w:rtl w:val="true"/>
        </w:rPr>
        <w:t>.</w:t>
      </w:r>
    </w:p>
  </w:footnote>
  <w:footnote w:id="6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בגמרא </w:t>
      </w:r>
      <w:r>
        <w:rPr>
          <w:rFonts w:cs="Noto Rashi Hebrew"/>
          <w:b/>
          <w:bCs/>
          <w:rtl w:val="true"/>
        </w:rPr>
        <w:t>(</w:t>
      </w:r>
      <w:r>
        <w:rPr>
          <w:rFonts w:cs="Noto Rashi Hebrew"/>
          <w:b/>
          <w:b/>
          <w:bCs/>
          <w:rtl w:val="true"/>
        </w:rPr>
        <w:t>יד</w:t>
      </w:r>
      <w:r>
        <w:rPr>
          <w:rFonts w:cs="Noto Rashi Hebrew"/>
          <w:b/>
          <w:bCs/>
          <w:rtl w:val="true"/>
        </w:rPr>
        <w:t>:)</w:t>
      </w:r>
      <w:r>
        <w:rPr>
          <w:rFonts w:cs="Noto Rashi Hebrew"/>
          <w:rtl w:val="true"/>
        </w:rPr>
        <w:t xml:space="preserve"> </w:t>
      </w:r>
      <w:r>
        <w:rPr>
          <w:rFonts w:cs="Noto Rashi Hebrew"/>
          <w:rtl w:val="true"/>
        </w:rPr>
        <w:t>מוסיף רשב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י טעם להקדמות אלו</w:t>
      </w:r>
      <w:r>
        <w:rPr>
          <w:rFonts w:cs="Noto Rashi Hebrew"/>
          <w:rtl w:val="true"/>
        </w:rPr>
        <w:t xml:space="preserve">: </w:t>
      </w:r>
      <w:r>
        <w:rPr>
          <w:rFonts w:cs="Noto Rashi Hebrew"/>
          <w:rtl w:val="true"/>
        </w:rPr>
        <w:t>שמע קודם לוהיה כיון שבשמע יש ללמוד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ללמד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ולעשות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ובוהיה יש רק ללמד ולעשות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והיה קודם לויאמר כיון שבוהיה יש ללמד ולעשות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ובויאמר יש רק לעשות</w:t>
      </w:r>
      <w:r>
        <w:rPr>
          <w:rFonts w:cs="Noto Rashi Hebrew"/>
          <w:rtl w:val="true"/>
        </w:rPr>
        <w:t>.</w:t>
      </w:r>
    </w:p>
  </w:footnote>
  <w:footnote w:id="7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ר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מה שנאמר באותו פרשה הוא מצווה שנוהג בין ביום בין בלילה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מה שאין כן בויאמר שמה שנאמר בתוכו הוא מצווה שאינו נוהג בלילה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 xml:space="preserve">כן </w:t>
      </w:r>
      <w:r>
        <w:rPr>
          <w:rFonts w:cs="Noto Rashi Hebrew"/>
          <w:b w:val="false"/>
          <w:b w:val="false"/>
          <w:bCs w:val="false"/>
          <w:rtl w:val="true"/>
        </w:rPr>
        <w:t>מפרש רש</w:t>
      </w:r>
      <w:r>
        <w:rPr>
          <w:rFonts w:cs="Noto Rashi Hebrew"/>
          <w:b w:val="false"/>
          <w:bCs w:val="false"/>
          <w:rtl w:val="true"/>
        </w:rPr>
        <w:t>"</w:t>
      </w:r>
      <w:r>
        <w:rPr>
          <w:rFonts w:cs="Noto Rashi Hebrew"/>
          <w:b w:val="false"/>
          <w:b w:val="false"/>
          <w:bCs w:val="false"/>
          <w:rtl w:val="true"/>
        </w:rPr>
        <w:t>י יג</w:t>
      </w:r>
      <w:r>
        <w:rPr>
          <w:rFonts w:cs="Noto Rashi Hebrew"/>
          <w:b w:val="false"/>
          <w:bCs w:val="false"/>
          <w:rtl w:val="true"/>
        </w:rPr>
        <w:t>.).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tl w:val="true"/>
        </w:rPr>
        <w:tab/>
      </w:r>
      <w:r>
        <w:rPr>
          <w:b/>
          <w:b/>
          <w:bCs/>
          <w:rtl w:val="true"/>
        </w:rPr>
        <w:t>דינים היוצאים מן המשנה</w:t>
      </w:r>
      <w:r>
        <w:rPr>
          <w:b/>
          <w:bCs/>
          <w:rtl w:val="true"/>
        </w:rPr>
        <w:t>:</w:t>
      </w:r>
    </w:p>
    <w:p>
      <w:pPr>
        <w:pStyle w:val="FootnoteText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>חמשה</w:t>
      </w:r>
      <w:r>
        <w:rPr>
          <w:b w:val="false"/>
          <w:b w:val="false"/>
          <w:bCs w:val="false"/>
          <w:rtl w:val="true"/>
        </w:rPr>
        <w:t xml:space="preserve"> מקומות נחשבים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בין הפרקים</w:t>
      </w:r>
      <w:r>
        <w:rPr>
          <w:b w:val="false"/>
          <w:bCs w:val="false"/>
          <w:rtl w:val="true"/>
        </w:rPr>
        <w:t>":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>בין ברכה ראשונה לברכה שניה</w:t>
      </w:r>
      <w:r>
        <w:rPr>
          <w:b w:val="false"/>
          <w:bCs w:val="false"/>
          <w:rtl w:val="true"/>
        </w:rPr>
        <w:t>.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>בין שניה ל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 xml:space="preserve">שמע </w:t>
      </w:r>
      <w:r>
        <w:rPr>
          <w:b w:val="false"/>
          <w:b w:val="false"/>
          <w:bCs w:val="false"/>
          <w:rtl w:val="true"/>
        </w:rPr>
        <w:t>ישראל</w:t>
      </w:r>
      <w:r>
        <w:rPr>
          <w:b w:val="false"/>
          <w:bCs w:val="false"/>
          <w:rtl w:val="true"/>
        </w:rPr>
        <w:t>.”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 xml:space="preserve">בין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 xml:space="preserve">שמע </w:t>
      </w:r>
      <w:r>
        <w:rPr>
          <w:b w:val="false"/>
          <w:b w:val="false"/>
          <w:bCs w:val="false"/>
          <w:rtl w:val="true"/>
        </w:rPr>
        <w:t>ישראל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>לפרשת</w:t>
      </w:r>
      <w:r>
        <w:rPr>
          <w:b w:val="false"/>
          <w:b w:val="false"/>
          <w:bCs w:val="false"/>
          <w:rtl w:val="true"/>
        </w:rPr>
        <w:t xml:space="preserve">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והיה אם שמוע</w:t>
      </w:r>
      <w:r>
        <w:rPr>
          <w:b w:val="false"/>
          <w:bCs w:val="false"/>
          <w:rtl w:val="true"/>
        </w:rPr>
        <w:t>.”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 xml:space="preserve">בין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והיה אם שמוע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>ל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ויאמר</w:t>
      </w:r>
      <w:r>
        <w:rPr>
          <w:b w:val="false"/>
          <w:bCs w:val="false"/>
          <w:rtl w:val="true"/>
        </w:rPr>
        <w:t>.”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 xml:space="preserve">בין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ויאמר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>ל</w:t>
      </w:r>
      <w:r>
        <w:rPr>
          <w:b w:val="false"/>
          <w:b w:val="false"/>
          <w:bCs w:val="false"/>
          <w:rtl w:val="true"/>
        </w:rPr>
        <w:t xml:space="preserve">ברכת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אמת ו</w:t>
      </w:r>
      <w:r>
        <w:rPr>
          <w:b w:val="false"/>
          <w:b w:val="false"/>
          <w:bCs w:val="false"/>
          <w:rtl w:val="true"/>
        </w:rPr>
        <w:t>יציב</w:t>
      </w:r>
      <w:r>
        <w:rPr>
          <w:b w:val="false"/>
          <w:bCs w:val="false"/>
          <w:rtl w:val="true"/>
        </w:rPr>
        <w:t>.”</w:t>
      </w:r>
    </w:p>
    <w:p>
      <w:pPr>
        <w:pStyle w:val="FootnoteText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>סדר ברכות קריאת שמע הוא</w:t>
      </w:r>
      <w:r>
        <w:rPr>
          <w:b w:val="false"/>
          <w:bCs w:val="false"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שמע ישראל</w:t>
      </w:r>
      <w:r>
        <w:rPr>
          <w:b w:val="false"/>
          <w:bCs w:val="false"/>
          <w:rtl w:val="true"/>
        </w:rPr>
        <w:t xml:space="preserve">" =&gt;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והיה אם שמוע</w:t>
      </w:r>
      <w:r>
        <w:rPr>
          <w:b w:val="false"/>
          <w:bCs w:val="false"/>
          <w:rtl w:val="true"/>
        </w:rPr>
        <w:t xml:space="preserve">" =&gt; </w:t>
      </w: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ויאמר</w:t>
      </w:r>
      <w:r>
        <w:rPr>
          <w:b w:val="false"/>
          <w:bCs w:val="false"/>
          <w:rtl w:val="true"/>
        </w:rPr>
        <w:t xml:space="preserve">.” </w:t>
      </w:r>
    </w:p>
    <w:p>
      <w:pPr>
        <w:pStyle w:val="FootnoteText"/>
        <w:numPr>
          <w:ilvl w:val="0"/>
          <w:numId w:val="0"/>
        </w:numPr>
        <w:ind w:hanging="340" w:start="720"/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>יש בזה שני דינים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 xml:space="preserve">ולכל אחד גמרא נותן שני טעמים </w:t>
      </w:r>
      <w:r>
        <w:rPr>
          <w:b w:val="false"/>
          <w:bCs w:val="false"/>
          <w:rtl w:val="true"/>
        </w:rPr>
        <w:t>[</w:t>
      </w:r>
      <w:r>
        <w:rPr>
          <w:b w:val="false"/>
          <w:b w:val="false"/>
          <w:bCs w:val="false"/>
          <w:rtl w:val="true"/>
        </w:rPr>
        <w:t xml:space="preserve">ו – צריך לכתוב </w:t>
      </w:r>
      <w:r>
        <w:rPr>
          <w:b w:val="false"/>
          <w:bCs w:val="false"/>
          <w:rtl w:val="true"/>
        </w:rPr>
        <w:t>----!!!!]:</w:t>
      </w:r>
    </w:p>
    <w:p>
      <w:pPr>
        <w:pStyle w:val="FootnoteText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שמע ישראל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 xml:space="preserve">קודמת לפרשת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והיה אם שמוע</w:t>
      </w:r>
      <w:r>
        <w:rPr>
          <w:b w:val="false"/>
          <w:bCs w:val="false"/>
          <w:rtl w:val="true"/>
        </w:rPr>
        <w:t>.”</w:t>
      </w:r>
    </w:p>
    <w:p>
      <w:pPr>
        <w:pStyle w:val="FootnoteText"/>
        <w:numPr>
          <w:ilvl w:val="2"/>
          <w:numId w:val="2"/>
        </w:numPr>
        <w:rPr>
          <w:b w:val="false"/>
          <w:bCs w:val="false"/>
        </w:rPr>
      </w:pPr>
      <w:r>
        <w:rPr>
          <w:b w:val="false"/>
          <w:b w:val="false"/>
          <w:bCs w:val="false"/>
          <w:rtl w:val="true"/>
        </w:rPr>
        <w:t xml:space="preserve">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שמע ישראל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>יש בו קבלת עול מלכות שמים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 xml:space="preserve">ופרשת 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והיה אם שמוע</w:t>
      </w:r>
      <w:r>
        <w:rPr>
          <w:b w:val="false"/>
          <w:bCs w:val="false"/>
          <w:rtl w:val="true"/>
        </w:rPr>
        <w:t xml:space="preserve">" </w:t>
      </w:r>
      <w:r>
        <w:rPr>
          <w:b w:val="false"/>
          <w:b w:val="false"/>
          <w:bCs w:val="false"/>
          <w:rtl w:val="true"/>
        </w:rPr>
        <w:t>יש בו רק קבלת מצוות</w:t>
      </w:r>
      <w:r>
        <w:rPr>
          <w:b w:val="false"/>
          <w:bCs w:val="false"/>
          <w:rtl w:val="true"/>
        </w:rPr>
        <w:t xml:space="preserve">. --- </w:t>
      </w:r>
      <w:r>
        <w:rPr>
          <w:b w:val="false"/>
          <w:b w:val="false"/>
          <w:bCs w:val="false"/>
          <w:rtl w:val="true"/>
        </w:rPr>
        <w:t>צריך לסיים</w:t>
      </w:r>
      <w:r>
        <w:rPr>
          <w:b w:val="false"/>
          <w:bCs w:val="false"/>
          <w:rtl w:val="true"/>
        </w:rPr>
        <w:t>.!!!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end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Times New Roman"/>
      <w:b/>
      <w:bCs/>
      <w:szCs w:val="28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bidi w:val="1"/>
      <w:ind w:hanging="340" w:start="340"/>
      <w:jc w:val="start"/>
    </w:pPr>
    <w:rPr>
      <w:rFonts w:eastAsia="DejaVu Serif"/>
      <w:sz w:val="20"/>
      <w:szCs w:val="20"/>
    </w:rPr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LibreOffice/25.8.2.2$Linux_X86_64 LibreOffice_project/580$Build-2</Application>
  <AppVersion>15.0000</AppVersion>
  <Pages>1</Pages>
  <Words>328</Words>
  <Characters>1344</Characters>
  <CharactersWithSpaces>1653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2026-02-20T10:58:58Z</dcterms:created>
  <dc:creator/>
  <dc:description/>
  <dc:language>en-US</dc:language>
  <cp:lastModifiedBy/>
  <dcterms:modified xsi:type="dcterms:W3CDTF">2026-03-01T12:27:49Z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