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58" w:after="58"/>
        <w:ind w:hanging="0" w:left="58"/>
        <w:rPr/>
      </w:pPr>
      <w:r>
        <w:rPr>
          <w:rtl w:val="true"/>
        </w:rPr>
        <w:t>משנה א</w:t>
      </w:r>
      <w:r>
        <w:rPr>
          <w:rtl w:val="true"/>
        </w:rPr>
        <w:t>: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א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spacing w:before="58" w:after="58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כן היה נראה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שאין סברה לחלק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להעיר שלקמן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במשנה 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מבארת המשנה איפה יש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מבאור שדן בקריאת שמע של שחר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שאומר שהוא בין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ויאמר לאמת ויציב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ממה שמזכיר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אמת ויציב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וממה שלא מזכיר בין שני ברכות אחרונות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רואים שמדבר בקריאת שמע של בקר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ולא בשל ערב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spacing w:before="58" w:after="58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זה דווקא או לאו דווקא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מסברה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היה נראה לומר שכמו שאין להפסיק בשל יום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כך אין להפסיק בשל לילה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אז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המשנה רק נקט ציור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</w:p>
    <w:p>
      <w:pPr>
        <w:pStyle w:val="BodyText"/>
        <w:widowControl/>
        <w:suppressAutoHyphens w:val="true"/>
        <w:spacing w:before="58" w:after="58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אז יש שני דברים שצריכים לדון בהם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וקצת קשה שהמשנה לא ידון בהם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):</w:t>
      </w:r>
    </w:p>
    <w:p>
      <w:pPr>
        <w:pStyle w:val="BodyText"/>
        <w:widowControl/>
        <w:numPr>
          <w:ilvl w:val="0"/>
          <w:numId w:val="5"/>
        </w:numPr>
        <w:suppressAutoHyphens w:val="true"/>
        <w:spacing w:before="58" w:after="58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יש לדון אם רבי יהודה סובר שאין להפסיק בין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ויאמר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"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אמת ואמונה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נראה שמסתבר שיודה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שגמ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אומר שמקור של רבי יהודה הוא ממה שכתיב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, “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אלקיכם אמת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שכיון שכתוב כן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רוצים לרמז לזה בקריאת שמע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עדיין 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 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 מזכיר אותו במשנה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numPr>
          <w:ilvl w:val="0"/>
          <w:numId w:val="5"/>
        </w:numPr>
        <w:suppressAutoHyphens w:val="true"/>
        <w:spacing w:before="58" w:after="58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בין ברכה ראשונה שלאחר 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 של ערבית ובין ברכה שנית שלאחר 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 של ערבית נחשבת 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מסתבר שנחשב 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שיהיה כמו בין כל ברכה וברכה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לא מזכיר אותו מפני שהוא פשוט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לאידך גיסא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נראה לי יותר שלא יכול להפסיק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שצריך לסמוך גאולה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שנאמר בברכה ראשונה שלאחר קריאת שמע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לתפילה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דע שזה עצמו מחלקת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ואז אין לומר שהמשנה לא הזכיר אותו כיון שהוא פשוט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אולי לא היה מזכיר את זה כיון שאינו מאותו הדין של השאר הפסקות בקריאת שמע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 מטעם שצריך לסמוך בשאר מקומות צריך לסמוך כאן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שמזכיר שיטת רבי יהודה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אף שהוא מטעם אחר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ויש לדון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שאולי לפי רבי יהודה נחשב באמצע הפרק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מה שאין כן כאן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שאינו באמצע פרק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אלא שיש טעם אחר שלא להפסיק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spacing w:before="58" w:after="58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לאידך גיסא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אין סיבה לחלק בין יום ולילה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וגם לא רואים במשנה לחלק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שלא אומר שהוא רק ביום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אז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צריך לחשוב על זה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ב</w:t>
      </w:r>
      <w:r>
        <w:rPr>
          <w:rtl w:val="true"/>
        </w:rPr>
        <w:t>: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גמרא אומר שצריך שיכוון את לבו לקרוא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זה משמע שאף שלא צריך לכוון לצאת מצווה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צריך כוונה על עשיית מעשה מצווה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אם הוא רק מגיה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ולא מכוון לקרוא</w:t>
      </w:r>
      <w:r>
        <w:rPr>
          <w:rStyle w:val="FootnoteReference"/>
          <w:rFonts w:cs="DejaVu Serif"/>
          <w:rtl w:val="true"/>
        </w:rPr>
        <w:footnoteReference w:id="2"/>
      </w:r>
      <w:r>
        <w:rPr>
          <w:rFonts w:cs="DejaVu Serif"/>
          <w:rtl w:val="true"/>
        </w:rPr>
        <w:t>.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גם אפשר לומר שכיון שהוא קורא להגיה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צריך שיכוון לקרוא כיון שבלא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חוששים שלא יקרא את כולו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למי שסובר שמצוות לא צריכות כוונה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מצוות לא צריכות שום כוונה</w:t>
      </w:r>
      <w:r>
        <w:rPr>
          <w:rFonts w:cs="DejaVu Serif"/>
          <w:rtl w:val="true"/>
        </w:rPr>
        <w:t>.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אחרי שגמ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אומר שהמשנה אומר שצריך שיכוון לבו לקרוא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מקשה</w:t>
      </w:r>
      <w:r>
        <w:rPr>
          <w:rFonts w:cs="DejaVu Serif"/>
          <w:rtl w:val="true"/>
        </w:rPr>
        <w:t>: “</w:t>
      </w:r>
      <w:r>
        <w:rPr>
          <w:rFonts w:cs="DejaVu Serif"/>
          <w:rtl w:val="true"/>
        </w:rPr>
        <w:t>והא קא קרי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לפי פירוש הראשון שכתבנו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קושיית גמרא הוא שפשוט שהוא מכוון את לבו לקרוא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שהרי הוא קורא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אינו מקשה שלא נצטרך שיכוון את לבו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אלא שממילא זה יקרה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ולא צריכים שהמשנה יאמר</w:t>
      </w:r>
      <w:r>
        <w:rPr>
          <w:rFonts w:cs="DejaVu Serif"/>
          <w:rtl w:val="true"/>
        </w:rPr>
        <w:t>, “</w:t>
      </w:r>
      <w:r>
        <w:rPr>
          <w:rFonts w:cs="DejaVu Serif"/>
          <w:rtl w:val="true"/>
        </w:rPr>
        <w:t>ובלבד שיכוון את לבו לקרוא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שזה קורה ממילא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לפי פירוש שני שכתבנו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קושיית הגמרא הוא שכיון שהוא קורא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למה צריך שיכוון לקרוא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שהרי הוא קורא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ובזה יוצא המצווה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מקשה שלא צריך כוונה לקרוא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1"/>
        </w:numPr>
        <w:ind w:hanging="0" w:left="0"/>
        <w:rPr>
          <w:rFonts w:cs="DejaVu Serif"/>
        </w:rPr>
      </w:pPr>
      <w:r>
        <w:rPr>
          <w:rtl w:val="true"/>
        </w:rPr>
        <w:t>ג</w:t>
      </w:r>
      <w:r>
        <w:rPr>
          <w:rFonts w:cs="DejaVu Serif"/>
          <w:rtl w:val="true"/>
        </w:rPr>
        <w:t>: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עיין בירושלמי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שמביא מחלקת עד כמה צריך לכוון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מזכיר ארבע שיטות</w:t>
      </w:r>
      <w:r>
        <w:rPr>
          <w:rFonts w:cs="DejaVu Serif"/>
          <w:rtl w:val="true"/>
        </w:rPr>
        <w:t>:</w:t>
      </w:r>
    </w:p>
    <w:p>
      <w:pPr>
        <w:pStyle w:val="BodyText"/>
        <w:numPr>
          <w:ilvl w:val="0"/>
          <w:numId w:val="2"/>
        </w:numPr>
        <w:rPr>
          <w:rFonts w:cs="DejaVu Serif"/>
        </w:rPr>
      </w:pPr>
      <w:r>
        <w:rPr>
          <w:rFonts w:cs="DejaVu Serif"/>
          <w:rtl w:val="true"/>
        </w:rPr>
        <w:t>כולו</w:t>
      </w:r>
      <w:r>
        <w:rPr>
          <w:rFonts w:cs="DejaVu Serif"/>
          <w:rtl w:val="true"/>
        </w:rPr>
        <w:t>.</w:t>
      </w:r>
    </w:p>
    <w:p>
      <w:pPr>
        <w:pStyle w:val="BodyText"/>
        <w:numPr>
          <w:ilvl w:val="0"/>
          <w:numId w:val="2"/>
        </w:numPr>
        <w:rPr>
          <w:rFonts w:cs="DejaVu Serif"/>
        </w:rPr>
      </w:pPr>
      <w:r>
        <w:rPr>
          <w:rFonts w:cs="DejaVu Serif"/>
          <w:rtl w:val="true"/>
        </w:rPr>
        <w:t>פרשה ראשונה</w:t>
      </w:r>
      <w:r>
        <w:rPr>
          <w:rFonts w:cs="DejaVu Serif"/>
          <w:rtl w:val="true"/>
        </w:rPr>
        <w:t>.</w:t>
      </w:r>
    </w:p>
    <w:p>
      <w:pPr>
        <w:pStyle w:val="BodyText"/>
        <w:numPr>
          <w:ilvl w:val="0"/>
          <w:numId w:val="2"/>
        </w:numPr>
        <w:rPr>
          <w:rFonts w:cs="DejaVu Serif"/>
        </w:rPr>
      </w:pPr>
      <w:r>
        <w:rPr>
          <w:rFonts w:cs="DejaVu Serif"/>
          <w:rtl w:val="true"/>
        </w:rPr>
        <w:t>שלשה פסוקים ראשונים</w:t>
      </w:r>
      <w:r>
        <w:rPr>
          <w:rFonts w:cs="DejaVu Serif"/>
          <w:rtl w:val="true"/>
        </w:rPr>
        <w:t>.</w:t>
      </w:r>
    </w:p>
    <w:p>
      <w:pPr>
        <w:pStyle w:val="BodyText"/>
        <w:numPr>
          <w:ilvl w:val="0"/>
          <w:numId w:val="2"/>
        </w:numPr>
        <w:rPr>
          <w:rFonts w:cs="DejaVu Serif"/>
        </w:rPr>
      </w:pPr>
      <w:r>
        <w:rPr>
          <w:rFonts w:cs="DejaVu Serif"/>
          <w:rtl w:val="true"/>
        </w:rPr>
        <w:t>פסוק ראשון</w:t>
      </w:r>
      <w:r>
        <w:rPr>
          <w:rFonts w:cs="DejaVu Serif"/>
          <w:rtl w:val="true"/>
        </w:rPr>
        <w:t>.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יש להעיר שגמרא שלנו מביא צדדים כאלו</w:t>
      </w:r>
      <w:r>
        <w:rPr>
          <w:rStyle w:val="FootnoteReference"/>
          <w:rFonts w:cs="DejaVu Serif"/>
          <w:rtl w:val="true"/>
        </w:rPr>
        <w:footnoteReference w:id="3"/>
      </w:r>
      <w:r>
        <w:rPr>
          <w:rFonts w:cs="DejaVu Serif"/>
          <w:rtl w:val="true"/>
        </w:rPr>
        <w:t xml:space="preserve"> בביאור כמה צריך כוונה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בפשטות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הגמרא דן באיזה דבר צריך כוונה לביאור מילים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כן נראה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שלא נראה שיהיה כוונה שדן בו במשנה נוגע רק שם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שזה כוונה בקיום מצווה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ויצטרך בכל מקום שצריך קיום המצווה</w:t>
      </w:r>
      <w:r>
        <w:rPr>
          <w:rFonts w:cs="DejaVu Serif"/>
          <w:rtl w:val="true"/>
        </w:rPr>
        <w:t xml:space="preserve">.)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יש לדון אם ירושלמי סובר כאחד משני צדדי גמרא בביאור המשנה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ושונה עליו מחלקת אמוראים זה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במקום מחלקת על כוונה</w:t>
      </w:r>
      <w:r>
        <w:rPr>
          <w:rStyle w:val="FootnoteReference"/>
          <w:rFonts w:cs="DejaVu Serif"/>
          <w:rtl w:val="true"/>
        </w:rPr>
        <w:footnoteReference w:id="4"/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 אם נפרש שירושלמי סובר שהמשנה מדבר בכוונת לבו לפירוש המילים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צד שני נראה לי</w:t>
      </w:r>
      <w:r>
        <w:rPr>
          <w:rFonts w:cs="DejaVu Serif"/>
          <w:rtl w:val="true"/>
        </w:rPr>
        <w:t xml:space="preserve">; </w:t>
      </w:r>
      <w:r>
        <w:rPr>
          <w:rFonts w:cs="DejaVu Serif"/>
          <w:rtl w:val="true"/>
        </w:rPr>
        <w:t>וצריך ביאור למה לא מבאר גמרא כצד שני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לומר שכוונת לב שבמשנה רצה לומר כוונת לב לביאור מילים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ד</w:t>
      </w:r>
      <w:r>
        <w:rPr>
          <w:rtl w:val="true"/>
        </w:rPr>
        <w:t>: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יש להעיר שעם כל מה שאמרנו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עדיין אפשר לומר שיש חילוק גדול בין מי שיכול לשאול בשלומו ומי שיכול להשיב לו שלום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אפשר שכשאומר ששואלים מפני הכבוד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מדובר במי שכבוד מחייב אותו</w:t>
      </w:r>
      <w:r>
        <w:rPr>
          <w:rStyle w:val="FootnoteReference"/>
          <w:rFonts w:cs="DejaVu Serif"/>
          <w:rtl w:val="true"/>
        </w:rPr>
        <w:footnoteReference w:id="5"/>
      </w:r>
      <w:r>
        <w:rPr>
          <w:rFonts w:cs="DejaVu Serif"/>
          <w:rtl w:val="true"/>
        </w:rPr>
        <w:t xml:space="preserve"> לשאול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כשאומר שמשיבים מפני הכבוד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 מדובר במי שכבודו מחייב אותו להשיב לו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 אין כבודו יכול לחייב אותו לשאול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ותו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ת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ה</w:t>
      </w:r>
      <w:r>
        <w:rPr>
          <w:rtl w:val="true"/>
        </w:rPr>
        <w:t>: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 xml:space="preserve">נמצא שכיון שמוסיף מילים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ואין צריך לומר</w:t>
      </w:r>
      <w:r>
        <w:rPr>
          <w:rFonts w:cs="DejaVu Serif"/>
          <w:rtl w:val="true"/>
        </w:rPr>
        <w:t xml:space="preserve">" </w:t>
      </w:r>
      <w:r>
        <w:rPr>
          <w:rFonts w:cs="DejaVu Serif"/>
          <w:rtl w:val="true"/>
        </w:rPr>
        <w:t>במשנה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קשה שאומר דבר שהוא פשוט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נראה שהביאור הוא שבדר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כ לא מניחים שהוא אומר דבר פשוט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יאמר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שכיון שלא מניחים שהוא אומר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ננסה ללמוד ממנו דבר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אולי מפני זה גופא לא אומר דברים פשוטים – כדי שנדע ללמוד ממנו</w:t>
      </w:r>
      <w:r>
        <w:rPr>
          <w:rFonts w:cs="DejaVu Serif"/>
          <w:rtl w:val="true"/>
        </w:rPr>
        <w:t xml:space="preserve">.)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שאומר שהוא פשוט – שאומר שאין צריך לומר אותו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יודעים שלא ללמוד ממנו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וא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ת למה אמר אותו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ויש לומר שאף שפשוט הוא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כל כך קל לכל בני אדם לדעת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ואז יש תועלת באמירתו</w:t>
      </w:r>
      <w:r>
        <w:rPr>
          <w:rFonts w:cs="DejaVu Serif"/>
          <w:rtl w:val="true"/>
        </w:rPr>
        <w:t>.)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ו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מהו החילוק בין אמצע הפרק לבין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הענין שיש יותר צורך שייחסו זה לזה באמצע הפרק משייחסו זה לזה בין הפרקים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גם יש לומר שאינו כל כך הפסק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שחלק מן ההפסק הוא שמשנה ממה שהיה עושה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הרי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בין פרק לפרק הוא בין כך ובין כך משנה ממה שהיה אומר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ואז נמצא שאין כל כך הפסק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אולי הענין הוא שאינו מוסיף כל כך הפסק ואולי הענין הוא שכיון שהיחס גופא הוא של שינוי מזה לזה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וממילא שינוי אינו הפסק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ז</w:t>
      </w:r>
      <w:r>
        <w:rPr>
          <w:rtl w:val="true"/>
        </w:rPr>
        <w:t>: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נראה שלא מדובר שמי שממש ירא שלא יהרוג אותו אם לא משיב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לי שני ראיות לזה</w:t>
      </w:r>
      <w:r>
        <w:rPr>
          <w:rFonts w:cs="DejaVu Serif"/>
          <w:rtl w:val="true"/>
        </w:rPr>
        <w:t>.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ראיה ראשונה היא שא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כ הדין פשוט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שפקוח נפש דוחה כל איסור שבתורה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לדון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שאפשר לומר שקריאת שמע הוא קבלת מלכות שמים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ובו עצמו אומר שצריך לאהוב את ה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אפילו הוא נוטל את נפשך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עדיין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אז יהיה כן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רק בפרק ראשון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או רק בתחילתו</w:t>
      </w:r>
      <w:r>
        <w:rPr>
          <w:rFonts w:cs="DejaVu Serif"/>
          <w:rtl w:val="true"/>
        </w:rPr>
        <w:t>). (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אין זה קשה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שאולי משנה אומר אותו מחמת החידוש שיש שם</w:t>
      </w:r>
      <w:r>
        <w:rPr>
          <w:rFonts w:cs="DejaVu Serif"/>
          <w:rtl w:val="true"/>
        </w:rPr>
        <w:t>.)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ראיה שנית הוא שכך הוא הדין בתפילה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ושם אומר לשון אחר – “אפילו המלך שואל בשלומו…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 xml:space="preserve">רואים שזהו הדין ממה שמחלק שם בין נחש לעקרב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ודחוק לומר שאומר שם שלסכנה קטנה צריך להכניס את עצמו ולסכנה גדולה לא יכניס את עצמו</w:t>
      </w:r>
      <w:r>
        <w:rPr>
          <w:rFonts w:cs="DejaVu Serif"/>
          <w:rtl w:val="true"/>
        </w:rPr>
        <w:t xml:space="preserve">). </w:t>
      </w:r>
    </w:p>
    <w:p>
      <w:pPr>
        <w:pStyle w:val="BodyText"/>
        <w:rPr>
          <w:rFonts w:cs="DejaVu Serif"/>
        </w:rPr>
      </w:pP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צריכים לדחוק בפירוש רש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י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אפשר לומר שאינו יראה ממשית – דהיינו שלא ממש חושב שכך יקרה – אלא שהוא רק ירא מזה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גם אפשר לומר שהוא ירא שמא יהרוג אותו בדר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כ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אבל לא בדווקא מפני שלא משיב לו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למשל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אם בא לו מי שיכול לפסוק עליו דין הריגה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משיב לו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אף שלא חושב שמחמת שלא השיב לו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יפסוק עליו דין הריגה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Heading1"/>
        <w:numPr>
          <w:ilvl w:val="0"/>
          <w:numId w:val="1"/>
        </w:numPr>
        <w:ind w:hanging="0" w:left="58"/>
        <w:rPr/>
      </w:pPr>
      <w:r>
        <w:rPr>
          <w:rtl w:val="true"/>
        </w:rPr>
        <w:t>משנה ב</w:t>
      </w:r>
      <w:r>
        <w:rPr>
          <w:rtl w:val="true"/>
        </w:rPr>
        <w:t>: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א</w:t>
      </w:r>
      <w:r>
        <w:rPr>
          <w:rtl w:val="true"/>
        </w:rPr>
        <w:t>:</w:t>
      </w:r>
    </w:p>
    <w:p>
      <w:pPr>
        <w:pStyle w:val="BodyText"/>
        <w:spacing w:before="58" w:after="86"/>
        <w:rPr>
          <w:rFonts w:cs="DejaVu Serif"/>
        </w:rPr>
      </w:pPr>
      <w:r>
        <w:rPr>
          <w:rFonts w:cs="DejaVu Serif"/>
          <w:rtl w:val="true"/>
        </w:rPr>
        <w:t>יש להעיר שלכאו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רואים מזה ש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ויאמר</w:t>
      </w:r>
      <w:r>
        <w:rPr>
          <w:rFonts w:cs="DejaVu Serif"/>
          <w:rtl w:val="true"/>
        </w:rPr>
        <w:t xml:space="preserve">" </w:t>
      </w:r>
      <w:r>
        <w:rPr>
          <w:rFonts w:cs="DejaVu Serif"/>
          <w:rtl w:val="true"/>
        </w:rPr>
        <w:t>הוא חלק מקריאת 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בפשטות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היה אפשר לומר שיש שני חיובים – יש חיוב לומר קריאת שמע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ויש חיוב להזכיר יציאת מצרים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 xml:space="preserve">על ידי פרק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ויאמר</w:t>
      </w:r>
      <w:r>
        <w:rPr>
          <w:rFonts w:cs="DejaVu Serif"/>
          <w:rtl w:val="true"/>
        </w:rPr>
        <w:t xml:space="preserve">"). </w:t>
      </w:r>
      <w:r>
        <w:rPr>
          <w:rFonts w:cs="DejaVu Serif"/>
          <w:rtl w:val="true"/>
        </w:rPr>
        <w:t>באמת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גם  היה אפשר לומר שחיוב לומר פרק ראשון וחיוב לומר פרק שני הם חיובים שונים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שם מסתבר לומר שנחשבים אחד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שהם דומים מאד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חידוש לומר שפרק שלישי הוא חלק מקריאת 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ממה שאין להפסיק ביניהם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רואים שהוא חלק מקריאת שמע</w:t>
      </w:r>
      <w:r>
        <w:rPr>
          <w:rFonts w:cs="DejaVu Serif"/>
          <w:rtl w:val="true"/>
        </w:rPr>
        <w:t xml:space="preserve">. </w:t>
      </w:r>
    </w:p>
    <w:p>
      <w:pPr>
        <w:pStyle w:val="BodyText"/>
        <w:spacing w:before="58" w:after="86"/>
        <w:rPr>
          <w:rFonts w:cs="DejaVu Serif"/>
        </w:rPr>
      </w:pPr>
      <w:r>
        <w:rPr>
          <w:rFonts w:cs="DejaVu Serif"/>
          <w:rtl w:val="true"/>
        </w:rPr>
        <w:t>יש לדון למה יהיה חלק ממקריאת 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אםשר שהוא מחמת סברה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דהיינו שאחרי שהתורה צוותה לנו לקרוא קריאת שמע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וגם צוותה לנו להזכיר יציאת מצרים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מסתבר שחיוב אחד הוא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לומר אותם ביחד</w:t>
      </w:r>
      <w:r>
        <w:rPr>
          <w:rFonts w:cs="DejaVu Serif"/>
          <w:rtl w:val="true"/>
        </w:rPr>
        <w:t>.</w:t>
      </w:r>
      <w:r>
        <w:rPr>
          <w:rStyle w:val="FootnoteReference"/>
          <w:rFonts w:cs="DejaVu Serif"/>
          <w:rtl w:val="true"/>
        </w:rPr>
        <w:footnoteReference w:id="6"/>
      </w:r>
      <w:r>
        <w:rPr>
          <w:rFonts w:cs="DejaVu Serif"/>
          <w:rtl w:val="true"/>
        </w:rPr>
        <w:t xml:space="preserve"> </w:t>
      </w:r>
      <w:r>
        <w:rPr>
          <w:rFonts w:cs="DejaVu Serif"/>
          <w:rtl w:val="true"/>
        </w:rPr>
        <w:t>גם אפשר שהוא דין דרבנן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שרבנן רצו לסמוך אותם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אולי מפני שאחד מהנה לחברו או אולי כדי שאמרית אחד יזכור לו לומר את חברו</w:t>
      </w:r>
      <w:r>
        <w:rPr>
          <w:rFonts w:cs="DejaVu Serif"/>
          <w:rtl w:val="true"/>
        </w:rPr>
        <w:t>).</w:t>
      </w:r>
    </w:p>
    <w:p>
      <w:pPr>
        <w:pStyle w:val="BodyText"/>
        <w:spacing w:before="58" w:after="86"/>
        <w:rPr>
          <w:rFonts w:cs="DejaVu Serif"/>
        </w:rPr>
      </w:pPr>
      <w:r>
        <w:rPr>
          <w:rFonts w:cs="DejaVu Serif"/>
          <w:rtl w:val="true"/>
        </w:rPr>
        <w:t>נראה שיכולים לדחות שהבעיה כאן אינו להפסיק בין פרק ראשון ושני לפרק שלישי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 xml:space="preserve">אלא הענין הוא להפסיק בין פרק שני וברכות שבסוף או </w:t>
      </w:r>
      <w:r>
        <w:rPr>
          <w:rFonts w:cs="DejaVu Serif"/>
          <w:rtl w:val="true"/>
        </w:rPr>
        <w:t>(</w:t>
      </w:r>
      <w:r>
        <w:rPr>
          <w:rFonts w:cs="DejaVu Serif"/>
          <w:rtl w:val="true"/>
        </w:rPr>
        <w:t>ואולי הוא שניהם</w:t>
      </w:r>
      <w:r>
        <w:rPr>
          <w:rFonts w:cs="DejaVu Serif"/>
          <w:rtl w:val="true"/>
        </w:rPr>
        <w:t xml:space="preserve">) </w:t>
      </w:r>
      <w:r>
        <w:rPr>
          <w:rFonts w:cs="DejaVu Serif"/>
          <w:rtl w:val="true"/>
        </w:rPr>
        <w:t>להפסיק בין ברכות שבתחילה לפרק שלישי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במילים אחרים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 הברכות הם ברכות של כל הפרקים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ולכן אי אפשר להפסיק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אז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אילו לא היה חיוב ברכות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לא היה בעיה בהפסק בין פרקי קריאת שמע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שיש ברכות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וצריכים להיות סמוכים לכל הפרקים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ממילא אי אפשר להפסיק בין הפרקים</w:t>
      </w:r>
      <w:r>
        <w:rPr>
          <w:rFonts w:cs="DejaVu Serif"/>
          <w:rtl w:val="true"/>
        </w:rPr>
        <w:t>.</w:t>
      </w:r>
    </w:p>
    <w:p>
      <w:pPr>
        <w:pStyle w:val="BodyText"/>
        <w:spacing w:before="58" w:after="86"/>
        <w:rPr>
          <w:rFonts w:cs="DejaVu Serif"/>
        </w:rPr>
      </w:pPr>
      <w:r>
        <w:rPr>
          <w:rFonts w:cs="DejaVu Serif"/>
          <w:rtl w:val="true"/>
        </w:rPr>
        <w:t>וא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ת אם הברכות מיוחסות לשניהם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למה לא רק נאמר שהם מיוחסות זה לזה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יש לומר שיש דמיונים ויחסים מפרק לפרק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אבל לא מספיק לעשות אותם אחד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מספיק לתת להם ברכה אחת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יותר מזה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אולי הברכה מייחד אותם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שהברכה מזכיר את היחס ומבאר את היחס יותר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על פי דרך זה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אפשר לומר גם כן שהברכה צריך להיות מיוחס לפרק ראשון שני ושלישי ביחד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אף שאין צורך שיהיו אחד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מצד עצמם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BodyText"/>
        <w:spacing w:before="58" w:after="86"/>
        <w:rPr>
          <w:rFonts w:cs="DejaVu Serif"/>
        </w:rPr>
      </w:pPr>
      <w:r>
        <w:rPr>
          <w:rFonts w:cs="DejaVu Serif"/>
          <w:rtl w:val="true"/>
        </w:rPr>
        <w:t>עיין בגמ</w:t>
      </w:r>
      <w:r>
        <w:rPr>
          <w:rFonts w:cs="DejaVu Serif"/>
          <w:rtl w:val="true"/>
        </w:rPr>
        <w:t>' (</w:t>
      </w:r>
      <w:r>
        <w:rPr>
          <w:rFonts w:cs="DejaVu Serif"/>
          <w:rtl w:val="true"/>
        </w:rPr>
        <w:t>יד</w:t>
      </w:r>
      <w:r>
        <w:rPr>
          <w:rFonts w:cs="DejaVu Serif"/>
          <w:rtl w:val="true"/>
        </w:rPr>
        <w:t xml:space="preserve">.) </w:t>
      </w:r>
      <w:r>
        <w:rPr>
          <w:rFonts w:cs="DejaVu Serif"/>
          <w:rtl w:val="true"/>
        </w:rPr>
        <w:t>שאומר שקריאת שמע דאו</w:t>
      </w:r>
      <w:r>
        <w:rPr>
          <w:rFonts w:cs="DejaVu Serif"/>
          <w:rtl w:val="true"/>
        </w:rPr>
        <w:t xml:space="preserve">'. </w:t>
      </w:r>
      <w:r>
        <w:rPr>
          <w:rFonts w:cs="DejaVu Serif"/>
          <w:rtl w:val="true"/>
        </w:rPr>
        <w:t>אבל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יש לדון אם רצה לומר שהאמירה דאו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או שמה שאין מספיקים הוא דאו</w:t>
      </w:r>
      <w:r>
        <w:rPr>
          <w:rFonts w:cs="DejaVu Serif"/>
          <w:rtl w:val="true"/>
        </w:rPr>
        <w:t>'.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ב</w:t>
      </w:r>
      <w:r>
        <w:rPr>
          <w:rtl w:val="true"/>
        </w:rPr>
        <w:t>:</w:t>
      </w:r>
    </w:p>
    <w:p>
      <w:pPr>
        <w:pStyle w:val="BodyText"/>
        <w:spacing w:before="58" w:after="86"/>
        <w:rPr>
          <w:rFonts w:cs="DejaVu Serif"/>
        </w:rPr>
      </w:pPr>
      <w:r>
        <w:rPr>
          <w:rFonts w:cs="DejaVu Serif"/>
          <w:rtl w:val="true"/>
        </w:rPr>
        <w:t>לכאו</w:t>
      </w:r>
      <w:r>
        <w:rPr>
          <w:rFonts w:cs="DejaVu Serif"/>
          <w:rtl w:val="true"/>
        </w:rPr>
        <w:t xml:space="preserve">', </w:t>
      </w:r>
      <w:r>
        <w:rPr>
          <w:rFonts w:cs="DejaVu Serif"/>
          <w:rtl w:val="true"/>
        </w:rPr>
        <w:t xml:space="preserve">הביאור הוא שיש לבסמוך אותם כדי לומר </w:t>
      </w:r>
      <w:r>
        <w:rPr>
          <w:rFonts w:cs="DejaVu Serif"/>
          <w:rtl w:val="true"/>
        </w:rPr>
        <w:t>"</w:t>
      </w:r>
      <w:r>
        <w:rPr>
          <w:rFonts w:cs="DejaVu Serif"/>
          <w:rtl w:val="true"/>
        </w:rPr>
        <w:t>ה</w:t>
      </w:r>
      <w:r>
        <w:rPr>
          <w:rFonts w:cs="DejaVu Serif"/>
          <w:rtl w:val="true"/>
        </w:rPr>
        <w:t xml:space="preserve">' </w:t>
      </w:r>
      <w:r>
        <w:rPr>
          <w:rFonts w:cs="DejaVu Serif"/>
          <w:rtl w:val="true"/>
        </w:rPr>
        <w:t>אליקיכם אמת</w:t>
      </w:r>
      <w:r>
        <w:rPr>
          <w:rFonts w:cs="DejaVu Serif"/>
          <w:rtl w:val="true"/>
        </w:rPr>
        <w:t xml:space="preserve">.” </w:t>
      </w:r>
      <w:r>
        <w:rPr>
          <w:rFonts w:cs="DejaVu Serif"/>
          <w:rtl w:val="true"/>
        </w:rPr>
        <w:t>רואים שזה דבר חשוב לומר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כיון שיש פסוק שאומר כן</w:t>
      </w:r>
      <w:r>
        <w:rPr>
          <w:rFonts w:cs="DejaVu Serif"/>
          <w:rtl w:val="true"/>
        </w:rPr>
        <w:t>. (</w:t>
      </w:r>
      <w:r>
        <w:rPr>
          <w:rFonts w:cs="DejaVu Serif"/>
          <w:rtl w:val="true"/>
        </w:rPr>
        <w:t>אם כן</w:t>
      </w:r>
      <w:r>
        <w:rPr>
          <w:rFonts w:cs="DejaVu Serif"/>
          <w:rtl w:val="true"/>
        </w:rPr>
        <w:t xml:space="preserve">, </w:t>
      </w:r>
      <w:r>
        <w:rPr>
          <w:rFonts w:cs="DejaVu Serif"/>
          <w:rtl w:val="true"/>
        </w:rPr>
        <w:t>רואים שאינו נחשב אמצע פרק</w:t>
      </w:r>
      <w:r>
        <w:rPr>
          <w:rFonts w:cs="DejaVu Serif"/>
          <w:rtl w:val="true"/>
        </w:rPr>
        <w:t xml:space="preserve">; </w:t>
      </w:r>
      <w:r>
        <w:rPr>
          <w:rFonts w:cs="DejaVu Serif"/>
          <w:rtl w:val="true"/>
        </w:rPr>
        <w:t>עיין לקמן</w:t>
      </w:r>
      <w:r>
        <w:rPr>
          <w:rFonts w:cs="DejaVu Serif"/>
          <w:rtl w:val="true"/>
        </w:rPr>
        <w:t xml:space="preserve">. </w:t>
      </w:r>
      <w:r>
        <w:rPr>
          <w:rFonts w:cs="DejaVu Serif"/>
          <w:rtl w:val="true"/>
        </w:rPr>
        <w:t>כמו כן נראה משאלת גמרא אם כופל ואומר “אמת</w:t>
      </w:r>
      <w:r>
        <w:rPr>
          <w:rFonts w:cs="DejaVu Serif"/>
          <w:rtl w:val="true"/>
        </w:rPr>
        <w:t xml:space="preserve">,” </w:t>
      </w:r>
      <w:r>
        <w:rPr>
          <w:rFonts w:cs="DejaVu Serif"/>
          <w:rtl w:val="true"/>
        </w:rPr>
        <w:t>אלא שיש לפרש שגופא בזה חלקים</w:t>
      </w:r>
      <w:r>
        <w:rPr>
          <w:rFonts w:cs="DejaVu Serif"/>
          <w:rtl w:val="true"/>
        </w:rPr>
        <w:t xml:space="preserve">.). </w:t>
      </w:r>
      <w:r>
        <w:rPr>
          <w:rFonts w:cs="DejaVu Serif"/>
          <w:rtl w:val="true"/>
        </w:rPr>
        <w:t>ותחשב</w:t>
      </w:r>
      <w:r>
        <w:rPr>
          <w:rFonts w:cs="DejaVu Serif"/>
          <w:rtl w:val="true"/>
        </w:rPr>
        <w:t>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ג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יש לדון בביאור </w:t>
      </w:r>
      <w:r>
        <w:rPr>
          <w:rFonts w:ascii="Liberation Serif" w:hAnsi="Liberation Serif" w:eastAsia="Unifont" w:cs="DejaVu Serif"/>
          <w:color w:val="auto"/>
          <w:kern w:val="2"/>
          <w:sz w:val="21"/>
          <w:sz w:val="21"/>
          <w:szCs w:val="24"/>
          <w:rtl w:val="true"/>
          <w:lang w:val="en-US" w:eastAsia="zh-CN" w:bidi="hi-IN"/>
        </w:rPr>
        <w:t>שיטת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 רבי יהודה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אם רבי יהודה בא לומר</w:t>
      </w:r>
      <w:r>
        <w:rPr>
          <w:rStyle w:val="FootnoteReference"/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footnoteReference w:id="7"/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 שבין ויאמר לאמת ויציב נחשב אמצע הפרק או שיש סיבה אחרת שלא להפסיק שם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צריך לחשוב מה יהיה אותו ביאור אחר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 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ודע שכל זמן שצריך ליחס דבר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אם הוא מפני שבלי זה היחס חלוש או מפני שצריך יחס חזק או מפני שיש כל כך צורך ליחס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.)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ד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יש לדון מי תיקן את הסדר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אם הוא דין דאו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' 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איני יודע מקור לו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ואולי הוא סברה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 דרבנן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>
          <w:rtl w:val="true"/>
        </w:rPr>
        <w:t>ה</w:t>
      </w:r>
      <w:r>
        <w:rPr>
          <w:rtl w:val="true"/>
        </w:rPr>
        <w:t>:</w:t>
      </w:r>
    </w:p>
    <w:p>
      <w:pPr>
        <w:pStyle w:val="BodyText"/>
        <w:widowControl/>
        <w:suppressAutoHyphens w:val="true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מעניין שאומר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קבלת מל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ולא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הזכרת קבלת מלכות שמים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.”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אולי הוא מפני שכשאומרו מקבל עליו מלכות שמים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לכאו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מפני שמניחים שבאמירתו יכוון לקבל עליו עול מלכות שמים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)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או שרצה לומר שכיון שקבלה בא ראשון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כך מצוותה בא ראשון</w:t>
      </w:r>
      <w:r>
        <w:rPr>
          <w:rStyle w:val="FootnoteReference"/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footnoteReference w:id="8"/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ascii="Liberation Serif" w:hAnsi="Liberation Serif"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לשון המשנה מאד לא משמע כצד שני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</w:t>
      </w:r>
    </w:p>
    <w:p>
      <w:pPr>
        <w:pStyle w:val="BodyText"/>
        <w:widowControl/>
        <w:suppressAutoHyphens w:val="true"/>
        <w:spacing w:before="58" w:after="86"/>
        <w:rPr>
          <w:rFonts w:ascii="Liberation Serif" w:hAnsi="Liberation Serif" w:eastAsia="Unifont" w:cs="DejaVu Serif"/>
          <w:color w:val="auto"/>
          <w:kern w:val="2"/>
          <w:sz w:val="24"/>
          <w:szCs w:val="24"/>
          <w:lang w:val="en-US" w:eastAsia="zh-CN" w:bidi="hi-IN"/>
        </w:rPr>
      </w:pP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 xml:space="preserve">עיין לקמן בגמרא 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(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יד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:)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שאומר שרב הניח תפילין אחרי קריאת שמע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ומבאר שסובר כריב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והקדים קבלת עול מלכות שמים לקיום מצוות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מקשה גמ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שריב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ק רק אומר להקדים קריאה לקריאה ולא קריאה לעשיייה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משמע שזה רק קריאת קבלת עומ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"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ש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ולא עשייתו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 (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היה אפשר לגמ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'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לחלק בין עשיית מצווה לקבלת עשיית מצווה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אבל לשונו לא משמע שזהו החילוק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,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אלא החילוק הוא שזה רק קריאה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 xml:space="preserve">. </w:t>
      </w:r>
      <w:r>
        <w:rPr>
          <w:rFonts w:eastAsia="Unifont" w:cs="DejaVu Serif"/>
          <w:color w:val="auto"/>
          <w:kern w:val="2"/>
          <w:sz w:val="24"/>
          <w:sz w:val="24"/>
          <w:szCs w:val="24"/>
          <w:rtl w:val="true"/>
          <w:lang w:val="en-US" w:eastAsia="zh-CN" w:bidi="hi-IN"/>
        </w:rPr>
        <w:t>ותחשב</w:t>
      </w:r>
      <w:r>
        <w:rPr>
          <w:rFonts w:eastAsia="Unifont" w:cs="DejaVu Serif"/>
          <w:color w:val="auto"/>
          <w:kern w:val="2"/>
          <w:sz w:val="24"/>
          <w:szCs w:val="24"/>
          <w:rtl w:val="true"/>
          <w:lang w:val="en-US" w:eastAsia="zh-CN" w:bidi="hi-IN"/>
        </w:rPr>
        <w:t>.)</w:t>
      </w:r>
    </w:p>
    <w:sectPr>
      <w:footnotePr>
        <w:numFmt w:val="decimal"/>
      </w:footnote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בביאור כוונה לקרוא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נראה לומר שני צדדים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הראשון הוא שמחשיב מעשה הקריאה שלו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והשני הוא שעושה אותו בכוונה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ולא רק שהוא דבר שקורא ממילא כשהוא בודק ספר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>.</w:t>
      </w:r>
    </w:p>
  </w:footnote>
  <w:footnote w:id="3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עיין בגמרא שלנו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שמביא צד שצריך לכוון עד </w:t>
      </w:r>
      <w:r>
        <w:rPr>
          <w:rFonts w:cs="Noto Rashi Hebrew"/>
          <w:rtl w:val="true"/>
        </w:rPr>
        <w:t>"</w:t>
      </w:r>
      <w:r>
        <w:rPr>
          <w:rFonts w:cs="Noto Rashi Hebrew"/>
          <w:rtl w:val="true"/>
        </w:rPr>
        <w:t>הדברים האלה</w:t>
      </w:r>
      <w:r>
        <w:rPr>
          <w:rFonts w:cs="Noto Rashi Hebrew"/>
          <w:rtl w:val="true"/>
        </w:rPr>
        <w:t xml:space="preserve">.” </w:t>
      </w:r>
      <w:r>
        <w:rPr>
          <w:rFonts w:cs="Noto Rashi Hebrew"/>
          <w:rtl w:val="true"/>
        </w:rPr>
        <w:t>בפשטות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שלשה דרכים לבאר את זה</w:t>
      </w:r>
      <w:r>
        <w:rPr>
          <w:rFonts w:cs="Noto Rashi Hebrew"/>
          <w:rtl w:val="true"/>
        </w:rPr>
        <w:t>:</w:t>
      </w:r>
    </w:p>
    <w:p>
      <w:pPr>
        <w:pStyle w:val="FootnoteText"/>
        <w:numPr>
          <w:ilvl w:val="0"/>
          <w:numId w:val="3"/>
        </w:numPr>
        <w:rPr>
          <w:rFonts w:cs="Noto Rashi Hebrew"/>
        </w:rPr>
      </w:pPr>
      <w:r>
        <w:rPr>
          <w:rFonts w:cs="Noto Rashi Hebrew"/>
          <w:rtl w:val="true"/>
        </w:rPr>
        <w:t xml:space="preserve">צריך לכוון עד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ויש לדון אם הוא עד ועד בכלל</w:t>
      </w:r>
      <w:r>
        <w:rPr>
          <w:rFonts w:cs="Noto Rashi Hebrew"/>
          <w:rtl w:val="true"/>
        </w:rPr>
        <w:t xml:space="preserve">) </w:t>
      </w:r>
      <w:r>
        <w:rPr>
          <w:rFonts w:cs="Noto Rashi Hebrew"/>
          <w:rtl w:val="true"/>
        </w:rPr>
        <w:t>אותם מילים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3"/>
        </w:numPr>
        <w:rPr>
          <w:rFonts w:cs="Noto Rashi Hebrew"/>
        </w:rPr>
      </w:pPr>
      <w:r>
        <w:rPr>
          <w:rFonts w:cs="Noto Rashi Hebrew"/>
          <w:rtl w:val="true"/>
        </w:rPr>
        <w:t>צריך לכוון עד אותם מילים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ובוודאי לא צריך כוונה בחצי פסוק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ואז מוכרח שצריך כוונה בכל הפסוק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3"/>
        </w:numPr>
        <w:rPr>
          <w:rFonts w:cs="Noto Rashi Hebrew"/>
        </w:rPr>
      </w:pPr>
      <w:r>
        <w:rPr>
          <w:rFonts w:cs="Noto Rashi Hebrew"/>
          <w:rtl w:val="true"/>
        </w:rPr>
        <w:t>צריך לכוון עד אותם מילים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ובוודאי לא צריך כוונה בחצי פסוק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ואז מוכרח שכל אותה הפסוק לא צריך כוונה</w:t>
      </w:r>
      <w:r>
        <w:rPr>
          <w:rFonts w:cs="Noto Rashi Hebrew"/>
          <w:rtl w:val="true"/>
        </w:rPr>
        <w:t>.</w:t>
      </w:r>
    </w:p>
    <w:p>
      <w:pPr>
        <w:pStyle w:val="FootnoteText"/>
        <w:rPr>
          <w:rFonts w:cs="Noto Rashi Hebrew"/>
        </w:rPr>
      </w:pP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עיין בתוס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שנראה שמפרש כשלישי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 xml:space="preserve">הירושלמי שמשמע שמפרש כשני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ואולי אפשר לדחוק שרצה לומר כראשון</w:t>
      </w:r>
      <w:r>
        <w:rPr>
          <w:rFonts w:cs="Noto Rashi Hebrew"/>
          <w:rtl w:val="true"/>
        </w:rPr>
        <w:t>).</w:t>
      </w:r>
    </w:p>
  </w:footnote>
  <w:footnote w:id="4">
    <w:p>
      <w:pPr>
        <w:pStyle w:val="FootnoteText"/>
        <w:rPr>
          <w:rFonts w:cs="Noto Rashi Hebrew"/>
          <w:sz w:val="20"/>
          <w:szCs w:val="20"/>
        </w:rPr>
      </w:pPr>
      <w:r>
        <w:rPr>
          <w:rStyle w:val="FootnoteCharacters"/>
        </w:rPr>
        <w:footnoteRef/>
      </w:r>
      <w:r>
        <w:rPr>
          <w:rFonts w:cs="Noto Rashi Hebrew"/>
          <w:sz w:val="20"/>
          <w:szCs w:val="20"/>
          <w:rtl w:val="true"/>
        </w:rPr>
        <w:tab/>
      </w:r>
      <w:r>
        <w:rPr>
          <w:rFonts w:cs="Noto Rashi Hebrew"/>
          <w:sz w:val="20"/>
          <w:sz w:val="20"/>
          <w:szCs w:val="20"/>
          <w:rtl w:val="true"/>
        </w:rPr>
        <w:t>אבל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יש להעיר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שכמו שכתבנו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אין זה כל כך מסתבר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שאם צריך כוונה מחמת קיום מצווה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יצטרך אותה כוונה על כל קריאת שמע</w:t>
      </w:r>
      <w:r>
        <w:rPr>
          <w:rFonts w:cs="Noto Rashi Hebrew"/>
          <w:sz w:val="20"/>
          <w:szCs w:val="20"/>
          <w:rtl w:val="true"/>
        </w:rPr>
        <w:t>. (</w:t>
      </w:r>
      <w:r>
        <w:rPr>
          <w:rFonts w:cs="Noto Rashi Hebrew"/>
          <w:sz w:val="20"/>
          <w:sz w:val="20"/>
          <w:szCs w:val="20"/>
          <w:rtl w:val="true"/>
        </w:rPr>
        <w:t>ודע שאם נדחה את זה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נוכל לומר שאף גמרא שלנו סובר כמו שכותבים עכשיו בירושלמי</w:t>
      </w:r>
      <w:r>
        <w:rPr>
          <w:rFonts w:cs="Noto Rashi Hebrew"/>
          <w:sz w:val="20"/>
          <w:szCs w:val="20"/>
          <w:rtl w:val="true"/>
        </w:rPr>
        <w:t xml:space="preserve">.) </w:t>
      </w:r>
      <w:r>
        <w:rPr>
          <w:rFonts w:cs="Noto Rashi Hebrew"/>
          <w:sz w:val="20"/>
          <w:sz w:val="20"/>
          <w:szCs w:val="20"/>
          <w:rtl w:val="true"/>
        </w:rPr>
        <w:t>אבל</w:t>
      </w:r>
      <w:r>
        <w:rPr>
          <w:rFonts w:cs="Noto Rashi Hebrew"/>
          <w:sz w:val="20"/>
          <w:szCs w:val="20"/>
          <w:rtl w:val="true"/>
        </w:rPr>
        <w:t xml:space="preserve">, </w:t>
      </w:r>
      <w:r>
        <w:rPr>
          <w:rFonts w:cs="Noto Rashi Hebrew"/>
          <w:sz w:val="20"/>
          <w:sz w:val="20"/>
          <w:szCs w:val="20"/>
          <w:rtl w:val="true"/>
        </w:rPr>
        <w:t>דע שלהלכה בוודאי לא מניחים כן</w:t>
      </w:r>
      <w:r>
        <w:rPr>
          <w:rFonts w:cs="Noto Rashi Hebrew"/>
          <w:sz w:val="20"/>
          <w:szCs w:val="20"/>
          <w:rtl w:val="true"/>
        </w:rPr>
        <w:t>.</w:t>
      </w:r>
    </w:p>
  </w:footnote>
  <w:footnote w:id="5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אולי לא מחייב אותו מתורת דין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אלא שכך מורה לו הכבוד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מחמת דרך בני אדם</w:t>
      </w:r>
      <w:r>
        <w:rPr>
          <w:rFonts w:cs="Noto Rashi Hebrew"/>
          <w:rtl w:val="true"/>
        </w:rPr>
        <w:t>.</w:t>
      </w:r>
    </w:p>
  </w:footnote>
  <w:footnote w:id="6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באמת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שני דרכים לומר את זה</w:t>
      </w:r>
      <w:r>
        <w:rPr>
          <w:rFonts w:cs="Noto Rashi Hebrew"/>
          <w:rtl w:val="true"/>
        </w:rPr>
        <w:t>:</w:t>
      </w:r>
    </w:p>
    <w:p>
      <w:pPr>
        <w:pStyle w:val="FootnoteText"/>
        <w:numPr>
          <w:ilvl w:val="0"/>
          <w:numId w:val="4"/>
        </w:numPr>
        <w:rPr>
          <w:rFonts w:cs="Noto Rashi Hebrew"/>
        </w:rPr>
      </w:pPr>
      <w:r>
        <w:rPr>
          <w:rFonts w:cs="Noto Rashi Hebrew"/>
          <w:rtl w:val="true"/>
        </w:rPr>
        <w:t>אפשר לומר שמסברה יודעים שהם נאמרים ביחד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שמחמת דמיונם טוב לסמוך אותם זה לזה</w:t>
      </w:r>
      <w:r>
        <w:rPr>
          <w:rFonts w:cs="Noto Rashi Hebrew"/>
          <w:rtl w:val="true"/>
        </w:rPr>
        <w:t>.</w:t>
      </w:r>
    </w:p>
    <w:p>
      <w:pPr>
        <w:pStyle w:val="FootnoteText"/>
        <w:numPr>
          <w:ilvl w:val="0"/>
          <w:numId w:val="4"/>
        </w:numPr>
        <w:rPr>
          <w:rFonts w:cs="Noto Rashi Hebrew"/>
        </w:rPr>
      </w:pPr>
      <w:r>
        <w:rPr>
          <w:rFonts w:cs="Noto Rashi Hebrew"/>
          <w:rtl w:val="true"/>
        </w:rPr>
        <w:t>אפשר לומר שמסברה יודעים שהם חלק מחיוב אחד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במילים אחרים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אין חיוב לומר פרק ראשון ופרק שני ופרק שלישי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אלא יש חיוב אחד לקרוא קריאת שמע</w:t>
      </w:r>
      <w:r>
        <w:rPr>
          <w:rFonts w:cs="Noto Rashi Hebrew"/>
          <w:rtl w:val="true"/>
        </w:rPr>
        <w:t>. (</w:t>
      </w:r>
      <w:r>
        <w:rPr>
          <w:rFonts w:cs="Noto Rashi Hebrew"/>
          <w:rtl w:val="true"/>
        </w:rPr>
        <w:t>כשמדברים על חיוב אחד ושני חיובים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אין הענין איך נאמר החיוב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 xml:space="preserve">שיודעים איך נאמר החיוב </w:t>
      </w:r>
      <w:r>
        <w:rPr>
          <w:rFonts w:cs="Noto Rashi Hebrew"/>
          <w:rtl w:val="true"/>
        </w:rPr>
        <w:t>(</w:t>
      </w:r>
      <w:r>
        <w:rPr>
          <w:rFonts w:cs="Noto Rashi Hebrew"/>
          <w:rtl w:val="true"/>
        </w:rPr>
        <w:t>אבל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זה תלוי באם מה שכתוב בתורה הוא מה שאמר ה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או שמראה לנו שה</w:t>
      </w:r>
      <w:r>
        <w:rPr>
          <w:rFonts w:cs="Noto Rashi Hebrew"/>
          <w:rtl w:val="true"/>
        </w:rPr>
        <w:t xml:space="preserve">' </w:t>
      </w:r>
      <w:r>
        <w:rPr>
          <w:rFonts w:cs="Noto Rashi Hebrew"/>
          <w:rtl w:val="true"/>
        </w:rPr>
        <w:t>ציווה לנו בדברים אלו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ולא יודעים איך צווה לנו ה</w:t>
      </w:r>
      <w:r>
        <w:rPr>
          <w:rFonts w:cs="Noto Rashi Hebrew"/>
          <w:rtl w:val="true"/>
        </w:rPr>
        <w:t xml:space="preserve">'), </w:t>
      </w:r>
      <w:r>
        <w:rPr>
          <w:rFonts w:cs="Noto Rashi Hebrew"/>
          <w:rtl w:val="true"/>
        </w:rPr>
        <w:t>אלא בביאור הטובות שנעשים והטובות שרצה ה</w:t>
      </w:r>
      <w:r>
        <w:rPr>
          <w:rFonts w:cs="Noto Rashi Hebrew"/>
          <w:rtl w:val="true"/>
        </w:rPr>
        <w:t xml:space="preserve">'. </w:t>
      </w:r>
      <w:r>
        <w:rPr>
          <w:rFonts w:cs="Noto Rashi Hebrew"/>
          <w:rtl w:val="true"/>
        </w:rPr>
        <w:t>ותחשב</w:t>
      </w:r>
      <w:r>
        <w:rPr>
          <w:rFonts w:cs="Noto Rashi Hebrew"/>
          <w:rtl w:val="true"/>
        </w:rPr>
        <w:t>.)</w:t>
      </w:r>
    </w:p>
  </w:footnote>
  <w:footnote w:id="7">
    <w:p>
      <w:pPr>
        <w:pStyle w:val="FootnoteText"/>
        <w:rPr>
          <w:rFonts w:cs="Noto Rashi Hebrew"/>
        </w:rPr>
      </w:pPr>
      <w:r>
        <w:rPr>
          <w:rStyle w:val="FootnoteCharacters"/>
        </w:rPr>
        <w:footnoteRef/>
      </w:r>
      <w:r>
        <w:rPr>
          <w:rFonts w:cs="Noto Rashi Hebrew"/>
          <w:rtl w:val="true"/>
        </w:rPr>
        <w:tab/>
      </w:r>
      <w:r>
        <w:rPr>
          <w:rFonts w:cs="Noto Rashi Hebrew"/>
          <w:rtl w:val="true"/>
        </w:rPr>
        <w:t>באמת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יש שני דיונים כאן – מה אומר רבי יהודה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ומהו הלומדות של רבי יהודה</w:t>
      </w:r>
      <w:r>
        <w:rPr>
          <w:rFonts w:cs="Noto Rashi Hebrew"/>
          <w:rtl w:val="true"/>
        </w:rPr>
        <w:t xml:space="preserve">. </w:t>
      </w:r>
      <w:r>
        <w:rPr>
          <w:rFonts w:cs="Noto Rashi Hebrew"/>
          <w:rtl w:val="true"/>
        </w:rPr>
        <w:t>אני באתי לבאר את הלומדות כאן</w:t>
      </w:r>
      <w:r>
        <w:rPr>
          <w:rFonts w:cs="Noto Rashi Hebrew"/>
          <w:rtl w:val="true"/>
        </w:rPr>
        <w:t xml:space="preserve">, </w:t>
      </w:r>
      <w:r>
        <w:rPr>
          <w:rFonts w:cs="Noto Rashi Hebrew"/>
          <w:rtl w:val="true"/>
        </w:rPr>
        <w:t>אבל לא נראה שהם תלויים זה בזה</w:t>
      </w:r>
      <w:r>
        <w:rPr>
          <w:rFonts w:cs="Noto Rashi Hebrew"/>
          <w:rtl w:val="true"/>
        </w:rPr>
        <w:t>.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tl w:val="true"/>
        </w:rPr>
        <w:tab/>
      </w:r>
      <w:r>
        <w:rPr>
          <w:rtl w:val="true"/>
        </w:rPr>
        <w:t>צריכים לבאר את זה יותר</w:t>
      </w:r>
      <w:r>
        <w:rPr>
          <w:rtl w:val="true"/>
        </w:rPr>
        <w:t xml:space="preserve">. </w:t>
      </w:r>
      <w:r>
        <w:rPr>
          <w:rtl w:val="true"/>
        </w:rPr>
        <w:t>הענין הוא שיש לדון למה זה סיבה להקדים</w:t>
      </w:r>
      <w:r>
        <w:rPr>
          <w:rtl w:val="true"/>
        </w:rPr>
        <w:t xml:space="preserve">. </w:t>
      </w:r>
      <w:r>
        <w:rPr>
          <w:rtl w:val="true"/>
        </w:rPr>
        <w:t>הביאור הפשוט הוא שהוא מפני שקבלת מלכות שמים יותר חשוב מקבלת מצוות</w:t>
      </w:r>
      <w:r>
        <w:rPr>
          <w:rtl w:val="true"/>
        </w:rPr>
        <w:t xml:space="preserve">. </w:t>
      </w:r>
      <w:r>
        <w:rPr>
          <w:rtl w:val="true"/>
        </w:rPr>
        <w:t>אם כן</w:t>
      </w:r>
      <w:r>
        <w:rPr>
          <w:rtl w:val="true"/>
        </w:rPr>
        <w:t xml:space="preserve">, </w:t>
      </w:r>
      <w:r>
        <w:rPr>
          <w:rtl w:val="true"/>
        </w:rPr>
        <w:t>גם הזכרתה תהיה יותר חשובה</w:t>
      </w:r>
      <w:r>
        <w:rPr>
          <w:rtl w:val="true"/>
        </w:rPr>
        <w:t xml:space="preserve">. </w:t>
      </w:r>
      <w:r>
        <w:rPr>
          <w:rtl w:val="true"/>
        </w:rPr>
        <w:t>אבל</w:t>
      </w:r>
      <w:r>
        <w:rPr>
          <w:rtl w:val="true"/>
        </w:rPr>
        <w:t xml:space="preserve">, </w:t>
      </w:r>
      <w:r>
        <w:rPr>
          <w:rtl w:val="true"/>
        </w:rPr>
        <w:t>גם אפשר לפרש שהוא מפני שבהכרח אדם צריך לקבל מלכות שמים קודם שמקבל עליו עול מצוות</w:t>
      </w:r>
      <w:r>
        <w:rPr>
          <w:rtl w:val="true"/>
        </w:rPr>
        <w:t xml:space="preserve">. </w:t>
      </w:r>
      <w:r>
        <w:rPr>
          <w:rtl w:val="true"/>
        </w:rPr>
        <w:t>אם כן</w:t>
      </w:r>
      <w:r>
        <w:rPr>
          <w:rtl w:val="true"/>
        </w:rPr>
        <w:t xml:space="preserve">, </w:t>
      </w:r>
      <w:r>
        <w:rPr>
          <w:rtl w:val="true"/>
        </w:rPr>
        <w:t>לא פשוט שהקדמתו תקדים</w:t>
      </w:r>
      <w:r>
        <w:rPr>
          <w:rtl w:val="true"/>
        </w:rPr>
        <w:t xml:space="preserve">, </w:t>
      </w:r>
      <w:r>
        <w:rPr>
          <w:rtl w:val="true"/>
        </w:rPr>
        <w:t>ואז גמרא יאמר שכיון שקבלתו קודמת</w:t>
      </w:r>
      <w:r>
        <w:rPr>
          <w:rtl w:val="true"/>
        </w:rPr>
        <w:t xml:space="preserve">, </w:t>
      </w:r>
      <w:r>
        <w:rPr>
          <w:rtl w:val="true"/>
        </w:rPr>
        <w:t>כך קריאתו קודמת</w:t>
      </w:r>
      <w:r>
        <w:rPr>
          <w:rtl w:val="true"/>
        </w:rPr>
        <w:t xml:space="preserve">. </w:t>
      </w:r>
      <w:r>
        <w:rPr>
          <w:rtl w:val="true"/>
        </w:rPr>
        <w:t>ותחשב על זה</w:t>
      </w:r>
      <w:r>
        <w:rPr>
          <w:rtl w:val="true"/>
        </w:rPr>
        <w:t>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righ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righ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righ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righ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righ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righ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righ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righ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righ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decimal"/>
      <w:lvlText w:val="%1."/>
      <w:lvlJc w:val="right"/>
      <w:pPr>
        <w:tabs>
          <w:tab w:val="num" w:pos="778"/>
        </w:tabs>
        <w:ind w:left="778" w:hanging="360"/>
      </w:pPr>
      <w:rPr/>
    </w:lvl>
    <w:lvl w:ilvl="1">
      <w:start w:val="1"/>
      <w:numFmt w:val="decimal"/>
      <w:lvlText w:val="%2."/>
      <w:lvlJc w:val="right"/>
      <w:pPr>
        <w:tabs>
          <w:tab w:val="num" w:pos="1138"/>
        </w:tabs>
        <w:ind w:left="1138" w:hanging="360"/>
      </w:pPr>
      <w:rPr/>
    </w:lvl>
    <w:lvl w:ilvl="2">
      <w:start w:val="1"/>
      <w:numFmt w:val="decimal"/>
      <w:lvlText w:val="%3."/>
      <w:lvlJc w:val="right"/>
      <w:pPr>
        <w:tabs>
          <w:tab w:val="num" w:pos="1498"/>
        </w:tabs>
        <w:ind w:left="1498" w:hanging="360"/>
      </w:pPr>
      <w:rPr/>
    </w:lvl>
    <w:lvl w:ilvl="3">
      <w:start w:val="1"/>
      <w:numFmt w:val="decimal"/>
      <w:lvlText w:val="%4."/>
      <w:lvlJc w:val="right"/>
      <w:pPr>
        <w:tabs>
          <w:tab w:val="num" w:pos="1858"/>
        </w:tabs>
        <w:ind w:left="1858" w:hanging="360"/>
      </w:pPr>
      <w:rPr/>
    </w:lvl>
    <w:lvl w:ilvl="4">
      <w:start w:val="1"/>
      <w:numFmt w:val="decimal"/>
      <w:lvlText w:val="%5."/>
      <w:lvlJc w:val="right"/>
      <w:pPr>
        <w:tabs>
          <w:tab w:val="num" w:pos="2218"/>
        </w:tabs>
        <w:ind w:left="2218" w:hanging="360"/>
      </w:pPr>
      <w:rPr/>
    </w:lvl>
    <w:lvl w:ilvl="5">
      <w:start w:val="1"/>
      <w:numFmt w:val="decimal"/>
      <w:lvlText w:val="%6."/>
      <w:lvlJc w:val="right"/>
      <w:pPr>
        <w:tabs>
          <w:tab w:val="num" w:pos="2578"/>
        </w:tabs>
        <w:ind w:left="2578" w:hanging="360"/>
      </w:pPr>
      <w:rPr/>
    </w:lvl>
    <w:lvl w:ilvl="6">
      <w:start w:val="1"/>
      <w:numFmt w:val="decimal"/>
      <w:lvlText w:val="%7."/>
      <w:lvlJc w:val="right"/>
      <w:pPr>
        <w:tabs>
          <w:tab w:val="num" w:pos="2938"/>
        </w:tabs>
        <w:ind w:left="2938" w:hanging="360"/>
      </w:pPr>
      <w:rPr/>
    </w:lvl>
    <w:lvl w:ilvl="7">
      <w:start w:val="1"/>
      <w:numFmt w:val="decimal"/>
      <w:lvlText w:val="%8."/>
      <w:lvlJc w:val="right"/>
      <w:pPr>
        <w:tabs>
          <w:tab w:val="num" w:pos="3298"/>
        </w:tabs>
        <w:ind w:left="3298" w:hanging="360"/>
      </w:pPr>
      <w:rPr/>
    </w:lvl>
    <w:lvl w:ilvl="8">
      <w:start w:val="1"/>
      <w:numFmt w:val="decimal"/>
      <w:lvlText w:val="%9."/>
      <w:lvlJc w:val="right"/>
      <w:pPr>
        <w:tabs>
          <w:tab w:val="num" w:pos="3658"/>
        </w:tabs>
        <w:ind w:left="3658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79"/>
  <w:defaultTabStop w:val="709"/>
  <w:autoHyphenation w:val="true"/>
  <w:hyphenationZone w:val="0"/>
  <w:footnotePr>
    <w:numFmt w:val="decimal"/>
    <w:footnote w:id="0"/>
    <w:footnote w:id="1"/>
  </w:footnotePr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Unifont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Unifont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bidi w:val="1"/>
      <w:spacing w:before="58" w:after="58"/>
      <w:ind w:left="58"/>
      <w:jc w:val="left"/>
      <w:outlineLvl w:val="0"/>
    </w:pPr>
    <w:rPr>
      <w:rFonts w:cs="DejaVu Serif"/>
      <w:b/>
      <w:bCs/>
      <w:sz w:val="24"/>
      <w:szCs w:val="24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bidi w:val="1"/>
      <w:spacing w:before="58" w:after="58"/>
      <w:jc w:val="left"/>
      <w:outlineLvl w:val="1"/>
    </w:pPr>
    <w:rPr>
      <w:rFonts w:cs="DejaVu Serif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character" w:styleId="NumberingSymbols">
    <w:name w:val="Numbering Symbols"/>
    <w:qFormat/>
    <w:rPr/>
  </w:style>
  <w:style w:type="character" w:styleId="LineNumber">
    <w:name w:val="line number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bidi w:val="1"/>
      <w:spacing w:lineRule="auto" w:line="240" w:before="58" w:after="86"/>
      <w:jc w:val="left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ootnoteText">
    <w:name w:val="footnote text"/>
    <w:basedOn w:val="Normal"/>
    <w:pPr>
      <w:suppressLineNumbers/>
      <w:bidi w:val="1"/>
      <w:ind w:hanging="340" w:left="340"/>
      <w:jc w:val="left"/>
    </w:pPr>
    <w:rPr>
      <w:rFonts w:eastAsia="Noto Rashi Hebrew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</TotalTime>
  <Application>LibreOffice/25.8.2.2$Linux_X86_64 LibreOffice_project/580$Build-2</Application>
  <AppVersion>15.0000</AppVersion>
  <Pages>4</Pages>
  <Words>1860</Words>
  <Characters>7732</Characters>
  <CharactersWithSpaces>9542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2026-02-20T11:03:52Z</dcterms:created>
  <dc:creator/>
  <dc:description/>
  <dc:language>en-US</dc:language>
  <cp:lastModifiedBy/>
  <dcterms:modified xsi:type="dcterms:W3CDTF">2026-03-01T12:27:10Z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