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1"/>
        <w:spacing w:before="240" w:after="120"/>
        <w:rPr/>
      </w:pPr>
      <w:r>
        <w:rPr>
          <w:rtl w:val="true"/>
        </w:rPr>
        <w:t>פרק ראשון</w:t>
      </w:r>
      <w:r>
        <w:rPr>
          <w:rStyle w:val="FootnoteAnchor"/>
          <w:rtl w:val="true"/>
        </w:rPr>
        <w:footnoteReference w:customMarkFollows="1" w:id="2"/>
        <w:t xml:space="preserve"> </w:t>
      </w:r>
    </w:p>
    <w:p>
      <w:pPr>
        <w:pStyle w:val="Heading2"/>
        <w:numPr>
          <w:ilvl w:val="1"/>
          <w:numId w:val="1"/>
        </w:numPr>
        <w:bidi w:val="1"/>
        <w:jc w:val="left"/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customMarkFollows="1" w:id="3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4"/>
      </w:r>
      <w:r>
        <w:rPr>
          <w:rtl w:val="true"/>
        </w:rPr>
        <w:t>אֵלּוּ דְבָרִים שֶׁאֵין לָהֶם שִׁעוּר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. </w:t>
      </w:r>
      <w:r>
        <w:rPr>
          <w:rtl w:val="true"/>
        </w:rPr>
        <w:t>הַפֵּאָה</w:t>
      </w:r>
      <w:r>
        <w:rPr>
          <w:rStyle w:val="FootnoteAnchor"/>
          <w:rtl w:val="true"/>
        </w:rPr>
        <w:footnoteReference w:id="6"/>
      </w:r>
      <w:r>
        <w:rPr>
          <w:rStyle w:val="FootnoteAnchor"/>
          <w:rtl w:val="true"/>
        </w:rPr>
        <w:footnoteReference w:id="7"/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, </w:t>
      </w:r>
      <w:r>
        <w:rPr>
          <w:rtl w:val="true"/>
        </w:rPr>
        <w:t>וְהַבִּכּוּרִים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, </w:t>
      </w:r>
      <w:r>
        <w:rPr>
          <w:rtl w:val="true"/>
        </w:rPr>
        <w:t>וְהָרֵאָיוֹן</w:t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, </w:t>
      </w:r>
      <w:r>
        <w:rPr>
          <w:rtl w:val="true"/>
        </w:rPr>
        <w:t>וּגְמִילוּת חֲסָדִים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, </w:t>
      </w:r>
      <w:r>
        <w:rPr>
          <w:rtl w:val="true"/>
        </w:rPr>
        <w:t>וְתַלְמוּד תּוֹרָה</w:t>
      </w:r>
      <w:r>
        <w:rPr>
          <w:rStyle w:val="FootnoteAnchor"/>
          <w:rtl w:val="true"/>
        </w:rPr>
        <w:footnoteReference w:id="12"/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. </w:t>
      </w:r>
      <w:r>
        <w:rPr>
          <w:rtl w:val="true"/>
        </w:rPr>
        <w:t>אֵלּוּ דְבָרִים</w:t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 שֶׁאָדָם אוֹכֵל פֵּרוֹתֵיהֶן בָּעוֹלָם הַזֶּה וְהַקֶּרֶן קַיֶּמֶת לוֹ לָעוֹלָם הַבָּא</w:t>
      </w:r>
      <w:r>
        <w:rPr>
          <w:rStyle w:val="FootnoteAnchor"/>
          <w:rtl w:val="true"/>
        </w:rPr>
        <w:footnoteReference w:id="15"/>
      </w:r>
      <w:r>
        <w:rPr>
          <w:rStyle w:val="FootnoteAnchor"/>
          <w:rtl w:val="true"/>
        </w:rPr>
        <w:footnoteReference w:id="16"/>
      </w:r>
      <w:r>
        <w:rPr>
          <w:rtl w:val="true"/>
        </w:rPr>
        <w:t xml:space="preserve">. </w:t>
      </w:r>
      <w:r>
        <w:rPr>
          <w:rtl w:val="true"/>
        </w:rPr>
        <w:t>כִּבּוּד אָב וָאֵם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, </w:t>
      </w:r>
      <w:r>
        <w:rPr>
          <w:rtl w:val="true"/>
        </w:rPr>
        <w:t>וּגְמִילוּת חֲסָדִים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, </w:t>
      </w:r>
      <w:r>
        <w:rPr>
          <w:rtl w:val="true"/>
        </w:rPr>
        <w:t>וַהֲבָאַת שָׁלוֹם בֵּין אָדָם לַחֲבֵרוֹ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, </w:t>
      </w:r>
      <w:r>
        <w:rPr>
          <w:rtl w:val="true"/>
        </w:rPr>
        <w:t>וְתַלְמוּד תּוֹרָה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 כְּנֶגֶד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 כֻּלָּם</w:t>
      </w:r>
      <w:r>
        <w:rPr>
          <w:rStyle w:val="FootnoteAnchor"/>
          <w:rtl w:val="true"/>
        </w:rPr>
        <w:footnoteReference w:id="22"/>
      </w:r>
      <w:r>
        <w:rPr>
          <w:rStyle w:val="FootnoteAnchor"/>
          <w:rtl w:val="true"/>
        </w:rPr>
        <w:footnoteReference w:id="23"/>
      </w:r>
      <w:r>
        <w:rPr>
          <w:rStyle w:val="FootnoteAnchor"/>
          <w:rtl w:val="true"/>
        </w:rPr>
        <w:footnoteReference w:id="24"/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26"/>
      </w:r>
    </w:p>
    <w:p>
      <w:pPr>
        <w:pStyle w:val="Heading2"/>
        <w:numPr>
          <w:ilvl w:val="1"/>
          <w:numId w:val="1"/>
        </w:numPr>
        <w:bidi w:val="1"/>
        <w:jc w:val="left"/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id="27"/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28"/>
      </w:r>
      <w:r>
        <w:rPr>
          <w:rtl w:val="true"/>
        </w:rPr>
        <w:t>אֵין פּוֹחֲתִין לַפֵּאָה מִשִּׁשִּׁים</w:t>
      </w:r>
      <w:r>
        <w:rPr>
          <w:rStyle w:val="FootnoteAnchor"/>
          <w:rtl w:val="true"/>
        </w:rPr>
        <w:footnoteReference w:id="29"/>
      </w:r>
      <w:r>
        <w:rPr>
          <w:rStyle w:val="FootnoteAnchor"/>
          <w:rtl w:val="true"/>
        </w:rPr>
        <w:footnoteReference w:id="30"/>
      </w:r>
      <w:r>
        <w:rPr>
          <w:rtl w:val="true"/>
        </w:rPr>
        <w:t xml:space="preserve">, </w:t>
      </w:r>
      <w:r>
        <w:rPr>
          <w:rtl w:val="true"/>
        </w:rPr>
        <w:t>וְאַף עַל פִּי שֶׁאָמְרוּ אֵין לַפֵּאָה שִׁעוּר</w:t>
      </w:r>
      <w:r>
        <w:rPr>
          <w:rStyle w:val="FootnoteAnchor"/>
          <w:rtl w:val="true"/>
        </w:rPr>
        <w:footnoteReference w:id="31"/>
      </w:r>
      <w:r>
        <w:rPr>
          <w:rtl w:val="true"/>
        </w:rPr>
        <w:t xml:space="preserve">. </w:t>
      </w:r>
      <w:r>
        <w:rPr>
          <w:rtl w:val="true"/>
        </w:rPr>
        <w:t>הַכֹּל לְפִי גֹדֶל הַשָּׂדֶה</w:t>
      </w:r>
      <w:r>
        <w:rPr>
          <w:rStyle w:val="FootnoteAnchor"/>
          <w:rtl w:val="true"/>
        </w:rPr>
        <w:footnoteReference w:id="32"/>
      </w:r>
      <w:r>
        <w:rPr>
          <w:rtl w:val="true"/>
        </w:rPr>
        <w:t xml:space="preserve">, </w:t>
      </w:r>
      <w:r>
        <w:rPr>
          <w:rtl w:val="true"/>
        </w:rPr>
        <w:t>וּלְפִי רֹב הָעֲנִיִּים</w:t>
      </w:r>
      <w:r>
        <w:rPr>
          <w:rStyle w:val="FootnoteAnchor"/>
          <w:rtl w:val="true"/>
        </w:rPr>
        <w:footnoteReference w:id="33"/>
      </w:r>
      <w:r>
        <w:rPr>
          <w:rtl w:val="true"/>
        </w:rPr>
        <w:t xml:space="preserve">, </w:t>
      </w:r>
      <w:r>
        <w:rPr>
          <w:rtl w:val="true"/>
        </w:rPr>
        <w:t>וּלְפִי רֹב הָעֲנָוָה</w:t>
      </w:r>
      <w:r>
        <w:rPr>
          <w:rStyle w:val="FootnoteAnchor"/>
          <w:rtl w:val="true"/>
        </w:rPr>
        <w:footnoteReference w:id="34"/>
      </w:r>
      <w:r>
        <w:rPr>
          <w:rStyle w:val="FootnoteAnchor"/>
          <w:rtl w:val="true"/>
        </w:rPr>
        <w:footnoteReference w:id="3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id="36"/>
      </w:r>
    </w:p>
    <w:p>
      <w:pPr>
        <w:pStyle w:val="Heading2"/>
        <w:numPr>
          <w:ilvl w:val="1"/>
          <w:numId w:val="1"/>
        </w:numPr>
        <w:bidi w:val="1"/>
        <w:jc w:val="left"/>
        <w:rPr/>
      </w:pPr>
      <w:r>
        <w:rPr>
          <w:rtl w:val="true"/>
        </w:rPr>
        <w:t>משנה ג</w:t>
      </w:r>
      <w:r>
        <w:rPr>
          <w:rStyle w:val="FootnoteAnchor"/>
          <w:rtl w:val="true"/>
        </w:rPr>
        <w:footnoteReference w:id="37"/>
      </w:r>
    </w:p>
    <w:p>
      <w:pPr>
        <w:pStyle w:val="Normal"/>
        <w:bidi w:val="1"/>
        <w:jc w:val="left"/>
        <w:rPr/>
      </w:pPr>
      <w:r>
        <w:rPr>
          <w:rtl w:val="true"/>
        </w:rPr>
        <w:t>נוֹתְנִין פֵּאָה מִתְּחִלַּת הַשָּׂדֶה וּמֵאֶמְצָעָהּ</w:t>
      </w:r>
      <w:r>
        <w:rPr>
          <w:rStyle w:val="FootnoteAnchor"/>
          <w:rtl w:val="true"/>
        </w:rPr>
        <w:footnoteReference w:id="38"/>
      </w:r>
      <w:r>
        <w:rPr>
          <w:rStyle w:val="FootnoteAnchor"/>
          <w:rtl w:val="true"/>
        </w:rPr>
        <w:footnoteReference w:id="39"/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וּבִלְבַד שֶׁיִּתֵּן בַּסּוֹף כַּשִּׁעוּר</w:t>
      </w:r>
      <w:r>
        <w:rPr>
          <w:rStyle w:val="FootnoteAnchor"/>
          <w:rtl w:val="true"/>
        </w:rPr>
        <w:footnoteReference w:id="40"/>
      </w:r>
      <w:r>
        <w:rPr>
          <w:rStyle w:val="FootnoteAnchor"/>
          <w:rtl w:val="true"/>
        </w:rPr>
        <w:footnoteReference w:id="41"/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אוֹמֵר</w:t>
      </w:r>
      <w:r>
        <w:rPr>
          <w:rtl w:val="true"/>
        </w:rPr>
        <w:t xml:space="preserve">, </w:t>
      </w:r>
      <w:r>
        <w:rPr>
          <w:rtl w:val="true"/>
        </w:rPr>
        <w:t>אִם שִׁיֵּר קֶלַח אֶחָד</w:t>
      </w:r>
      <w:r>
        <w:rPr>
          <w:rStyle w:val="FootnoteAnchor"/>
          <w:rtl w:val="true"/>
        </w:rPr>
        <w:footnoteReference w:id="42"/>
      </w:r>
      <w:r>
        <w:rPr>
          <w:rStyle w:val="FootnoteAnchor"/>
          <w:rtl w:val="true"/>
        </w:rPr>
        <w:footnoteReference w:id="43"/>
      </w:r>
      <w:r>
        <w:rPr>
          <w:rtl w:val="true"/>
        </w:rPr>
        <w:t xml:space="preserve">, </w:t>
      </w:r>
      <w:r>
        <w:rPr>
          <w:rtl w:val="true"/>
        </w:rPr>
        <w:t>סוֹמֵךְ לוֹ מִשּׁוּם פֵּאָה</w:t>
      </w:r>
      <w:r>
        <w:rPr>
          <w:rtl w:val="true"/>
        </w:rPr>
        <w:t xml:space="preserve">. </w:t>
      </w:r>
      <w:r>
        <w:rPr>
          <w:rtl w:val="true"/>
        </w:rPr>
        <w:t>וְאִם לָאו</w:t>
      </w:r>
      <w:r>
        <w:rPr>
          <w:rtl w:val="true"/>
        </w:rPr>
        <w:t xml:space="preserve">, </w:t>
      </w:r>
      <w:r>
        <w:rPr>
          <w:rtl w:val="true"/>
        </w:rPr>
        <w:t>אֵינוֹ נוֹתֵן אֶלָּא מִשּׁוּם הֶפְקֵר</w:t>
      </w:r>
      <w:r>
        <w:rPr>
          <w:rStyle w:val="FootnoteAnchor"/>
          <w:rtl w:val="true"/>
        </w:rPr>
        <w:footnoteReference w:id="44"/>
      </w:r>
      <w:r>
        <w:rPr>
          <w:rStyle w:val="FootnoteAnchor"/>
          <w:rtl w:val="true"/>
        </w:rPr>
        <w:footnoteReference w:id="45"/>
      </w:r>
      <w:r>
        <w:rPr>
          <w:rtl w:val="true"/>
        </w:rPr>
        <w:t xml:space="preserve">: </w:t>
      </w:r>
      <w:r>
        <w:rPr>
          <w:rStyle w:val="FootnoteAnchor"/>
          <w:rtl w:val="true"/>
        </w:rPr>
        <w:footnoteReference w:id="46"/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bidi="he-IL"/>
        </w:rPr>
        <w:t>משנה</w:t>
      </w:r>
      <w:r>
        <w:rPr>
          <w:b/>
          <w:b/>
          <w:bCs/>
          <w:rtl w:val="true"/>
          <w:lang w:val="en-US" w:bidi="he-IL"/>
        </w:rPr>
        <w:t xml:space="preserve"> ד</w:t>
      </w:r>
      <w:r>
        <w:rPr>
          <w:rStyle w:val="FootnoteAnchor"/>
          <w:b/>
          <w:b/>
          <w:bCs/>
          <w:rtl w:val="true"/>
          <w:lang w:val="en-US" w:bidi="he-IL"/>
        </w:rPr>
        <w:footnoteReference w:id="47"/>
      </w:r>
    </w:p>
    <w:p>
      <w:pPr>
        <w:pStyle w:val="Normal"/>
        <w:bidi w:val="1"/>
        <w:jc w:val="lef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כְּלָל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48"/>
      </w:r>
      <w:r>
        <w:rPr>
          <w:b w:val="false"/>
          <w:b w:val="false"/>
          <w:bCs w:val="false"/>
          <w:rtl w:val="true"/>
          <w:lang w:val="en-US" w:bidi="he-IL"/>
        </w:rPr>
        <w:t xml:space="preserve"> אָמְרוּ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49"/>
      </w:r>
      <w:r>
        <w:rPr>
          <w:b w:val="false"/>
          <w:b w:val="false"/>
          <w:bCs w:val="false"/>
          <w:rtl w:val="true"/>
          <w:lang w:val="en-US" w:bidi="he-IL"/>
        </w:rPr>
        <w:t xml:space="preserve"> בַּפֵּאָה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50"/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כָּל שֶׁהוּא אֹכֶל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51"/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וְנִשְׁמָר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52"/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וְגִדּוּלָיו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53"/>
      </w:r>
      <w:r>
        <w:rPr>
          <w:b w:val="false"/>
          <w:b w:val="false"/>
          <w:bCs w:val="false"/>
          <w:rtl w:val="true"/>
          <w:lang w:val="en-US" w:bidi="he-IL"/>
        </w:rPr>
        <w:t xml:space="preserve"> מִן הָאָרֶץ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וּלְקִיטָתוֹ כְאַחַת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54"/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וּמַכְנִיסוֹ לְקִיּוּם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55"/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חַיָּב בַּפֵּאָה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וְהַתְּבוּאָה וְהַקִּטְנִיּוֹת בַּכְּלָל הַזֶּה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56"/>
      </w:r>
      <w:r>
        <w:rPr>
          <w:rFonts w:cs="Shofar"/>
          <w:b w:val="false"/>
          <w:bCs w:val="false"/>
          <w:rtl w:val="true"/>
          <w:lang w:val="en-US" w:bidi="he-IL"/>
        </w:rPr>
        <w:t xml:space="preserve">: </w:t>
      </w:r>
      <w:r>
        <w:rPr>
          <w:rStyle w:val="FootnoteAnchor"/>
          <w:rFonts w:cs="Shofar"/>
          <w:b w:val="false"/>
          <w:bCs w:val="false"/>
          <w:rtl w:val="true"/>
          <w:lang w:val="en-US" w:bidi="he-IL"/>
        </w:rPr>
        <w:footnoteReference w:id="57"/>
      </w:r>
    </w:p>
    <w:p>
      <w:pPr>
        <w:pStyle w:val="Normal"/>
        <w:bidi w:val="1"/>
        <w:jc w:val="left"/>
        <w:rPr>
          <w:rFonts w:cs="Shofar"/>
          <w:b w:val="false"/>
          <w:bCs w:val="false"/>
          <w:lang w:val="en-US" w:bidi="he-IL"/>
        </w:rPr>
      </w:pPr>
      <w:r>
        <w:rPr>
          <w:rtl w:val="true"/>
        </w:rPr>
      </w:r>
    </w:p>
    <w:p>
      <w:pPr>
        <w:pStyle w:val="Normal"/>
        <w:bidi w:val="1"/>
        <w:jc w:val="left"/>
        <w:rPr>
          <w:rFonts w:cs="Shofar"/>
          <w:b w:val="false"/>
          <w:bCs w:val="false"/>
          <w:lang w:val="en-US" w:bidi="he-IL"/>
        </w:rPr>
      </w:pPr>
      <w:r>
        <w:rPr>
          <w:rFonts w:cs="Shofar"/>
          <w:b w:val="false"/>
          <w:bCs w:val="false"/>
          <w:rtl w:val="true"/>
          <w:lang w:val="en-US" w:bidi="he-IL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Footnote"/>
        <w:bidi w:val="1"/>
        <w:ind w:hanging="0"/>
        <w:jc w:val="center"/>
        <w:rPr>
          <w:b/>
          <w:bCs/>
          <w:u w:val="single"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פרק ראשון</w:t>
      </w:r>
    </w:p>
  </w:footnote>
  <w:footnote w:id="3">
    <w:p>
      <w:pPr>
        <w:pStyle w:val="Footnote"/>
        <w:bidi w:val="1"/>
        <w:jc w:val="left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</w:t>
      </w:r>
      <w:r>
        <w:rPr>
          <w:b/>
          <w:b/>
          <w:bCs/>
          <w:rtl w:val="true"/>
        </w:rPr>
        <w:t>משנה א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הקדמה</w:t>
      </w:r>
      <w:r>
        <w:rPr>
          <w:rtl w:val="true"/>
        </w:rPr>
        <w:t>: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משנה זה ידון בשני מנינים</w:t>
      </w:r>
      <w:r>
        <w:rPr>
          <w:rtl w:val="true"/>
        </w:rPr>
        <w:t xml:space="preserve">. </w:t>
      </w:r>
      <w:r>
        <w:rPr>
          <w:rtl w:val="true"/>
        </w:rPr>
        <w:t>המנין הראשון הם דברים שאין להם שיעור</w:t>
      </w:r>
      <w:r>
        <w:rPr>
          <w:rtl w:val="true"/>
        </w:rPr>
        <w:t>. (</w:t>
      </w:r>
      <w:r>
        <w:rPr>
          <w:rtl w:val="true"/>
        </w:rPr>
        <w:t>עיין בהשלמות</w:t>
      </w:r>
      <w:r>
        <w:rPr>
          <w:rtl w:val="true"/>
        </w:rPr>
        <w:t xml:space="preserve">, </w:t>
      </w:r>
      <w:r>
        <w:rPr>
          <w:rtl w:val="true"/>
        </w:rPr>
        <w:t>שנבאר שם אם אין לו שיעור למעלה או למטה</w:t>
      </w:r>
      <w:r>
        <w:rPr>
          <w:rtl w:val="true"/>
        </w:rPr>
        <w:t xml:space="preserve">.) </w:t>
      </w:r>
      <w:r>
        <w:rPr>
          <w:rtl w:val="true"/>
        </w:rPr>
        <w:t>מסכתא זה</w:t>
      </w:r>
      <w:r>
        <w:rPr>
          <w:rtl w:val="true"/>
        </w:rPr>
        <w:t xml:space="preserve">, </w:t>
      </w:r>
      <w:r>
        <w:rPr>
          <w:rtl w:val="true"/>
        </w:rPr>
        <w:t>ופרק זה</w:t>
      </w:r>
      <w:r>
        <w:rPr>
          <w:rtl w:val="true"/>
        </w:rPr>
        <w:t xml:space="preserve">, </w:t>
      </w:r>
      <w:r>
        <w:rPr>
          <w:rtl w:val="true"/>
        </w:rPr>
        <w:t>בעיקר בא לדון בדיני פרה</w:t>
      </w:r>
      <w:r>
        <w:rPr>
          <w:rtl w:val="true"/>
        </w:rPr>
        <w:t xml:space="preserve">, </w:t>
      </w:r>
      <w:r>
        <w:rPr>
          <w:rtl w:val="true"/>
        </w:rPr>
        <w:t>אבל מתחיל בדיון על שיעור שלו</w:t>
      </w:r>
      <w:r>
        <w:rPr>
          <w:rtl w:val="true"/>
        </w:rPr>
        <w:t xml:space="preserve">. </w:t>
      </w:r>
      <w:r>
        <w:rPr>
          <w:rtl w:val="true"/>
        </w:rPr>
        <w:t>אין לו שיעור</w:t>
      </w:r>
      <w:r>
        <w:rPr>
          <w:rtl w:val="true"/>
        </w:rPr>
        <w:t xml:space="preserve">, </w:t>
      </w:r>
      <w:r>
        <w:rPr>
          <w:rtl w:val="true"/>
        </w:rPr>
        <w:t>ואז אגב זה מזכיר כל הדינים שאין להם שיעורים באופן הדומה לפאה</w:t>
      </w:r>
      <w:r>
        <w:rPr>
          <w:rtl w:val="true"/>
        </w:rPr>
        <w:t xml:space="preserve">. </w:t>
      </w:r>
      <w:r>
        <w:rPr>
          <w:rtl w:val="true"/>
        </w:rPr>
        <w:t xml:space="preserve">מנין השני הם דברים שנותנים שכר בעולם הזה </w:t>
      </w:r>
      <w:r>
        <w:rPr>
          <w:rtl w:val="true"/>
        </w:rPr>
        <w:t>(</w:t>
      </w:r>
      <w:r>
        <w:rPr>
          <w:rtl w:val="true"/>
        </w:rPr>
        <w:t>אף שכשאר מצוות</w:t>
      </w:r>
      <w:r>
        <w:rPr>
          <w:rtl w:val="true"/>
        </w:rPr>
        <w:t xml:space="preserve">, </w:t>
      </w:r>
      <w:r>
        <w:rPr>
          <w:rtl w:val="true"/>
        </w:rPr>
        <w:t>עיקר שכרם הוא לעולם הבא</w:t>
      </w:r>
      <w:r>
        <w:rPr>
          <w:rtl w:val="true"/>
        </w:rPr>
        <w:t xml:space="preserve">). </w:t>
      </w:r>
      <w:r>
        <w:rPr>
          <w:rtl w:val="true"/>
        </w:rPr>
        <w:t>לא פשוט למה מזכיר מנין זה</w:t>
      </w:r>
      <w:r>
        <w:rPr>
          <w:rtl w:val="true"/>
        </w:rPr>
        <w:t xml:space="preserve">, </w:t>
      </w:r>
      <w:r>
        <w:rPr>
          <w:rtl w:val="true"/>
        </w:rPr>
        <w:t>שאין פאה אחד מן המנויים</w:t>
      </w:r>
      <w:r>
        <w:rPr>
          <w:rtl w:val="true"/>
        </w:rPr>
        <w:t>. (</w:t>
      </w:r>
      <w:r>
        <w:rPr>
          <w:rtl w:val="true"/>
        </w:rPr>
        <w:t>נראה שאולי היה איזה תנא ששנה את זה בלשון ”אלו דברים…</w:t>
      </w:r>
      <w:r>
        <w:rPr>
          <w:rtl w:val="true"/>
        </w:rPr>
        <w:t xml:space="preserve">,“ </w:t>
      </w:r>
      <w:r>
        <w:rPr>
          <w:rtl w:val="true"/>
        </w:rPr>
        <w:t>ואת זו בלשון ”אלו דברים…</w:t>
      </w:r>
      <w:r>
        <w:rPr>
          <w:rtl w:val="true"/>
        </w:rPr>
        <w:t xml:space="preserve">,“ </w:t>
      </w:r>
      <w:r>
        <w:rPr>
          <w:rtl w:val="true"/>
        </w:rPr>
        <w:t>ומחמת הדמיון</w:t>
      </w:r>
      <w:r>
        <w:rPr>
          <w:rtl w:val="true"/>
        </w:rPr>
        <w:t xml:space="preserve">, </w:t>
      </w:r>
      <w:r>
        <w:rPr>
          <w:rtl w:val="true"/>
        </w:rPr>
        <w:t>רבי נתן את שניהם במשנה אחת</w:t>
      </w:r>
      <w:r>
        <w:rPr>
          <w:rtl w:val="true"/>
        </w:rPr>
        <w:t>.)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עיין בהשלמות </w:t>
      </w:r>
      <w:r>
        <w:rPr>
          <w:rtl w:val="true"/>
        </w:rPr>
        <w:t>(</w:t>
      </w:r>
      <w:r>
        <w:rPr>
          <w:rtl w:val="true"/>
        </w:rPr>
        <w:t>אות ב</w:t>
      </w:r>
      <w:r>
        <w:rPr>
          <w:rtl w:val="true"/>
        </w:rPr>
        <w:t xml:space="preserve">), </w:t>
      </w:r>
      <w:r>
        <w:rPr>
          <w:rtl w:val="true"/>
        </w:rPr>
        <w:t>שנבאר איזה מין שיעור אין לו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פאה הוא החיוב להשאר פאה של שדה שלו בארץ</w:t>
      </w:r>
      <w:r>
        <w:rPr>
          <w:rtl w:val="true"/>
        </w:rPr>
        <w:t xml:space="preserve">, </w:t>
      </w:r>
      <w:r>
        <w:rPr>
          <w:rtl w:val="true"/>
        </w:rPr>
        <w:t>ולא לקצור אותו</w:t>
      </w:r>
      <w:r>
        <w:rPr>
          <w:rtl w:val="true"/>
        </w:rPr>
        <w:t xml:space="preserve">, </w:t>
      </w:r>
      <w:r>
        <w:rPr>
          <w:rtl w:val="true"/>
        </w:rPr>
        <w:t>לעניים</w:t>
      </w:r>
      <w:r>
        <w:rPr>
          <w:rtl w:val="true"/>
        </w:rPr>
        <w:t xml:space="preserve">. </w:t>
      </w:r>
      <w:r>
        <w:rPr>
          <w:rtl w:val="true"/>
        </w:rPr>
        <w:t>לא נותן לעניים</w:t>
      </w:r>
      <w:r>
        <w:rPr>
          <w:rtl w:val="true"/>
        </w:rPr>
        <w:t xml:space="preserve">, </w:t>
      </w:r>
      <w:r>
        <w:rPr>
          <w:rtl w:val="true"/>
        </w:rPr>
        <w:t>אלא משאר אותו שם</w:t>
      </w:r>
      <w:r>
        <w:rPr>
          <w:rtl w:val="true"/>
        </w:rPr>
        <w:t xml:space="preserve">. </w:t>
      </w:r>
      <w:r>
        <w:rPr>
          <w:rtl w:val="true"/>
        </w:rPr>
        <w:t>אם קצר אותו כבר</w:t>
      </w:r>
      <w:r>
        <w:rPr>
          <w:rtl w:val="true"/>
        </w:rPr>
        <w:t xml:space="preserve">, </w:t>
      </w:r>
      <w:r>
        <w:rPr>
          <w:rtl w:val="true"/>
        </w:rPr>
        <w:t>אז חייב לשים את השיבולים באופן שיוכלו עניים לקחת אותו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בגמ’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אם יש לו שיעור למטה או אין לו שיעור למטה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לבאר את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שני הקדמות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הקדמה הראשונה היא שיש שיעור למטה בפאה מדרבנן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צריך לתת אחד מששים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קצת יותר או קצת פחות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שנבאר לקמן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0"/>
          <w:numId w:val="2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בדרך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אדם חייב לעשר מה שנותן לאחרים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חייב לעשר פאה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שאין חיוב מעשר חל על פאה כלל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מבאר גמ’ שמחלקת אם יש לפאה שיעור למטה או לא הוא אם מה שנוןת פחות מכשיעור נחשב פאה להיות נפטר ממעשר או לא</w:t>
      </w:r>
      <w:r>
        <w:rPr>
          <w:b w:val="false"/>
          <w:bCs w:val="false"/>
          <w:rtl w:val="true"/>
        </w:rPr>
        <w:t xml:space="preserve">. 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יש לו שיעור למעלה</w:t>
      </w:r>
      <w:r>
        <w:rPr>
          <w:rtl w:val="true"/>
        </w:rPr>
        <w:t xml:space="preserve">, </w:t>
      </w:r>
      <w:r>
        <w:rPr>
          <w:rtl w:val="true"/>
        </w:rPr>
        <w:t>שאי אפשר לעשות כל שדה שלו פאה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</w:t>
      </w:r>
      <w:r>
        <w:rPr>
          <w:rtl w:val="true"/>
        </w:rPr>
        <w:t>(</w:t>
      </w:r>
      <w:r>
        <w:rPr>
          <w:rtl w:val="true"/>
        </w:rPr>
        <w:t>כמו שבארנו בהשלמות</w:t>
      </w:r>
      <w:r>
        <w:rPr>
          <w:rtl w:val="true"/>
        </w:rPr>
        <w:t xml:space="preserve">) </w:t>
      </w:r>
      <w:r>
        <w:rPr>
          <w:rtl w:val="true"/>
        </w:rPr>
        <w:t>שצריך חתיכת שבולת ראשונה לעשות החיוב</w:t>
      </w:r>
      <w:r>
        <w:rPr>
          <w:rtl w:val="true"/>
        </w:rPr>
        <w:t xml:space="preserve">, </w:t>
      </w:r>
      <w:r>
        <w:rPr>
          <w:rtl w:val="true"/>
        </w:rPr>
        <w:t>אבל אחר כך</w:t>
      </w:r>
      <w:r>
        <w:rPr>
          <w:rtl w:val="true"/>
        </w:rPr>
        <w:t xml:space="preserve">, </w:t>
      </w:r>
      <w:r>
        <w:rPr>
          <w:rtl w:val="true"/>
        </w:rPr>
        <w:t>יכול לתת הכל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בשעת חיוב</w:t>
      </w:r>
      <w:r>
        <w:rPr>
          <w:rtl w:val="true"/>
        </w:rPr>
        <w:t xml:space="preserve">, </w:t>
      </w:r>
      <w:r>
        <w:rPr>
          <w:rtl w:val="true"/>
        </w:rPr>
        <w:t>אין שיעור למעלה</w:t>
      </w:r>
      <w:r>
        <w:rPr>
          <w:rtl w:val="true"/>
        </w:rPr>
        <w:t>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ביכורים הוא החיוב להביא את הפירות הראשונים שבשדה של אדם מפירות של השבעת מינים לירושלים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מניפים אותם</w:t>
      </w:r>
      <w:r>
        <w:rPr>
          <w:rtl w:val="true"/>
        </w:rPr>
        <w:t xml:space="preserve">, </w:t>
      </w:r>
      <w:r>
        <w:rPr>
          <w:rtl w:val="true"/>
        </w:rPr>
        <w:t>וקוראים עליהם</w:t>
      </w:r>
      <w:r>
        <w:rPr>
          <w:rtl w:val="true"/>
        </w:rPr>
        <w:t xml:space="preserve">, </w:t>
      </w:r>
      <w:r>
        <w:rPr>
          <w:rtl w:val="true"/>
        </w:rPr>
        <w:t>ונינתנים לכהנים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מגמרא חגיגה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.) </w:t>
      </w:r>
      <w:r>
        <w:rPr>
          <w:rtl w:val="true"/>
        </w:rPr>
        <w:t xml:space="preserve">ומירושלמי כאן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יוצא שני פשטים בביאור ראייה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נבאר קצת מצוות ראייה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מצוות ראייה כולל שני חלקים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לבוא אל בית המקדש בכל אחד משלש הרגלים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3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להקריב קרבן עולה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נקרא ”עולת ראייה“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כשבא לבית המקדש</w:t>
      </w:r>
      <w:r>
        <w:rPr>
          <w:b w:val="false"/>
          <w:bCs w:val="false"/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השני פשטים במשנה הם כך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4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אין שיעור למצווה ראשונה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כמה יבוא אל בית המקדש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מפרש גמרא בחגיגה למסקנא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ומדייק כן מלשון ”הראיון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במקום ”הראייה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ירושלמי גם מזכיר שסובר רבי יוחנן כן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4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אין שיעור למצווה שניה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מפרש גמ’ בחגיגה מתחילה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וכן נ’ מירושלמי שמפרש לפי רבי יוסי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ע“ש</w:t>
      </w:r>
      <w:r>
        <w:rPr>
          <w:b w:val="false"/>
          <w:bCs w:val="false"/>
          <w:rtl w:val="true"/>
        </w:rPr>
        <w:t>).</w:t>
      </w:r>
    </w:p>
    <w:p>
      <w:pPr>
        <w:pStyle w:val="Footnote"/>
        <w:numPr>
          <w:ilvl w:val="0"/>
          <w:numId w:val="0"/>
        </w:numPr>
        <w:bidi w:val="1"/>
        <w:ind w:left="0" w:hanging="340"/>
        <w:jc w:val="left"/>
        <w:rPr/>
      </w:pPr>
      <w:r>
        <w:rPr>
          <w:b w:val="false"/>
          <w:b w:val="false"/>
          <w:bCs w:val="false"/>
          <w:rtl w:val="true"/>
        </w:rPr>
        <w:t>אם נאמר 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לפרש איך משנה שלנו אומר שאין לו שיעור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כיון שמשנה בתחילת בחגיגה אומר בו שיעור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מעה כסף לב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ושני מעות כסף לב“ש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מצאנו על זה שני תירוצים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4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הירושלמי אומר ששיעורים אלו הם רק מדרבנן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מדאו’ אין לו שיעור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עיין בהשלמות אות 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כן מסיק גם הבבלי בחגיגה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4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הבבלי בחגיגה מצדד שמשנה כאן רק אומר שאין לו שיעור למעלה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 שיעור למטה</w:t>
      </w:r>
      <w:r>
        <w:rPr>
          <w:b w:val="false"/>
          <w:bCs w:val="false"/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שיש שני מיני גמ“ח</w:t>
      </w:r>
      <w:r>
        <w:rPr>
          <w:rtl w:val="true"/>
        </w:rPr>
        <w:t>:</w:t>
      </w:r>
    </w:p>
    <w:p>
      <w:pPr>
        <w:pStyle w:val="Footnote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גמ“ח בגופו</w:t>
      </w:r>
      <w:r>
        <w:rPr>
          <w:rtl w:val="true"/>
        </w:rPr>
        <w:t>.</w:t>
      </w:r>
    </w:p>
    <w:p>
      <w:pPr>
        <w:pStyle w:val="Footnote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גמ“ח בממונו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משנה שלנו הוא רק במין ראשון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במין שני יש לו שיעור למעלה </w:t>
      </w:r>
      <w:r>
        <w:rPr>
          <w:rtl w:val="true"/>
        </w:rPr>
        <w:t>(</w:t>
      </w:r>
      <w:r>
        <w:rPr>
          <w:rtl w:val="true"/>
        </w:rPr>
        <w:t>עיין בהשלמות אות ו</w:t>
      </w:r>
      <w:r>
        <w:rPr>
          <w:rtl w:val="true"/>
        </w:rPr>
        <w:t xml:space="preserve">.). </w:t>
      </w:r>
      <w:r>
        <w:rPr>
          <w:rtl w:val="true"/>
        </w:rPr>
        <w:t xml:space="preserve">שיעור למעלה אינו רק שיעור פסול </w:t>
      </w:r>
      <w:r>
        <w:rPr>
          <w:rtl w:val="true"/>
        </w:rPr>
        <w:t>(</w:t>
      </w:r>
      <w:r>
        <w:rPr>
          <w:rtl w:val="true"/>
        </w:rPr>
        <w:t>כמו גבי תרומה</w:t>
      </w:r>
      <w:r>
        <w:rPr>
          <w:rtl w:val="true"/>
        </w:rPr>
        <w:t xml:space="preserve">), </w:t>
      </w:r>
      <w:r>
        <w:rPr>
          <w:rtl w:val="true"/>
        </w:rPr>
        <w:t>שאחריו פטור</w:t>
      </w:r>
      <w:r>
        <w:rPr>
          <w:rtl w:val="true"/>
        </w:rPr>
        <w:t xml:space="preserve">, </w:t>
      </w:r>
      <w:r>
        <w:rPr>
          <w:rtl w:val="true"/>
        </w:rPr>
        <w:t>אלא שיעור איסור</w:t>
      </w:r>
      <w:r>
        <w:rPr>
          <w:rtl w:val="true"/>
        </w:rPr>
        <w:t xml:space="preserve">, </w:t>
      </w:r>
      <w:r>
        <w:rPr>
          <w:rtl w:val="true"/>
        </w:rPr>
        <w:t>שאחריו אסור</w:t>
      </w:r>
      <w:r>
        <w:rPr>
          <w:rtl w:val="true"/>
        </w:rPr>
        <w:t xml:space="preserve">. </w:t>
      </w:r>
      <w:r>
        <w:rPr>
          <w:rtl w:val="true"/>
        </w:rPr>
        <w:t>היו שני שיעורים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שיעור של תקנת אושא</w:t>
      </w:r>
      <w:r>
        <w:rPr>
          <w:rtl w:val="true"/>
        </w:rPr>
        <w:t xml:space="preserve">. </w:t>
      </w:r>
      <w:r>
        <w:rPr>
          <w:rtl w:val="true"/>
        </w:rPr>
        <w:t>השיעור הזה היה חומש נכסיו</w:t>
      </w:r>
      <w:r>
        <w:rPr>
          <w:rtl w:val="true"/>
        </w:rPr>
        <w:t xml:space="preserve">. </w:t>
      </w:r>
      <w:r>
        <w:rPr>
          <w:rtl w:val="true"/>
        </w:rPr>
        <w:t>זה אומר שבשנה ראשונה</w:t>
      </w:r>
      <w:r>
        <w:rPr>
          <w:rtl w:val="true"/>
        </w:rPr>
        <w:t xml:space="preserve">, </w:t>
      </w:r>
      <w:r>
        <w:rPr>
          <w:rtl w:val="true"/>
        </w:rPr>
        <w:t>נותן חומש מכל</w:t>
      </w:r>
      <w:r>
        <w:rPr>
          <w:rtl w:val="true"/>
        </w:rPr>
        <w:t xml:space="preserve">, </w:t>
      </w:r>
      <w:r>
        <w:rPr>
          <w:rtl w:val="true"/>
        </w:rPr>
        <w:t>ובכל שנה אחר זה</w:t>
      </w:r>
      <w:r>
        <w:rPr>
          <w:rtl w:val="true"/>
        </w:rPr>
        <w:t xml:space="preserve">, </w:t>
      </w:r>
      <w:r>
        <w:rPr>
          <w:rtl w:val="true"/>
        </w:rPr>
        <w:t xml:space="preserve">נותן חומש ממה שהרוויח </w:t>
      </w:r>
      <w:r>
        <w:rPr>
          <w:rtl w:val="true"/>
        </w:rPr>
        <w:t>(</w:t>
      </w:r>
      <w:r>
        <w:rPr>
          <w:rtl w:val="true"/>
        </w:rPr>
        <w:t>עיין בהשלמות אות ז</w:t>
      </w:r>
      <w:r>
        <w:rPr>
          <w:rtl w:val="true"/>
        </w:rPr>
        <w:t xml:space="preserve">.) </w:t>
      </w:r>
      <w:r>
        <w:rPr>
          <w:rtl w:val="true"/>
        </w:rPr>
        <w:t>שיעור זה הוא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הלכה למשה מסיני</w:t>
      </w:r>
      <w:r>
        <w:rPr>
          <w:rtl w:val="true"/>
        </w:rPr>
        <w:t xml:space="preserve">. </w:t>
      </w:r>
      <w:r>
        <w:rPr>
          <w:rtl w:val="true"/>
        </w:rPr>
        <w:t>גם יש אסמכתא לו מקרא</w:t>
      </w:r>
      <w:r>
        <w:rPr>
          <w:rtl w:val="true"/>
        </w:rPr>
        <w:t xml:space="preserve">, </w:t>
      </w:r>
      <w:r>
        <w:rPr>
          <w:rtl w:val="true"/>
        </w:rPr>
        <w:t xml:space="preserve">שכך עשה יעקב אבינו </w:t>
      </w:r>
      <w:r>
        <w:rPr>
          <w:rtl w:val="true"/>
        </w:rPr>
        <w:t>(”</w:t>
      </w:r>
      <w:r>
        <w:rPr>
          <w:rtl w:val="true"/>
        </w:rPr>
        <w:t>עשר אעשרנו“ משמע שני עישורים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תקנו כיון שהיה התקנה</w:t>
      </w:r>
      <w:r>
        <w:rPr>
          <w:rtl w:val="true"/>
        </w:rPr>
        <w:t xml:space="preserve">, </w:t>
      </w:r>
      <w:r>
        <w:rPr>
          <w:rtl w:val="true"/>
        </w:rPr>
        <w:t>לזמן</w:t>
      </w:r>
      <w:r>
        <w:rPr>
          <w:rtl w:val="true"/>
        </w:rPr>
        <w:t xml:space="preserve">, </w:t>
      </w:r>
      <w:r>
        <w:rPr>
          <w:rtl w:val="true"/>
        </w:rPr>
        <w:t>נשכחה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מדעתם זכו לתקן אותו דבר שרצה ה’ ושצווה בהל“מ</w:t>
      </w:r>
      <w:r>
        <w:rPr>
          <w:rtl w:val="true"/>
        </w:rPr>
        <w:t>. (</w:t>
      </w:r>
      <w:r>
        <w:rPr>
          <w:rtl w:val="true"/>
        </w:rPr>
        <w:t>עיין בהשלמות אות ט</w:t>
      </w:r>
      <w:r>
        <w:rPr>
          <w:rtl w:val="true"/>
        </w:rPr>
        <w:t>.)</w:t>
      </w:r>
    </w:p>
    <w:p>
      <w:pPr>
        <w:pStyle w:val="Footnote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שיעור אחר</w:t>
      </w:r>
      <w:r>
        <w:rPr>
          <w:rtl w:val="true"/>
        </w:rPr>
        <w:t xml:space="preserve">. </w:t>
      </w:r>
      <w:r>
        <w:rPr>
          <w:rtl w:val="true"/>
        </w:rPr>
        <w:t>כשלא היה נודע ההל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וקודם התקנה</w:t>
      </w:r>
      <w:r>
        <w:rPr>
          <w:rtl w:val="true"/>
        </w:rPr>
        <w:t xml:space="preserve">, </w:t>
      </w:r>
      <w:r>
        <w:rPr>
          <w:rtl w:val="true"/>
        </w:rPr>
        <w:t>חולקים מה היה החיוב</w:t>
      </w:r>
      <w:r>
        <w:rPr>
          <w:rtl w:val="true"/>
        </w:rPr>
        <w:t>:</w:t>
      </w:r>
    </w:p>
    <w:p>
      <w:pPr>
        <w:pStyle w:val="Footnote"/>
        <w:numPr>
          <w:ilvl w:val="1"/>
          <w:numId w:val="6"/>
        </w:numPr>
        <w:bidi w:val="1"/>
        <w:jc w:val="left"/>
        <w:rPr/>
      </w:pPr>
      <w:r>
        <w:rPr>
          <w:rtl w:val="true"/>
        </w:rPr>
        <w:t>אחד מחמישים או אחד ממאה</w:t>
      </w:r>
      <w:r>
        <w:rPr>
          <w:rtl w:val="true"/>
        </w:rPr>
        <w:t>. (</w:t>
      </w:r>
      <w:r>
        <w:rPr>
          <w:rtl w:val="true"/>
        </w:rPr>
        <w:t>עיין בהשלמות אות י</w:t>
      </w:r>
      <w:r>
        <w:rPr>
          <w:rtl w:val="true"/>
        </w:rPr>
        <w:t>.)</w:t>
      </w:r>
    </w:p>
    <w:p>
      <w:pPr>
        <w:pStyle w:val="Footnote"/>
        <w:numPr>
          <w:ilvl w:val="1"/>
          <w:numId w:val="6"/>
        </w:numPr>
        <w:bidi w:val="1"/>
        <w:jc w:val="left"/>
        <w:rPr/>
      </w:pPr>
      <w:r>
        <w:rPr>
          <w:rtl w:val="true"/>
        </w:rPr>
        <w:t>אחד מחמישים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כמראשית כל תבואתך</w:t>
      </w:r>
      <w:r>
        <w:rPr>
          <w:rtl w:val="true"/>
        </w:rPr>
        <w:t>,“ (</w:t>
      </w:r>
      <w:r>
        <w:rPr>
          <w:rtl w:val="true"/>
        </w:rPr>
        <w:t>עיין בהשלמות אות ח</w:t>
      </w:r>
      <w:r>
        <w:rPr>
          <w:rtl w:val="true"/>
        </w:rPr>
        <w:t xml:space="preserve">.) </w:t>
      </w:r>
      <w:r>
        <w:rPr>
          <w:rtl w:val="true"/>
        </w:rPr>
        <w:t>שהוא תרומה</w:t>
      </w:r>
      <w:r>
        <w:rPr>
          <w:rtl w:val="true"/>
        </w:rPr>
        <w:t>.)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נראה שיש חולק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רבי יהושע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דורש מ“והגית בו יומם ולילה“ שצריך ללמוד בכל שעה ממש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שיעור למטה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עיין בהשלמות אות יא</w:t>
      </w:r>
      <w:r>
        <w:rPr>
          <w:b w:val="false"/>
          <w:bCs w:val="false"/>
          <w:rtl w:val="true"/>
        </w:rPr>
        <w:t xml:space="preserve">.) 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מוסיף חמש ציורים שהיה למשנה למנות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תרומה</w:t>
      </w:r>
      <w:r>
        <w:rPr>
          <w:rtl w:val="true"/>
        </w:rPr>
        <w:t xml:space="preserve">. </w:t>
      </w:r>
      <w:r>
        <w:rPr>
          <w:rtl w:val="true"/>
        </w:rPr>
        <w:t>מן התורה</w:t>
      </w:r>
      <w:r>
        <w:rPr>
          <w:rtl w:val="true"/>
        </w:rPr>
        <w:t xml:space="preserve">, </w:t>
      </w:r>
      <w:r>
        <w:rPr>
          <w:rtl w:val="true"/>
        </w:rPr>
        <w:t>חייב לתת רק משהו לתרומה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לו שיעור מן התורה</w:t>
      </w:r>
      <w:r>
        <w:rPr>
          <w:rtl w:val="true"/>
        </w:rPr>
        <w:t xml:space="preserve">. </w:t>
      </w:r>
      <w:r>
        <w:rPr>
          <w:rtl w:val="true"/>
        </w:rPr>
        <w:t>משיב גמ’ שני תירוצים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7"/>
        </w:numPr>
        <w:bidi w:val="1"/>
        <w:jc w:val="left"/>
        <w:rPr/>
      </w:pPr>
      <w:r>
        <w:rPr>
          <w:rtl w:val="true"/>
        </w:rPr>
        <w:t>יש לו שיעור למעלה</w:t>
      </w:r>
      <w:r>
        <w:rPr>
          <w:rtl w:val="true"/>
        </w:rPr>
        <w:t xml:space="preserve">, </w:t>
      </w:r>
      <w:r>
        <w:rPr>
          <w:rtl w:val="true"/>
        </w:rPr>
        <w:t xml:space="preserve">שלא יכול לתת כל הכרי לתרומה </w:t>
      </w:r>
      <w:r>
        <w:rPr>
          <w:rtl w:val="true"/>
        </w:rPr>
        <w:t>(</w:t>
      </w:r>
      <w:r>
        <w:rPr>
          <w:rtl w:val="true"/>
        </w:rPr>
        <w:t>כיון שכ’</w:t>
      </w:r>
      <w:r>
        <w:rPr>
          <w:rtl w:val="true"/>
        </w:rPr>
        <w:t>, "</w:t>
      </w:r>
      <w:r>
        <w:rPr>
          <w:rtl w:val="true"/>
        </w:rPr>
        <w:t>ראשית דגנך</w:t>
      </w:r>
      <w:r>
        <w:rPr>
          <w:rtl w:val="true"/>
        </w:rPr>
        <w:t xml:space="preserve">,“ </w:t>
      </w:r>
      <w:r>
        <w:rPr>
          <w:rtl w:val="true"/>
        </w:rPr>
        <w:t xml:space="preserve">שמשמע שצריך להיות שירים </w:t>
      </w:r>
      <w:r>
        <w:rPr>
          <w:rtl w:val="true"/>
        </w:rPr>
        <w:t>(</w:t>
      </w:r>
      <w:r>
        <w:rPr>
          <w:rtl w:val="true"/>
        </w:rPr>
        <w:t>עיין בהשלמות אות א</w:t>
      </w:r>
      <w:r>
        <w:rPr>
          <w:rtl w:val="true"/>
        </w:rPr>
        <w:t>). (</w:t>
      </w:r>
      <w:r>
        <w:rPr>
          <w:rtl w:val="true"/>
        </w:rPr>
        <w:t>עיין בהשלמות אות ג</w:t>
      </w:r>
      <w:r>
        <w:rPr>
          <w:rtl w:val="true"/>
        </w:rPr>
        <w:t>.)</w:t>
      </w:r>
    </w:p>
    <w:p>
      <w:pPr>
        <w:pStyle w:val="Footnote"/>
        <w:numPr>
          <w:ilvl w:val="1"/>
          <w:numId w:val="7"/>
        </w:numPr>
        <w:bidi w:val="1"/>
        <w:jc w:val="left"/>
        <w:rPr/>
      </w:pPr>
      <w:r>
        <w:rPr>
          <w:rtl w:val="true"/>
        </w:rPr>
        <w:t>חולקים מהו שיעור למעלה שלו</w:t>
      </w:r>
      <w:r>
        <w:rPr>
          <w:rtl w:val="true"/>
        </w:rPr>
        <w:t xml:space="preserve">, </w:t>
      </w:r>
      <w:r>
        <w:rPr>
          <w:rtl w:val="true"/>
        </w:rPr>
        <w:t>ומשנה לא מזכיר פלוגתא</w:t>
      </w:r>
      <w:r>
        <w:rPr>
          <w:rtl w:val="true"/>
        </w:rPr>
        <w:t>. (</w:t>
      </w:r>
      <w:r>
        <w:rPr>
          <w:rtl w:val="true"/>
        </w:rPr>
        <w:t>עיין בהשלמות אות ב</w:t>
      </w:r>
      <w:r>
        <w:rPr>
          <w:rtl w:val="true"/>
        </w:rPr>
        <w:t>.)</w:t>
      </w:r>
    </w:p>
    <w:p>
      <w:pPr>
        <w:pStyle w:val="Footnote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 xml:space="preserve">אפר סוטה </w:t>
      </w:r>
      <w:r>
        <w:rPr>
          <w:rtl w:val="true"/>
        </w:rPr>
        <w:t>(</w:t>
      </w:r>
      <w:r>
        <w:rPr>
          <w:rtl w:val="true"/>
        </w:rPr>
        <w:t>עיין בהשלמות אות ד</w:t>
      </w:r>
      <w:r>
        <w:rPr>
          <w:rtl w:val="true"/>
        </w:rPr>
        <w:t xml:space="preserve">.). </w:t>
      </w:r>
      <w:r>
        <w:rPr>
          <w:rtl w:val="true"/>
        </w:rPr>
        <w:t>גמ’ דוחה שרק מונה דברים שיש בריבוי שלהם מצווה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אפר פרה</w:t>
      </w:r>
      <w:r>
        <w:rPr>
          <w:rtl w:val="true"/>
        </w:rPr>
        <w:t xml:space="preserve">. </w:t>
      </w:r>
      <w:r>
        <w:rPr>
          <w:rtl w:val="true"/>
        </w:rPr>
        <w:t>גמ’ דוחה שרק מונה דברים שיש בריבוי שלהם מצווה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רוק יבמה</w:t>
      </w:r>
      <w:r>
        <w:rPr>
          <w:rtl w:val="true"/>
        </w:rPr>
        <w:t xml:space="preserve">. </w:t>
      </w:r>
      <w:r>
        <w:rPr>
          <w:rtl w:val="true"/>
        </w:rPr>
        <w:t>גמ’ דוחה שרק מונה דברים שיש בריבוי שלהם מצווה</w:t>
      </w:r>
      <w:r>
        <w:rPr>
          <w:rtl w:val="true"/>
        </w:rPr>
        <w:t>.</w:t>
      </w:r>
    </w:p>
    <w:p>
      <w:pPr>
        <w:pStyle w:val="Footnote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דם ציפור של מצורע</w:t>
      </w:r>
      <w:r>
        <w:rPr>
          <w:rtl w:val="true"/>
        </w:rPr>
        <w:t xml:space="preserve">. </w:t>
      </w:r>
      <w:r>
        <w:rPr>
          <w:rtl w:val="true"/>
        </w:rPr>
        <w:t>גמ’ דוחה שרק מונה דברים שיש בריבוי שלהם מצווה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:)</w:t>
      </w:r>
    </w:p>
  </w:footnote>
  <w:footnote w:id="1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ש“דברים“ אלו רק כוללים מצוות העשה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מסתמא מפני שדן באכילת פירות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שרצה לומר שכר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דן בעונש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בעבירות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שנענש עליהם בעולם הזה ובעולם הבא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עבודה זרה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מביא שני מקורות לזה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הכרת… עונה בה</w:t>
      </w:r>
      <w:r>
        <w:rPr>
          <w:b w:val="false"/>
          <w:bCs w:val="false"/>
          <w:rtl w:val="true"/>
        </w:rPr>
        <w:t>.“</w:t>
      </w:r>
    </w:p>
    <w:p>
      <w:pPr>
        <w:pStyle w:val="Footnote"/>
        <w:numPr>
          <w:ilvl w:val="1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אנא חטא העם חטאה גדולה“ גבי ע“ז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לא מבאר גמ’ למה זה נחשב מקור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שאפשר לומר שגדולת החטא הוא שגורם עונש גדול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שגורם עונש בעולם הזה ועולם הבא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ועיין בהשלמות אות טז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0"/>
          <w:numId w:val="0"/>
        </w:numPr>
        <w:bidi w:val="1"/>
        <w:ind w:left="0" w:hanging="340"/>
        <w:jc w:val="left"/>
        <w:rPr/>
      </w:pPr>
      <w:r>
        <w:rPr>
          <w:b w:val="false"/>
          <w:b w:val="false"/>
          <w:bCs w:val="false"/>
          <w:rtl w:val="true"/>
        </w:rPr>
        <w:t>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חולקים בזה בגמ’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גילוי עריות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כמו בכמה מקומות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איזה עריות נכללים בזה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לומדים את זה מלשון גדולה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חולקים בזה בגמ’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שפיכת דמים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לומדים את זה מלשון גדולה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לשון הרע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לומדים את זה מלשון גדולה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כ’ בו גדולות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רואים שהוא יותר חמור</w:t>
      </w:r>
      <w:r>
        <w:rPr>
          <w:b w:val="false"/>
          <w:bCs w:val="false"/>
          <w:rtl w:val="true"/>
        </w:rPr>
        <w:t>.)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 xml:space="preserve">גמ’ משמע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שצד השווה של ארבע דברים אלו הוא שיש תוצאה ניכרת מתוך מעשיו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גבי מצווה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צריכים תוצאה ניכרת</w:t>
      </w:r>
      <w:r>
        <w:rPr>
          <w:b w:val="false"/>
          <w:bCs w:val="false"/>
          <w:rtl w:val="true"/>
        </w:rPr>
        <w:t>.) (</w:t>
      </w:r>
      <w:r>
        <w:rPr>
          <w:b w:val="false"/>
          <w:b w:val="false"/>
          <w:bCs w:val="false"/>
          <w:rtl w:val="true"/>
        </w:rPr>
        <w:t>עיין בהשלמות אות יז</w:t>
      </w:r>
      <w:r>
        <w:rPr>
          <w:b w:val="false"/>
          <w:bCs w:val="false"/>
          <w:rtl w:val="true"/>
        </w:rPr>
        <w:t>.)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 xml:space="preserve">כל ארבע הם שיטת התוספתא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ר“י חולק עליו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יש עוד שלש שהם שיטת ריב יוחנן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תוס’ חול’ עליו</w:t>
      </w:r>
      <w:r>
        <w:rPr>
          <w:b w:val="false"/>
          <w:bCs w:val="false"/>
          <w:rtl w:val="true"/>
        </w:rPr>
        <w:t>):</w:t>
      </w:r>
    </w:p>
    <w:p>
      <w:pPr>
        <w:pStyle w:val="Footnote"/>
        <w:numPr>
          <w:ilvl w:val="0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פורק ממנו עול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הוא מי שאומר שיש 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אינו צריך לשמור אותה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מיפר ברית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הוא המושך את ערלתו להיות נראה ערל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מגלה פנים בתורה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חולקים בפירוש זה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1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מי שאומר שאין תורה מן השמים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דוחה גמ’ שמזכיר אותו עם אותו מנין של מי שאומר שאין תורה מן השמים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מי שעובר על דברי תורה בפרהסיא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1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מבזה תלמיד חכם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סנהדרין צט</w:t>
      </w:r>
      <w:r>
        <w:rPr>
          <w:b w:val="false"/>
          <w:bCs w:val="false"/>
          <w:rtl w:val="true"/>
        </w:rPr>
        <w:t>:)</w:t>
      </w:r>
    </w:p>
    <w:p>
      <w:pPr>
        <w:pStyle w:val="Footnote"/>
        <w:numPr>
          <w:ilvl w:val="1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מבזה את חבירו לפני ת“ח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סנהדרין צט</w:t>
      </w:r>
      <w:r>
        <w:rPr>
          <w:b w:val="false"/>
          <w:bCs w:val="false"/>
          <w:rtl w:val="true"/>
        </w:rPr>
        <w:t>:)</w:t>
      </w:r>
    </w:p>
    <w:p>
      <w:pPr>
        <w:pStyle w:val="Footnote"/>
        <w:numPr>
          <w:ilvl w:val="1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מי שדורש אגדות של הבל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שמק’ קושיות שאינם קושיות</w:t>
      </w:r>
      <w:r>
        <w:rPr>
          <w:b w:val="false"/>
          <w:bCs w:val="false"/>
          <w:rtl w:val="true"/>
        </w:rPr>
        <w:t>). (</w:t>
      </w:r>
      <w:r>
        <w:rPr>
          <w:b w:val="false"/>
          <w:b w:val="false"/>
          <w:bCs w:val="false"/>
          <w:rtl w:val="true"/>
        </w:rPr>
        <w:t>סנהדרין צט</w:t>
      </w:r>
      <w:r>
        <w:rPr>
          <w:b w:val="false"/>
          <w:bCs w:val="false"/>
          <w:rtl w:val="true"/>
        </w:rPr>
        <w:t>:) (</w:t>
      </w:r>
      <w:r>
        <w:rPr>
          <w:b w:val="false"/>
          <w:b w:val="false"/>
          <w:bCs w:val="false"/>
          <w:rtl w:val="true"/>
        </w:rPr>
        <w:t>עיין בהשלמות אות יט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1"/>
          <w:numId w:val="8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מי שחולק על מה שאומר תורה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עיין בהשלמות אות יח</w:t>
      </w:r>
      <w:r>
        <w:rPr>
          <w:b w:val="false"/>
          <w:bCs w:val="false"/>
          <w:rtl w:val="true"/>
        </w:rPr>
        <w:t>.)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לא מבאר גמ’ המקור לשלש אלו</w:t>
      </w:r>
      <w:r>
        <w:rPr>
          <w:b w:val="false"/>
          <w:bCs w:val="false"/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החידוש הוא</w:t>
      </w:r>
      <w:r>
        <w:rPr>
          <w:rtl w:val="true"/>
        </w:rPr>
        <w:t xml:space="preserve">, </w:t>
      </w:r>
      <w:r>
        <w:rPr>
          <w:rtl w:val="true"/>
        </w:rPr>
        <w:t>בעיקר</w:t>
      </w:r>
      <w:r>
        <w:rPr>
          <w:rtl w:val="true"/>
        </w:rPr>
        <w:t xml:space="preserve">, </w:t>
      </w:r>
      <w:r>
        <w:rPr>
          <w:rtl w:val="true"/>
        </w:rPr>
        <w:t>שבמצוות אלו יש שכר בעולם הזה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בכל מצוות</w:t>
      </w:r>
      <w:r>
        <w:rPr>
          <w:rtl w:val="true"/>
        </w:rPr>
        <w:t xml:space="preserve">, </w:t>
      </w:r>
      <w:r>
        <w:rPr>
          <w:rtl w:val="true"/>
        </w:rPr>
        <w:t>יש שכר לעולם הבא</w:t>
      </w:r>
      <w:r>
        <w:rPr>
          <w:rtl w:val="true"/>
        </w:rPr>
        <w:t xml:space="preserve">. </w:t>
      </w:r>
      <w:r>
        <w:rPr>
          <w:rtl w:val="true"/>
        </w:rPr>
        <w:t xml:space="preserve">בגמ’ קידושין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לט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מפרש שמי שיש לו יותר מצוות מעבירות יש לו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שכר לעולם הזה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מצוותיו ועבירותיו שווים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 שכר בעולם הזה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עיין בהשלמות אות יב</w:t>
      </w:r>
      <w:r>
        <w:rPr>
          <w:b w:val="false"/>
          <w:bCs w:val="false"/>
          <w:rtl w:val="true"/>
        </w:rPr>
        <w:t>.) (</w:t>
      </w:r>
      <w:r>
        <w:rPr>
          <w:b w:val="false"/>
          <w:b w:val="false"/>
          <w:bCs w:val="false"/>
          <w:rtl w:val="true"/>
        </w:rPr>
        <w:t>עיין בהשלמות אות יג</w:t>
      </w:r>
      <w:r>
        <w:rPr>
          <w:b w:val="false"/>
          <w:bCs w:val="false"/>
          <w:rtl w:val="true"/>
        </w:rPr>
        <w:t>.)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b w:val="false"/>
          <w:b w:val="false"/>
          <w:bCs w:val="false"/>
          <w:rtl w:val="true"/>
        </w:rPr>
        <w:tab/>
        <w:t xml:space="preserve">יש שיטה בקידושין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רבי יעקב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שסובר ש“שכר מצוות בהאי עלמא ליכא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יש לדון אם חולק על משנה זה או לא</w:t>
      </w:r>
      <w:r>
        <w:rPr>
          <w:b w:val="false"/>
          <w:bCs w:val="false"/>
          <w:rtl w:val="true"/>
        </w:rPr>
        <w:t>.</w:t>
      </w:r>
    </w:p>
  </w:footnote>
  <w:footnote w:id="1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rtl w:val="true"/>
        </w:rPr>
        <w:t>(</w:t>
      </w:r>
      <w:r>
        <w:rPr>
          <w:rtl w:val="true"/>
        </w:rPr>
        <w:t>קידושין מ</w:t>
      </w:r>
      <w:r>
        <w:rPr>
          <w:rtl w:val="true"/>
        </w:rPr>
        <w:t xml:space="preserve">.) </w:t>
      </w:r>
      <w:r>
        <w:rPr>
          <w:rtl w:val="true"/>
        </w:rPr>
        <w:t>דורש את זה ממה שכפל לשון שכר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למען יאריכון ימיך ולמען ייטב לך</w:t>
      </w:r>
      <w:r>
        <w:rPr>
          <w:rtl w:val="true"/>
        </w:rPr>
        <w:t>.“</w:t>
      </w:r>
    </w:p>
  </w:footnote>
  <w:footnote w:id="1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rtl w:val="true"/>
        </w:rPr>
        <w:t>(</w:t>
      </w:r>
      <w:r>
        <w:rPr>
          <w:rtl w:val="true"/>
        </w:rPr>
        <w:t>קידושין מ</w:t>
      </w:r>
      <w:r>
        <w:rPr>
          <w:rtl w:val="true"/>
        </w:rPr>
        <w:t xml:space="preserve">.) </w:t>
      </w:r>
      <w:r>
        <w:rPr>
          <w:rtl w:val="true"/>
        </w:rPr>
        <w:t>דורש את זה ממה שכפל לשון שכר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ימצא חיים צדקה וכבוד</w:t>
      </w:r>
      <w:r>
        <w:rPr>
          <w:rtl w:val="true"/>
        </w:rPr>
        <w:t xml:space="preserve">.“ </w:t>
      </w:r>
      <w:r>
        <w:rPr>
          <w:rtl w:val="true"/>
        </w:rPr>
        <w:t xml:space="preserve">כ“כ ירושלמי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>.</w:t>
      </w:r>
    </w:p>
  </w:footnote>
  <w:footnote w:id="1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rtl w:val="true"/>
        </w:rPr>
        <w:t>(</w:t>
      </w:r>
      <w:r>
        <w:rPr>
          <w:rtl w:val="true"/>
        </w:rPr>
        <w:t>קידושין מ</w:t>
      </w:r>
      <w:r>
        <w:rPr>
          <w:rtl w:val="true"/>
        </w:rPr>
        <w:t xml:space="preserve">.) </w:t>
      </w:r>
      <w:r>
        <w:rPr>
          <w:rtl w:val="true"/>
        </w:rPr>
        <w:t xml:space="preserve">דורש את זה מגזירה שווה </w:t>
      </w:r>
      <w:r>
        <w:rPr>
          <w:rtl w:val="true"/>
        </w:rPr>
        <w:t>(”</w:t>
      </w:r>
      <w:r>
        <w:rPr>
          <w:rtl w:val="true"/>
        </w:rPr>
        <w:t>רדיפה“</w:t>
      </w:r>
      <w:r>
        <w:rPr>
          <w:rtl w:val="true"/>
        </w:rPr>
        <w:t xml:space="preserve">) </w:t>
      </w:r>
      <w:r>
        <w:rPr>
          <w:rtl w:val="true"/>
        </w:rPr>
        <w:t>מגמילות חסדים</w:t>
      </w:r>
      <w:r>
        <w:rPr>
          <w:rtl w:val="true"/>
        </w:rPr>
        <w:t xml:space="preserve">. </w:t>
      </w:r>
      <w:r>
        <w:rPr>
          <w:rtl w:val="true"/>
        </w:rPr>
        <w:t xml:space="preserve">כ“כ ירושלמי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>.</w:t>
      </w:r>
    </w:p>
  </w:footnote>
  <w:footnote w:id="2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rtl w:val="true"/>
        </w:rPr>
        <w:t>(</w:t>
      </w:r>
      <w:r>
        <w:rPr>
          <w:rtl w:val="true"/>
        </w:rPr>
        <w:t>קידושין מ</w:t>
      </w:r>
      <w:r>
        <w:rPr>
          <w:rtl w:val="true"/>
        </w:rPr>
        <w:t xml:space="preserve">.) </w:t>
      </w:r>
      <w:r>
        <w:rPr>
          <w:rtl w:val="true"/>
        </w:rPr>
        <w:t>דורש את זה ממה שכפל לשון שכר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כי הוא חייך ואורך ימיך</w:t>
      </w:r>
      <w:r>
        <w:rPr>
          <w:rtl w:val="true"/>
        </w:rPr>
        <w:t>.“</w:t>
      </w:r>
    </w:p>
  </w:footnote>
  <w:footnote w:id="2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מפרש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שאף דבר אחד של ת“ת הוא כנגד כולם</w:t>
      </w:r>
      <w:r>
        <w:rPr>
          <w:b w:val="false"/>
          <w:bCs w:val="false"/>
          <w:rtl w:val="true"/>
        </w:rPr>
        <w:t>.</w:t>
      </w:r>
    </w:p>
  </w:footnote>
  <w:footnote w:id="2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מפרש שהמקור לזה הוא שכ’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וכל חפציך לא ישוו בה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רק כנגד כולם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יותר מכולם</w:t>
      </w:r>
      <w:r>
        <w:rPr>
          <w:b w:val="false"/>
          <w:bCs w:val="false"/>
          <w:rtl w:val="true"/>
        </w:rPr>
        <w:t>.</w:t>
      </w:r>
    </w:p>
  </w:footnote>
  <w:footnote w:id="2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במדה זה</w:t>
      </w:r>
      <w:r>
        <w:rPr>
          <w:rtl w:val="true"/>
        </w:rPr>
        <w:t xml:space="preserve">, </w:t>
      </w:r>
      <w:r>
        <w:rPr>
          <w:rtl w:val="true"/>
        </w:rPr>
        <w:t>מה שנותן שכר בעולם הזה</w:t>
      </w:r>
      <w:r>
        <w:rPr>
          <w:rtl w:val="true"/>
        </w:rPr>
        <w:t xml:space="preserve">, </w:t>
      </w:r>
      <w:r>
        <w:rPr>
          <w:rtl w:val="true"/>
        </w:rPr>
        <w:t>הוא כפול</w:t>
      </w:r>
      <w:r>
        <w:rPr>
          <w:rtl w:val="true"/>
        </w:rPr>
        <w:t xml:space="preserve">, </w:t>
      </w:r>
      <w:r>
        <w:rPr>
          <w:rtl w:val="true"/>
        </w:rPr>
        <w:t>או בכל דבר הוא כפול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ממקור של הגמ’</w:t>
      </w:r>
      <w:r>
        <w:rPr>
          <w:rtl w:val="true"/>
        </w:rPr>
        <w:t xml:space="preserve">, </w:t>
      </w:r>
      <w:r>
        <w:rPr>
          <w:rtl w:val="true"/>
        </w:rPr>
        <w:t>נראה שהוא כפול בכל דבר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  <w:t>(</w:t>
      </w:r>
      <w:r>
        <w:rPr>
          <w:rtl w:val="true"/>
        </w:rPr>
        <w:t>בכל אלו</w:t>
      </w:r>
      <w:r>
        <w:rPr>
          <w:rtl w:val="true"/>
        </w:rPr>
        <w:t xml:space="preserve">, </w:t>
      </w:r>
      <w:r>
        <w:rPr>
          <w:rtl w:val="true"/>
        </w:rPr>
        <w:t>צריך לעיין בהשלמות אות יד</w:t>
      </w:r>
      <w:r>
        <w:rPr>
          <w:rtl w:val="true"/>
        </w:rPr>
        <w:t>.)</w:t>
      </w:r>
    </w:p>
  </w:footnote>
  <w:footnote w:id="2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בגמ’ </w:t>
      </w:r>
      <w:r>
        <w:rPr>
          <w:rtl w:val="true"/>
        </w:rPr>
        <w:t>(</w:t>
      </w:r>
      <w:r>
        <w:rPr>
          <w:rtl w:val="true"/>
        </w:rPr>
        <w:t>קידושין מ</w:t>
      </w:r>
      <w:r>
        <w:rPr>
          <w:rtl w:val="true"/>
        </w:rPr>
        <w:t xml:space="preserve">.) </w:t>
      </w:r>
      <w:r>
        <w:rPr>
          <w:rtl w:val="true"/>
        </w:rPr>
        <w:t>דן אם להוסיף אחד</w:t>
      </w:r>
      <w:r>
        <w:rPr>
          <w:rtl w:val="true"/>
        </w:rPr>
        <w:t xml:space="preserve">, </w:t>
      </w:r>
      <w:r>
        <w:rPr>
          <w:rtl w:val="true"/>
        </w:rPr>
        <w:t>והוא שילוח הקן</w:t>
      </w:r>
      <w:r>
        <w:rPr>
          <w:rtl w:val="true"/>
        </w:rPr>
        <w:t>. (</w:t>
      </w:r>
      <w:r>
        <w:rPr>
          <w:rtl w:val="true"/>
        </w:rPr>
        <w:t>מקורו יהיה שכ’ בו לשון הטבה ולשון הארכת ימים</w:t>
      </w:r>
      <w:r>
        <w:rPr>
          <w:rtl w:val="true"/>
        </w:rPr>
        <w:t xml:space="preserve">.) </w:t>
      </w:r>
      <w:r>
        <w:rPr>
          <w:rtl w:val="true"/>
        </w:rPr>
        <w:t>דוחה שמשנה רק מונה מה שיש בו טוב לבריות וטוב לה’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שילוח הקן אינו טוב לבריות</w:t>
      </w:r>
      <w:r>
        <w:rPr>
          <w:rtl w:val="true"/>
        </w:rPr>
        <w:t>. (</w:t>
      </w:r>
      <w:r>
        <w:rPr>
          <w:rtl w:val="true"/>
        </w:rPr>
        <w:t>צריך לבאר למה מניח גמרא שלימוד תורה הוא טוב לבריות</w:t>
      </w:r>
      <w:r>
        <w:rPr>
          <w:rtl w:val="true"/>
        </w:rPr>
        <w:t>. (</w:t>
      </w:r>
      <w:r>
        <w:rPr>
          <w:rtl w:val="true"/>
        </w:rPr>
        <w:t>אולי יש לבאר עפמש“א ר“ח מוואלאזין</w:t>
      </w:r>
      <w:r>
        <w:rPr>
          <w:rtl w:val="true"/>
        </w:rPr>
        <w:t xml:space="preserve">, </w:t>
      </w:r>
      <w:r>
        <w:rPr>
          <w:rtl w:val="true"/>
        </w:rPr>
        <w:t>שאילו לא היה מי שלומד תורה</w:t>
      </w:r>
      <w:r>
        <w:rPr>
          <w:rtl w:val="true"/>
        </w:rPr>
        <w:t xml:space="preserve">, </w:t>
      </w:r>
      <w:r>
        <w:rPr>
          <w:rtl w:val="true"/>
        </w:rPr>
        <w:t>העולם היה חרב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שמסתמא שאר מצוות ג“כ טובים לעולם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מסתמא יש אחרים שלומדים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 (</w:t>
      </w:r>
      <w:r>
        <w:rPr>
          <w:rtl w:val="true"/>
        </w:rPr>
        <w:t>עיין בהשלמות אות טו</w:t>
      </w:r>
      <w:r>
        <w:rPr>
          <w:rtl w:val="true"/>
        </w:rPr>
        <w:t>.)</w:t>
      </w:r>
    </w:p>
  </w:footnote>
  <w:footnote w:id="2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שמצאנו שלש גירסאות במשנה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משנה שבירושלמי ושבמשניות מזכיר ארבע דברים</w:t>
      </w:r>
      <w:r>
        <w:rPr>
          <w:rtl w:val="true"/>
        </w:rPr>
        <w:t xml:space="preserve">: </w:t>
      </w:r>
      <w:r>
        <w:rPr>
          <w:rtl w:val="true"/>
        </w:rPr>
        <w:t>כיבוד אב ואם</w:t>
      </w:r>
      <w:r>
        <w:rPr>
          <w:rtl w:val="true"/>
        </w:rPr>
        <w:t xml:space="preserve">, </w:t>
      </w:r>
      <w:r>
        <w:rPr>
          <w:rtl w:val="true"/>
        </w:rPr>
        <w:t>גמילות חסדים</w:t>
      </w:r>
      <w:r>
        <w:rPr>
          <w:rtl w:val="true"/>
        </w:rPr>
        <w:t xml:space="preserve">, </w:t>
      </w:r>
      <w:r>
        <w:rPr>
          <w:rtl w:val="true"/>
        </w:rPr>
        <w:t>הבאת שלום בין אדם לחברו</w:t>
      </w:r>
      <w:r>
        <w:rPr>
          <w:rtl w:val="true"/>
        </w:rPr>
        <w:t xml:space="preserve">, </w:t>
      </w:r>
      <w:r>
        <w:rPr>
          <w:rtl w:val="true"/>
        </w:rPr>
        <w:t>ותלמוד תורה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בתפלה</w:t>
      </w:r>
      <w:r>
        <w:rPr>
          <w:rtl w:val="true"/>
        </w:rPr>
        <w:t xml:space="preserve">, </w:t>
      </w:r>
      <w:r>
        <w:rPr>
          <w:rtl w:val="true"/>
        </w:rPr>
        <w:t>הספרדים אומרים שמונה דברים</w:t>
      </w:r>
      <w:r>
        <w:rPr>
          <w:rtl w:val="true"/>
        </w:rPr>
        <w:t xml:space="preserve">: </w:t>
      </w:r>
      <w:r>
        <w:rPr>
          <w:rtl w:val="true"/>
        </w:rPr>
        <w:t>כבוד אב ואם</w:t>
      </w:r>
      <w:r>
        <w:rPr>
          <w:rtl w:val="true"/>
        </w:rPr>
        <w:t xml:space="preserve">, </w:t>
      </w:r>
      <w:r>
        <w:rPr>
          <w:rtl w:val="true"/>
        </w:rPr>
        <w:t>גמילות חסדים</w:t>
      </w:r>
      <w:r>
        <w:rPr>
          <w:rtl w:val="true"/>
        </w:rPr>
        <w:t xml:space="preserve">, </w:t>
      </w:r>
      <w:r>
        <w:rPr>
          <w:rtl w:val="true"/>
        </w:rPr>
        <w:t>בקור חולים</w:t>
      </w:r>
      <w:r>
        <w:rPr>
          <w:rtl w:val="true"/>
        </w:rPr>
        <w:t xml:space="preserve">, </w:t>
      </w:r>
      <w:r>
        <w:rPr>
          <w:rtl w:val="true"/>
        </w:rPr>
        <w:t>הכנסת אורחים</w:t>
      </w:r>
      <w:r>
        <w:rPr>
          <w:rtl w:val="true"/>
        </w:rPr>
        <w:t xml:space="preserve">, </w:t>
      </w:r>
      <w:r>
        <w:rPr>
          <w:rtl w:val="true"/>
        </w:rPr>
        <w:t>השכמת בית הכנסת</w:t>
      </w:r>
      <w:r>
        <w:rPr>
          <w:rtl w:val="true"/>
        </w:rPr>
        <w:t xml:space="preserve">, </w:t>
      </w:r>
      <w:r>
        <w:rPr>
          <w:rtl w:val="true"/>
        </w:rPr>
        <w:t>הבאת שלום בין אדם לחברו</w:t>
      </w:r>
      <w:r>
        <w:rPr>
          <w:rtl w:val="true"/>
        </w:rPr>
        <w:t xml:space="preserve">, </w:t>
      </w:r>
      <w:r>
        <w:rPr>
          <w:rtl w:val="true"/>
        </w:rPr>
        <w:t>ובין איש לאשתו</w:t>
      </w:r>
      <w:r>
        <w:rPr>
          <w:rtl w:val="true"/>
        </w:rPr>
        <w:t xml:space="preserve">, </w:t>
      </w:r>
      <w:r>
        <w:rPr>
          <w:rtl w:val="true"/>
        </w:rPr>
        <w:t>ותלמוד תורה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בתפלה</w:t>
      </w:r>
      <w:r>
        <w:rPr>
          <w:rtl w:val="true"/>
        </w:rPr>
        <w:t xml:space="preserve">, </w:t>
      </w:r>
      <w:r>
        <w:rPr>
          <w:rtl w:val="true"/>
        </w:rPr>
        <w:t>אשכנזים אומרים עשרה דברים</w:t>
      </w:r>
      <w:r>
        <w:rPr>
          <w:rtl w:val="true"/>
        </w:rPr>
        <w:t xml:space="preserve">: </w:t>
      </w:r>
      <w:r>
        <w:rPr>
          <w:rtl w:val="true"/>
        </w:rPr>
        <w:t>כבוד אב ואם</w:t>
      </w:r>
      <w:r>
        <w:rPr>
          <w:rtl w:val="true"/>
        </w:rPr>
        <w:t xml:space="preserve">, </w:t>
      </w:r>
      <w:r>
        <w:rPr>
          <w:rtl w:val="true"/>
        </w:rPr>
        <w:t>גמילות חסדים</w:t>
      </w:r>
      <w:r>
        <w:rPr>
          <w:rtl w:val="true"/>
        </w:rPr>
        <w:t xml:space="preserve">, </w:t>
      </w:r>
      <w:r>
        <w:rPr>
          <w:rtl w:val="true"/>
        </w:rPr>
        <w:t>השכמת בית המדרש שחרית וערבית</w:t>
      </w:r>
      <w:r>
        <w:rPr>
          <w:rtl w:val="true"/>
        </w:rPr>
        <w:t xml:space="preserve">, </w:t>
      </w:r>
      <w:r>
        <w:rPr>
          <w:rtl w:val="true"/>
        </w:rPr>
        <w:t>הכנסת אורחים</w:t>
      </w:r>
      <w:r>
        <w:rPr>
          <w:rtl w:val="true"/>
        </w:rPr>
        <w:t xml:space="preserve">, </w:t>
      </w:r>
      <w:r>
        <w:rPr>
          <w:rtl w:val="true"/>
        </w:rPr>
        <w:t>ביקור חולין</w:t>
      </w:r>
      <w:r>
        <w:rPr>
          <w:rtl w:val="true"/>
        </w:rPr>
        <w:t xml:space="preserve">, </w:t>
      </w:r>
      <w:r>
        <w:rPr>
          <w:rtl w:val="true"/>
        </w:rPr>
        <w:t>הכנסת כלה</w:t>
      </w:r>
      <w:r>
        <w:rPr>
          <w:rtl w:val="true"/>
        </w:rPr>
        <w:t xml:space="preserve">, </w:t>
      </w:r>
      <w:r>
        <w:rPr>
          <w:rtl w:val="true"/>
        </w:rPr>
        <w:t>לוית המת</w:t>
      </w:r>
      <w:r>
        <w:rPr>
          <w:rtl w:val="true"/>
        </w:rPr>
        <w:t xml:space="preserve">, </w:t>
      </w:r>
      <w:r>
        <w:rPr>
          <w:rtl w:val="true"/>
        </w:rPr>
        <w:t>עיון תפלה</w:t>
      </w:r>
      <w:r>
        <w:rPr>
          <w:rtl w:val="true"/>
        </w:rPr>
        <w:t xml:space="preserve">, </w:t>
      </w:r>
      <w:r>
        <w:rPr>
          <w:rtl w:val="true"/>
        </w:rPr>
        <w:t>הבאת שלום בין אדם לחברו</w:t>
      </w:r>
      <w:r>
        <w:rPr>
          <w:rtl w:val="true"/>
        </w:rPr>
        <w:t xml:space="preserve">, </w:t>
      </w:r>
      <w:r>
        <w:rPr>
          <w:rtl w:val="true"/>
        </w:rPr>
        <w:t>ותלמוד תורה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בתפלה</w:t>
      </w:r>
      <w:r>
        <w:rPr>
          <w:rtl w:val="true"/>
        </w:rPr>
        <w:t xml:space="preserve">, </w:t>
      </w:r>
      <w:r>
        <w:rPr>
          <w:rtl w:val="true"/>
        </w:rPr>
        <w:t>נוסח ספרד אומר אחד עשר דברים</w:t>
      </w:r>
      <w:r>
        <w:rPr>
          <w:rtl w:val="true"/>
        </w:rPr>
        <w:t xml:space="preserve">: </w:t>
      </w:r>
      <w:r>
        <w:rPr>
          <w:rtl w:val="true"/>
        </w:rPr>
        <w:t>כבוד אב ואם</w:t>
      </w:r>
      <w:r>
        <w:rPr>
          <w:rtl w:val="true"/>
        </w:rPr>
        <w:t xml:space="preserve">, </w:t>
      </w:r>
      <w:r>
        <w:rPr>
          <w:rtl w:val="true"/>
        </w:rPr>
        <w:t>גמילות חסדים</w:t>
      </w:r>
      <w:r>
        <w:rPr>
          <w:rtl w:val="true"/>
        </w:rPr>
        <w:t xml:space="preserve">, </w:t>
      </w:r>
      <w:r>
        <w:rPr>
          <w:rtl w:val="true"/>
        </w:rPr>
        <w:t>השכמת בית המדרש שחרית וערבית</w:t>
      </w:r>
      <w:r>
        <w:rPr>
          <w:rtl w:val="true"/>
        </w:rPr>
        <w:t xml:space="preserve">, </w:t>
      </w:r>
      <w:r>
        <w:rPr>
          <w:rtl w:val="true"/>
        </w:rPr>
        <w:t>הכנסת אורחים</w:t>
      </w:r>
      <w:r>
        <w:rPr>
          <w:rtl w:val="true"/>
        </w:rPr>
        <w:t xml:space="preserve">, </w:t>
      </w:r>
      <w:r>
        <w:rPr>
          <w:rtl w:val="true"/>
        </w:rPr>
        <w:t>בקור חולים</w:t>
      </w:r>
      <w:r>
        <w:rPr>
          <w:rtl w:val="true"/>
        </w:rPr>
        <w:t xml:space="preserve">, </w:t>
      </w:r>
      <w:r>
        <w:rPr>
          <w:rtl w:val="true"/>
        </w:rPr>
        <w:t>הכנסת כלה</w:t>
      </w:r>
      <w:r>
        <w:rPr>
          <w:rtl w:val="true"/>
        </w:rPr>
        <w:t xml:space="preserve">, </w:t>
      </w:r>
      <w:r>
        <w:rPr>
          <w:rtl w:val="true"/>
        </w:rPr>
        <w:t>לוית המת</w:t>
      </w:r>
      <w:r>
        <w:rPr>
          <w:rtl w:val="true"/>
        </w:rPr>
        <w:t xml:space="preserve">, </w:t>
      </w:r>
      <w:r>
        <w:rPr>
          <w:rtl w:val="true"/>
        </w:rPr>
        <w:t>עיון תפלה</w:t>
      </w:r>
      <w:r>
        <w:rPr>
          <w:rtl w:val="true"/>
        </w:rPr>
        <w:t xml:space="preserve">, </w:t>
      </w:r>
      <w:r>
        <w:rPr>
          <w:rtl w:val="true"/>
        </w:rPr>
        <w:t>הבאת שלום בין אדם לחברו</w:t>
      </w:r>
      <w:r>
        <w:rPr>
          <w:rtl w:val="true"/>
        </w:rPr>
        <w:t xml:space="preserve">, </w:t>
      </w:r>
      <w:r>
        <w:rPr>
          <w:rtl w:val="true"/>
        </w:rPr>
        <w:t>ובין איש לאשתו</w:t>
      </w:r>
      <w:r>
        <w:rPr>
          <w:rtl w:val="true"/>
        </w:rPr>
        <w:t xml:space="preserve">, </w:t>
      </w:r>
      <w:r>
        <w:rPr>
          <w:rtl w:val="true"/>
        </w:rPr>
        <w:t>ותלמוד תורה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לא פשוט לי מהו המקור לכל דברים שמוסיפים על המשנה</w:t>
      </w:r>
      <w:r>
        <w:rPr>
          <w:rtl w:val="true"/>
        </w:rPr>
        <w:t>. (</w:t>
      </w:r>
      <w:r>
        <w:rPr>
          <w:rtl w:val="true"/>
        </w:rPr>
        <w:t>גם קצת מוזר שיהיו כל כך כמה גירסאות שונות כל כך במשנה אחת</w:t>
      </w:r>
      <w:r>
        <w:rPr>
          <w:rtl w:val="true"/>
        </w:rPr>
        <w:t>.)</w:t>
      </w:r>
    </w:p>
  </w:footnote>
  <w:footnote w:id="26">
    <w:p>
      <w:pPr>
        <w:pStyle w:val="Footnote"/>
        <w:bidi w:val="1"/>
        <w:jc w:val="lef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דברים שאין להם שיעור </w:t>
      </w:r>
      <w:r>
        <w:rPr>
          <w:b w:val="false"/>
          <w:bCs w:val="false"/>
          <w:rtl w:val="true"/>
        </w:rPr>
        <w:t>(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פאה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ביכורים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Cs w:val="false"/>
        </w:rPr>
        <w:t>3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ראיון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Cs w:val="false"/>
        </w:rPr>
        <w:t>4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גמילות חסדים של גופו</w:t>
      </w:r>
      <w:r>
        <w:rPr>
          <w:b w:val="false"/>
          <w:bCs w:val="false"/>
          <w:rtl w:val="true"/>
        </w:rPr>
        <w:t xml:space="preserve">.). </w:t>
      </w:r>
      <w:r>
        <w:rPr>
          <w:b w:val="false"/>
          <w:b w:val="false"/>
          <w:bCs w:val="false"/>
          <w:rtl w:val="true"/>
        </w:rPr>
        <w:t xml:space="preserve">דברים שמקבלים שכר בעוה“ז ובעוה“ב </w:t>
      </w:r>
      <w:r>
        <w:rPr>
          <w:b w:val="false"/>
          <w:bCs w:val="false"/>
          <w:rtl w:val="true"/>
        </w:rPr>
        <w:t>(</w:t>
      </w:r>
      <w:r>
        <w:rPr>
          <w:b w:val="false"/>
          <w:bCs w:val="false"/>
        </w:rPr>
        <w:t>1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כיבוד אב ואם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Cs w:val="false"/>
        </w:rPr>
        <w:t>2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גמילות חסדים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Cs w:val="false"/>
        </w:rPr>
        <w:t>3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הבאת שלום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Cs w:val="false"/>
        </w:rPr>
        <w:t>4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תלמוד תורה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גם מזכיר שת“ת הוא כנגד כל שאר המצוות</w:t>
      </w:r>
      <w:r>
        <w:rPr>
          <w:b w:val="false"/>
          <w:bCs w:val="false"/>
          <w:rtl w:val="true"/>
        </w:rPr>
        <w:t>.</w:t>
      </w:r>
    </w:p>
  </w:footnote>
  <w:footnote w:id="27">
    <w:p>
      <w:pPr>
        <w:pStyle w:val="Footnote"/>
        <w:bidi w:val="1"/>
        <w:jc w:val="lef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ב</w:t>
      </w:r>
    </w:p>
  </w:footnote>
  <w:footnote w:id="2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הקדמה</w:t>
      </w:r>
      <w:r>
        <w:rPr>
          <w:rtl w:val="true"/>
        </w:rPr>
        <w:t>: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משנה באר לעיל שאין לפאה שיעור</w:t>
      </w:r>
      <w:r>
        <w:rPr>
          <w:rtl w:val="true"/>
        </w:rPr>
        <w:t xml:space="preserve">. </w:t>
      </w:r>
      <w:r>
        <w:rPr>
          <w:rtl w:val="true"/>
        </w:rPr>
        <w:t>משנה זה יבאר שמדרבנן יש לפאה שיעור</w:t>
      </w:r>
      <w:r>
        <w:rPr>
          <w:rtl w:val="true"/>
        </w:rPr>
        <w:t xml:space="preserve">, </w:t>
      </w:r>
      <w:r>
        <w:rPr>
          <w:rtl w:val="true"/>
        </w:rPr>
        <w:t>ויבאר מהו השיעור</w:t>
      </w:r>
      <w:r>
        <w:rPr>
          <w:rtl w:val="true"/>
        </w:rPr>
        <w:t xml:space="preserve">. </w:t>
      </w:r>
      <w:r>
        <w:rPr>
          <w:rtl w:val="true"/>
        </w:rPr>
        <w:t>נגדיר את השיעור בשני אופנים</w:t>
      </w:r>
      <w:r>
        <w:rPr>
          <w:rtl w:val="true"/>
        </w:rPr>
        <w:t xml:space="preserve">- </w:t>
      </w:r>
      <w:r>
        <w:rPr>
          <w:rtl w:val="true"/>
        </w:rPr>
        <w:t>כמה יש לו</w:t>
      </w:r>
      <w:r>
        <w:rPr>
          <w:rtl w:val="true"/>
        </w:rPr>
        <w:t xml:space="preserve">, </w:t>
      </w:r>
      <w:r>
        <w:rPr>
          <w:rtl w:val="true"/>
        </w:rPr>
        <w:t>וכמה יש לעני</w:t>
      </w:r>
      <w:r>
        <w:rPr>
          <w:rtl w:val="true"/>
        </w:rPr>
        <w:t>. (</w:t>
      </w:r>
      <w:r>
        <w:rPr>
          <w:rtl w:val="true"/>
        </w:rPr>
        <w:t>וזה כלל בכל מקום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שמחשבים כמה טוב עושה</w:t>
      </w:r>
      <w:r>
        <w:rPr>
          <w:rtl w:val="true"/>
        </w:rPr>
        <w:t xml:space="preserve">, </w:t>
      </w:r>
      <w:r>
        <w:rPr>
          <w:rtl w:val="true"/>
        </w:rPr>
        <w:t>וכמה חסרון בא לו</w:t>
      </w:r>
      <w:r>
        <w:rPr>
          <w:rtl w:val="true"/>
        </w:rPr>
        <w:t>.)</w:t>
      </w:r>
    </w:p>
  </w:footnote>
  <w:footnote w:id="2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דין דרבנן</w:t>
      </w:r>
      <w:r>
        <w:rPr>
          <w:rtl w:val="true"/>
        </w:rPr>
        <w:t>.</w:t>
      </w:r>
    </w:p>
  </w:footnote>
  <w:footnote w:id="3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מגמ’ מבואר שצריך לתת שיעור זה אף אם עניים לא צריכים כל כך</w:t>
      </w:r>
      <w:r>
        <w:rPr>
          <w:rtl w:val="true"/>
        </w:rPr>
        <w:t xml:space="preserve">. </w:t>
      </w:r>
      <w:r>
        <w:rPr>
          <w:rtl w:val="true"/>
        </w:rPr>
        <w:t>אף אם צריכים גמלים לטעון</w:t>
      </w:r>
      <w:r>
        <w:rPr>
          <w:rtl w:val="true"/>
        </w:rPr>
        <w:t xml:space="preserve">, </w:t>
      </w:r>
      <w:r>
        <w:rPr>
          <w:rtl w:val="true"/>
        </w:rPr>
        <w:t>צריכים לתת להם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</w:footnote>
  <w:footnote w:id="3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פני משה מפרש שרצה לומר שיש שיעור דרבנן</w:t>
      </w:r>
      <w:r>
        <w:rPr>
          <w:rtl w:val="true"/>
        </w:rPr>
        <w:t xml:space="preserve">, </w:t>
      </w:r>
      <w:r>
        <w:rPr>
          <w:rtl w:val="true"/>
        </w:rPr>
        <w:t>אף על פי שאין שיעור דאו’</w:t>
      </w:r>
      <w:r>
        <w:rPr>
          <w:rtl w:val="true"/>
        </w:rPr>
        <w:t xml:space="preserve">. </w:t>
      </w:r>
      <w:r>
        <w:rPr>
          <w:rtl w:val="true"/>
        </w:rPr>
        <w:t>גם יש לומר שר</w:t>
      </w:r>
      <w:r>
        <w:rPr>
          <w:rtl w:val="true"/>
        </w:rPr>
        <w:t>"</w:t>
      </w:r>
      <w:r>
        <w:rPr>
          <w:rtl w:val="true"/>
        </w:rPr>
        <w:t>ל שאף שאין זה נחשב שיעור</w:t>
      </w:r>
      <w:r>
        <w:rPr>
          <w:rtl w:val="true"/>
        </w:rPr>
        <w:t xml:space="preserve">, </w:t>
      </w:r>
      <w:r>
        <w:rPr>
          <w:rtl w:val="true"/>
        </w:rPr>
        <w:t xml:space="preserve">שהוא כבר פטור ממעשר בפחות מן השיעור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), </w:t>
      </w:r>
      <w:r>
        <w:rPr>
          <w:rtl w:val="true"/>
        </w:rPr>
        <w:t>עדיין יש שיעור כמה חייב לתת</w:t>
      </w:r>
      <w:r>
        <w:rPr>
          <w:rtl w:val="true"/>
        </w:rPr>
        <w:t>.</w:t>
      </w:r>
    </w:p>
  </w:footnote>
  <w:footnote w:id="3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שדה יותר גדול</w:t>
      </w:r>
      <w:r>
        <w:rPr>
          <w:rtl w:val="true"/>
        </w:rPr>
        <w:t xml:space="preserve">, </w:t>
      </w:r>
      <w:r>
        <w:rPr>
          <w:rtl w:val="true"/>
        </w:rPr>
        <w:t>אז לכל עני יבוא יותר</w:t>
      </w:r>
      <w:r>
        <w:rPr>
          <w:rtl w:val="true"/>
        </w:rPr>
        <w:t xml:space="preserve">. </w:t>
      </w:r>
      <w:r>
        <w:rPr>
          <w:rtl w:val="true"/>
        </w:rPr>
        <w:t>אם השדה הוא קטנה עד שלא מקבל עני חלק חשוב</w:t>
      </w:r>
      <w:r>
        <w:rPr>
          <w:rtl w:val="true"/>
        </w:rPr>
        <w:t xml:space="preserve">, </w:t>
      </w:r>
      <w:r>
        <w:rPr>
          <w:rtl w:val="true"/>
        </w:rPr>
        <w:t>צריך לתת יותר מאחד בששים</w:t>
      </w:r>
      <w:r>
        <w:rPr>
          <w:rtl w:val="true"/>
        </w:rPr>
        <w:t>.</w:t>
      </w:r>
    </w:p>
  </w:footnote>
  <w:footnote w:id="3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יש הרבה עניים</w:t>
      </w:r>
      <w:r>
        <w:rPr>
          <w:rtl w:val="true"/>
        </w:rPr>
        <w:t xml:space="preserve">, </w:t>
      </w:r>
      <w:r>
        <w:rPr>
          <w:rtl w:val="true"/>
        </w:rPr>
        <w:t>ואז לא מקבל עני שיעור חשוב</w:t>
      </w:r>
      <w:r>
        <w:rPr>
          <w:rtl w:val="true"/>
        </w:rPr>
        <w:t xml:space="preserve">, </w:t>
      </w:r>
      <w:r>
        <w:rPr>
          <w:rtl w:val="true"/>
        </w:rPr>
        <w:t>צריך לתת יותר מאחד בששים</w:t>
      </w:r>
      <w:r>
        <w:rPr>
          <w:rtl w:val="true"/>
        </w:rPr>
        <w:t>. (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 צ’ לכפול ע“ז</w:t>
      </w:r>
      <w:r>
        <w:rPr>
          <w:rtl w:val="true"/>
        </w:rPr>
        <w:t xml:space="preserve">, </w:t>
      </w:r>
      <w:r>
        <w:rPr>
          <w:rtl w:val="true"/>
        </w:rPr>
        <w:t>שנ’ שהוא שווה לגודל השדה</w:t>
      </w:r>
      <w:r>
        <w:rPr>
          <w:rtl w:val="true"/>
        </w:rPr>
        <w:t>.)</w:t>
      </w:r>
    </w:p>
  </w:footnote>
  <w:footnote w:id="3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פני משה מזכיר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שלש מהלכים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10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לפי ענותנותו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צדקתו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של בעל הבית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יתן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רוצה לתת יותר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יתן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עיין בהשלמות אות כ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0"/>
          <w:numId w:val="10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 xml:space="preserve">לפי ענותו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מלשון ענייה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של השדה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כמה נותן כפי מה שנותן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מחדש שלא רק נותן אחד מששים של הקרקע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נותן אחד מששים של הפירות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יש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אם חלק מן הקרקע עושה יותר</w:t>
      </w:r>
      <w:r>
        <w:rPr>
          <w:b w:val="false"/>
          <w:bCs w:val="false"/>
          <w:rtl w:val="true"/>
        </w:rPr>
        <w:t>.)</w:t>
      </w:r>
    </w:p>
    <w:p>
      <w:pPr>
        <w:pStyle w:val="Footnote"/>
        <w:numPr>
          <w:ilvl w:val="0"/>
          <w:numId w:val="10"/>
        </w:numPr>
        <w:bidi w:val="1"/>
        <w:jc w:val="left"/>
        <w:rPr/>
      </w:pPr>
      <w:r>
        <w:rPr>
          <w:b w:val="false"/>
          <w:b w:val="false"/>
          <w:bCs w:val="false"/>
          <w:rtl w:val="true"/>
        </w:rPr>
        <w:t>לפי ענבתו של הפירות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לפי גודל הפירות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לפי מנינו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שווה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לצד שני</w:t>
      </w:r>
      <w:r>
        <w:rPr>
          <w:b w:val="false"/>
          <w:bCs w:val="false"/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וצריך להוסיף שלצד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שנותן יותר מששים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צריך לתת כל כך לעניים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לא צריך לתת יותר ממה שעניים יכולים לקחת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וצריכים גמל</w:t>
      </w:r>
      <w:r>
        <w:rPr>
          <w:b w:val="false"/>
          <w:bCs w:val="false"/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</w:footnote>
  <w:footnote w:id="3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שיש שלש עניינים בחשבון פאה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1"/>
        </w:numPr>
        <w:bidi w:val="1"/>
        <w:jc w:val="left"/>
        <w:rPr/>
      </w:pPr>
      <w:r>
        <w:rPr>
          <w:rtl w:val="true"/>
        </w:rPr>
        <w:t>אחד מששים של קרקע</w:t>
      </w:r>
      <w:r>
        <w:rPr>
          <w:rtl w:val="true"/>
        </w:rPr>
        <w:t>. (</w:t>
      </w:r>
      <w:r>
        <w:rPr>
          <w:rtl w:val="true"/>
        </w:rPr>
        <w:t>זה לעלום פחות משלש</w:t>
      </w:r>
      <w:r>
        <w:rPr>
          <w:rtl w:val="true"/>
        </w:rPr>
        <w:t xml:space="preserve">, </w:t>
      </w:r>
      <w:r>
        <w:rPr>
          <w:rtl w:val="true"/>
        </w:rPr>
        <w:t>שצד זה אומר שיכול לתת לו איזה חלק בקרקע שרוצה</w:t>
      </w:r>
      <w:r>
        <w:rPr>
          <w:rtl w:val="true"/>
        </w:rPr>
        <w:t>. (</w:t>
      </w:r>
      <w:r>
        <w:rPr>
          <w:rtl w:val="true"/>
        </w:rPr>
        <w:t>עיין בהשלמות אות כג</w:t>
      </w:r>
      <w:r>
        <w:rPr>
          <w:rtl w:val="true"/>
        </w:rPr>
        <w:t>.)</w:t>
      </w:r>
    </w:p>
    <w:p>
      <w:pPr>
        <w:pStyle w:val="Footnote"/>
        <w:numPr>
          <w:ilvl w:val="0"/>
          <w:numId w:val="11"/>
        </w:numPr>
        <w:bidi w:val="1"/>
        <w:jc w:val="left"/>
        <w:rPr/>
      </w:pPr>
      <w:r>
        <w:rPr>
          <w:rtl w:val="true"/>
        </w:rPr>
        <w:t>חלק ראוי לעני</w:t>
      </w:r>
      <w:r>
        <w:rPr>
          <w:rtl w:val="true"/>
        </w:rPr>
        <w:t>.</w:t>
      </w:r>
    </w:p>
    <w:p>
      <w:pPr>
        <w:pStyle w:val="Footnote"/>
        <w:numPr>
          <w:ilvl w:val="0"/>
          <w:numId w:val="11"/>
        </w:numPr>
        <w:bidi w:val="1"/>
        <w:jc w:val="left"/>
        <w:rPr/>
      </w:pPr>
      <w:r>
        <w:rPr>
          <w:rtl w:val="true"/>
        </w:rPr>
        <w:t xml:space="preserve">אחד מששים בפירות </w:t>
      </w:r>
      <w:r>
        <w:rPr>
          <w:rtl w:val="true"/>
        </w:rPr>
        <w:t>(</w:t>
      </w:r>
      <w:r>
        <w:rPr>
          <w:rtl w:val="true"/>
        </w:rPr>
        <w:t>נניח עכשיו שלא כצד ראשון של פני משה</w:t>
      </w:r>
      <w:r>
        <w:rPr>
          <w:rtl w:val="true"/>
        </w:rPr>
        <w:t>.)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נותנים מה שהוא הכי גדול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מה שנותן לעני צריך גמל לקחת אותו</w:t>
      </w:r>
      <w:r>
        <w:rPr>
          <w:rtl w:val="true"/>
        </w:rPr>
        <w:t xml:space="preserve">, </w:t>
      </w:r>
      <w:r>
        <w:rPr>
          <w:rtl w:val="true"/>
        </w:rPr>
        <w:t>רק צריכים לתת כ</w:t>
      </w:r>
      <w:r>
        <w:rPr/>
        <w:t>1</w:t>
      </w:r>
      <w:r>
        <w:rPr>
          <w:rtl w:val="true"/>
        </w:rPr>
        <w:t xml:space="preserve"> (</w:t>
      </w:r>
      <w:r>
        <w:rPr>
          <w:rtl w:val="true"/>
        </w:rPr>
        <w:t>ושני נעשה ממילא</w:t>
      </w:r>
      <w:r>
        <w:rPr>
          <w:rtl w:val="true"/>
        </w:rPr>
        <w:t>).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רבי שמעון חולק על זה</w:t>
      </w:r>
      <w:r>
        <w:rPr>
          <w:rtl w:val="true"/>
        </w:rPr>
        <w:t xml:space="preserve">, </w:t>
      </w:r>
      <w:r>
        <w:rPr>
          <w:rtl w:val="true"/>
        </w:rPr>
        <w:t>וסובר שנותן הכי פחות</w:t>
      </w:r>
      <w:r>
        <w:rPr>
          <w:rtl w:val="true"/>
        </w:rPr>
        <w:t>. (</w:t>
      </w:r>
      <w:r>
        <w:rPr>
          <w:rtl w:val="true"/>
        </w:rPr>
        <w:t>עיין בהשלמות אות כא</w:t>
      </w:r>
      <w:r>
        <w:rPr>
          <w:rtl w:val="true"/>
        </w:rPr>
        <w:t>.) (</w:t>
      </w:r>
      <w:r>
        <w:rPr>
          <w:rtl w:val="true"/>
        </w:rPr>
        <w:t>עיין בהשלמות אות כב</w:t>
      </w:r>
      <w:r>
        <w:rPr>
          <w:rtl w:val="true"/>
        </w:rPr>
        <w:t>.)</w:t>
      </w:r>
    </w:p>
  </w:footnote>
  <w:footnote w:id="36">
    <w:p>
      <w:pPr>
        <w:pStyle w:val="Footnote"/>
        <w:bidi w:val="1"/>
        <w:jc w:val="lef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שיעור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דרבנן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של פאה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הוא מה שהוא הכי גדול מאחד מששים של פירות וצורך עני</w:t>
      </w:r>
      <w:r>
        <w:rPr>
          <w:b w:val="false"/>
          <w:bCs w:val="false"/>
          <w:rtl w:val="true"/>
        </w:rPr>
        <w:t>.</w:t>
      </w:r>
    </w:p>
  </w:footnote>
  <w:footnote w:id="37">
    <w:p>
      <w:pPr>
        <w:pStyle w:val="Footnote"/>
        <w:bidi w:val="1"/>
        <w:jc w:val="left"/>
        <w:rPr>
          <w:b/>
          <w:bCs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</w:rPr>
        <w:tab/>
        <w:t>משנה ג</w:t>
      </w:r>
    </w:p>
  </w:footnote>
  <w:footnote w:id="3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תחילה ואמצע הוא בסדר קצירתו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אומר שאם מניח וקוצר השאר</w:t>
      </w:r>
      <w:r>
        <w:rPr>
          <w:rtl w:val="true"/>
        </w:rPr>
        <w:t xml:space="preserve">, </w:t>
      </w:r>
      <w:r>
        <w:rPr>
          <w:rtl w:val="true"/>
        </w:rPr>
        <w:t>או אם קוצר ומניח וקוצר השאר</w:t>
      </w:r>
      <w:r>
        <w:rPr>
          <w:rtl w:val="true"/>
        </w:rPr>
        <w:t xml:space="preserve">, </w:t>
      </w:r>
      <w:r>
        <w:rPr>
          <w:rtl w:val="true"/>
        </w:rPr>
        <w:t>מה שמניח עולה לפאה</w:t>
      </w:r>
      <w:r>
        <w:rPr>
          <w:rtl w:val="true"/>
        </w:rPr>
        <w:t xml:space="preserve">. </w:t>
      </w:r>
      <w:r>
        <w:rPr>
          <w:rtl w:val="true"/>
        </w:rPr>
        <w:t xml:space="preserve">בציור שני </w:t>
      </w:r>
      <w:r>
        <w:rPr>
          <w:rtl w:val="true"/>
        </w:rPr>
        <w:t>(</w:t>
      </w:r>
      <w:r>
        <w:rPr>
          <w:rtl w:val="true"/>
        </w:rPr>
        <w:t>אמצע</w:t>
      </w:r>
      <w:r>
        <w:rPr>
          <w:rtl w:val="true"/>
        </w:rPr>
        <w:t xml:space="preserve">) </w:t>
      </w:r>
      <w:r>
        <w:rPr>
          <w:rtl w:val="true"/>
        </w:rPr>
        <w:t>יש עוד חידוש</w:t>
      </w:r>
      <w:r>
        <w:rPr>
          <w:rtl w:val="true"/>
        </w:rPr>
        <w:t xml:space="preserve">, </w:t>
      </w:r>
      <w:r>
        <w:rPr>
          <w:rtl w:val="true"/>
        </w:rPr>
        <w:t>והוא שלא צריך להיות הפאה בסוף שדהו</w:t>
      </w:r>
      <w:r>
        <w:rPr>
          <w:rtl w:val="true"/>
        </w:rPr>
        <w:t xml:space="preserve">, </w:t>
      </w:r>
      <w:r>
        <w:rPr>
          <w:rtl w:val="true"/>
        </w:rPr>
        <w:t>אלא באמצע שדהו</w:t>
      </w:r>
      <w:r>
        <w:rPr>
          <w:rtl w:val="true"/>
        </w:rPr>
        <w:t>. (</w:t>
      </w:r>
      <w:r>
        <w:rPr>
          <w:rtl w:val="true"/>
        </w:rPr>
        <w:t>עיין בהשלמות אות כד</w:t>
      </w:r>
      <w:r>
        <w:rPr>
          <w:rtl w:val="true"/>
        </w:rPr>
        <w:t>.)</w:t>
      </w:r>
    </w:p>
  </w:footnote>
  <w:footnote w:id="3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שדורש כן מקרא יתירה של ”לקצור</w:t>
      </w:r>
      <w:r>
        <w:rPr>
          <w:rtl w:val="true"/>
        </w:rPr>
        <w:t xml:space="preserve">,“ </w:t>
      </w:r>
      <w:r>
        <w:rPr>
          <w:rtl w:val="true"/>
        </w:rPr>
        <w:t>שמשמע שאף שיש לו מה שנשאר לקצור</w:t>
      </w:r>
      <w:r>
        <w:rPr>
          <w:rtl w:val="true"/>
        </w:rPr>
        <w:t xml:space="preserve">, </w:t>
      </w:r>
      <w:r>
        <w:rPr>
          <w:rtl w:val="true"/>
        </w:rPr>
        <w:t>יכול להניח פאה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</w:footnote>
  <w:footnote w:id="4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שהוא שיעור של מה שנקצץ לאחר שהניח פאה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רבי שמעון סובר שלעולם רק יכול להפריש על מה שכבר קצר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צריך להיות הפאה בסוף השדה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</w:footnote>
  <w:footnote w:id="4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דרש</w:t>
      </w:r>
      <w:r>
        <w:rPr>
          <w:rtl w:val="true"/>
        </w:rPr>
        <w:t xml:space="preserve">, </w:t>
      </w:r>
      <w:r>
        <w:rPr>
          <w:rtl w:val="true"/>
        </w:rPr>
        <w:t>כמו רבנן</w:t>
      </w:r>
      <w:r>
        <w:rPr>
          <w:rtl w:val="true"/>
        </w:rPr>
        <w:t xml:space="preserve">, </w:t>
      </w:r>
      <w:r>
        <w:rPr>
          <w:rtl w:val="true"/>
        </w:rPr>
        <w:t>ש“לקצור“ מגיד לנו שיכול להניח פאה אף אם נשאר לו קמה שצריך לקצור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סובר שצריך להשאיר עוד בסוף</w:t>
      </w:r>
      <w:r>
        <w:rPr>
          <w:rtl w:val="true"/>
        </w:rPr>
        <w:t>:</w:t>
      </w:r>
    </w:p>
    <w:p>
      <w:pPr>
        <w:pStyle w:val="Footnote"/>
        <w:numPr>
          <w:ilvl w:val="0"/>
          <w:numId w:val="12"/>
        </w:numPr>
        <w:bidi w:val="1"/>
        <w:jc w:val="left"/>
        <w:rPr/>
      </w:pPr>
      <w:r>
        <w:rPr>
          <w:rtl w:val="true"/>
        </w:rPr>
        <w:t>אולי מסברה רק דורש הקרא לומר שיכול להיות פאה על מה שבא לפניו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מקור שיכול להיות פאה על מה שבא לפניו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2"/>
        </w:numPr>
        <w:bidi w:val="1"/>
        <w:jc w:val="left"/>
        <w:rPr/>
      </w:pPr>
      <w:r>
        <w:rPr>
          <w:rtl w:val="true"/>
        </w:rPr>
        <w:t>אולי דורש כן ממה שכ’</w:t>
      </w:r>
      <w:r>
        <w:rPr>
          <w:rtl w:val="true"/>
        </w:rPr>
        <w:t>, ”</w:t>
      </w:r>
      <w:r>
        <w:rPr>
          <w:rtl w:val="true"/>
        </w:rPr>
        <w:t>לקצור“ עם ”בקצרכם“ בקרא</w:t>
      </w:r>
      <w:r>
        <w:rPr>
          <w:rtl w:val="true"/>
        </w:rPr>
        <w:t xml:space="preserve">, </w:t>
      </w:r>
      <w:r>
        <w:rPr>
          <w:rtl w:val="true"/>
        </w:rPr>
        <w:t>שמשמע שאף ש“לקצור“</w:t>
      </w:r>
      <w:r>
        <w:rPr>
          <w:rtl w:val="true"/>
        </w:rPr>
        <w:t xml:space="preserve">- </w:t>
      </w:r>
      <w:r>
        <w:rPr>
          <w:rtl w:val="true"/>
        </w:rPr>
        <w:t>שיש לו עוד לקצור בשעת הפרשה</w:t>
      </w:r>
      <w:r>
        <w:rPr>
          <w:rtl w:val="true"/>
        </w:rPr>
        <w:t xml:space="preserve">- </w:t>
      </w:r>
      <w:r>
        <w:rPr>
          <w:rtl w:val="true"/>
        </w:rPr>
        <w:t>צריך ”בקצרכם“</w:t>
      </w:r>
      <w:r>
        <w:rPr>
          <w:rtl w:val="true"/>
        </w:rPr>
        <w:t xml:space="preserve">- </w:t>
      </w:r>
      <w:r>
        <w:rPr>
          <w:rtl w:val="true"/>
        </w:rPr>
        <w:t>שכבר גמר קצירתו</w:t>
      </w:r>
      <w:r>
        <w:rPr>
          <w:rtl w:val="true"/>
        </w:rPr>
        <w:t>.</w:t>
      </w:r>
      <w:r>
        <w:rPr>
          <w:b w:val="false"/>
          <w:bCs w:val="false"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.)</w:t>
      </w:r>
    </w:p>
  </w:footnote>
  <w:footnote w:id="4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צריך להיות שהקלח נשאר מחובר או רק שנשאר בעולם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</w:footnote>
  <w:footnote w:id="4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מוכיח שלא צריך לשאר אותו בכוונה </w:t>
      </w:r>
      <w:r>
        <w:rPr>
          <w:rtl w:val="true"/>
        </w:rPr>
        <w:t>(</w:t>
      </w:r>
      <w:r>
        <w:rPr>
          <w:rtl w:val="true"/>
        </w:rPr>
        <w:t>שיהיה פאה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</w:footnote>
  <w:footnote w:id="4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פאה אינו מופקר לכל </w:t>
      </w:r>
      <w:r>
        <w:rPr>
          <w:rtl w:val="true"/>
        </w:rPr>
        <w:t>(</w:t>
      </w:r>
      <w:r>
        <w:rPr>
          <w:rtl w:val="true"/>
        </w:rPr>
        <w:t>שרק עניים</w:t>
      </w:r>
      <w:r>
        <w:rPr>
          <w:rtl w:val="true"/>
        </w:rPr>
        <w:t xml:space="preserve">, </w:t>
      </w:r>
      <w:r>
        <w:rPr>
          <w:rtl w:val="true"/>
        </w:rPr>
        <w:t>ולא עשירים</w:t>
      </w:r>
      <w:r>
        <w:rPr>
          <w:rtl w:val="true"/>
        </w:rPr>
        <w:t xml:space="preserve">, </w:t>
      </w:r>
      <w:r>
        <w:rPr>
          <w:rtl w:val="true"/>
        </w:rPr>
        <w:t>יכולים לקחת אותו</w:t>
      </w:r>
      <w:r>
        <w:rPr>
          <w:rtl w:val="true"/>
        </w:rPr>
        <w:t xml:space="preserve">). </w:t>
      </w:r>
      <w:r>
        <w:rPr>
          <w:rtl w:val="true"/>
        </w:rPr>
        <w:t>פאה גם פטור ממעשר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דבר אחר צריך להיות הפקר</w:t>
      </w:r>
      <w:r>
        <w:rPr>
          <w:rtl w:val="true"/>
        </w:rPr>
        <w:t xml:space="preserve">, </w:t>
      </w:r>
      <w:r>
        <w:rPr>
          <w:rtl w:val="true"/>
        </w:rPr>
        <w:t>שהוא הפקר לכל</w:t>
      </w:r>
      <w:r>
        <w:rPr>
          <w:rtl w:val="true"/>
        </w:rPr>
        <w:t xml:space="preserve">, </w:t>
      </w:r>
      <w:r>
        <w:rPr>
          <w:rtl w:val="true"/>
        </w:rPr>
        <w:t>להיות פטור מן המעשר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אומר שאם רוצה לפטור מן המעשרות</w:t>
      </w:r>
      <w:r>
        <w:rPr>
          <w:rtl w:val="true"/>
        </w:rPr>
        <w:t xml:space="preserve">, </w:t>
      </w:r>
      <w:r>
        <w:rPr>
          <w:rtl w:val="true"/>
        </w:rPr>
        <w:t>צריך להפקיר אותו</w:t>
      </w:r>
      <w:r>
        <w:rPr>
          <w:rtl w:val="true"/>
        </w:rPr>
        <w:t xml:space="preserve">, </w:t>
      </w:r>
      <w:r>
        <w:rPr>
          <w:rtl w:val="true"/>
        </w:rPr>
        <w:t>שלא נעשה פאה</w:t>
      </w:r>
      <w:r>
        <w:rPr>
          <w:rtl w:val="true"/>
        </w:rPr>
        <w:t>.</w:t>
      </w:r>
    </w:p>
  </w:footnote>
  <w:footnote w:id="4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סובר כצד שני שפירשנו בשיטת רבי שמעון</w:t>
      </w:r>
      <w:r>
        <w:rPr>
          <w:rtl w:val="true"/>
        </w:rPr>
        <w:t>.</w:t>
      </w:r>
    </w:p>
  </w:footnote>
  <w:footnote w:id="46">
    <w:p>
      <w:pPr>
        <w:pStyle w:val="Footnote"/>
        <w:snapToGrid w:val="false"/>
        <w:jc w:val="left"/>
        <w:rPr>
          <w:rFonts w:cs="Shofar"/>
          <w:b w:val="false"/>
          <w:bCs w:val="false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b/>
          <w:b/>
          <w:bCs/>
          <w:rtl w:val="true"/>
          <w:lang w:val="en-US" w:bidi="he-IL"/>
        </w:rPr>
        <w:t>ענין המשנה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: </w:t>
      </w:r>
      <w:r>
        <w:rPr>
          <w:b w:val="false"/>
          <w:b w:val="false"/>
          <w:bCs w:val="false"/>
          <w:rtl w:val="true"/>
          <w:lang w:val="en-US" w:bidi="he-IL"/>
        </w:rPr>
        <w:t>מתי ואיפה מפריש פאה</w:t>
      </w:r>
      <w:r>
        <w:rPr>
          <w:rFonts w:cs="Shofar"/>
          <w:b w:val="false"/>
          <w:bCs w:val="false"/>
          <w:rtl w:val="true"/>
          <w:lang w:val="en-US" w:bidi="he-IL"/>
        </w:rPr>
        <w:t>:</w:t>
      </w:r>
    </w:p>
    <w:p>
      <w:pPr>
        <w:pStyle w:val="Footnote"/>
        <w:snapToGrid w:val="false"/>
        <w:ind w:hanging="0"/>
        <w:jc w:val="lef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ת”ק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 xml:space="preserve">בכל זמן שרוצה ובכל מקום שרוצה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אלא אולי צריך להיות אותו מקום מחובר למה שקצר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Footnote"/>
        <w:snapToGrid w:val="false"/>
        <w:ind w:hanging="0"/>
        <w:jc w:val="lef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ר”ש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 </w:t>
      </w:r>
      <w:r>
        <w:rPr>
          <w:b w:val="false"/>
          <w:b w:val="false"/>
          <w:bCs w:val="false"/>
          <w:rtl w:val="true"/>
          <w:lang w:val="en-US" w:bidi="he-IL"/>
        </w:rPr>
        <w:t>בכל מקום שרוצה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רק אחר הקצירה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Footnote"/>
        <w:snapToGrid w:val="false"/>
        <w:ind w:hanging="0"/>
        <w:jc w:val="lef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ר”י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כת”ק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עם תנאי שיפריש קצת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חול’ אם צ”ל עוד מחובר כשמפריש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אחר הקצירה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</w:footnote>
  <w:footnote w:id="47">
    <w:p>
      <w:pPr>
        <w:pStyle w:val="Footnote"/>
        <w:snapToGrid w:val="false"/>
        <w:jc w:val="left"/>
        <w:rPr>
          <w:rFonts w:cs="Shofar"/>
          <w:b/>
          <w:bCs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b/>
          <w:b/>
          <w:bCs/>
          <w:rtl w:val="true"/>
          <w:lang w:bidi="he-IL"/>
        </w:rPr>
        <w:t>משנה</w:t>
      </w:r>
      <w:r>
        <w:rPr>
          <w:b/>
          <w:b/>
          <w:bCs/>
          <w:rtl w:val="true"/>
          <w:lang w:val="en-US" w:bidi="he-IL"/>
        </w:rPr>
        <w:t xml:space="preserve"> ד</w:t>
      </w:r>
    </w:p>
  </w:footnote>
  <w:footnote w:id="48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לא</w:t>
      </w:r>
      <w:r>
        <w:rPr>
          <w:rtl w:val="true"/>
          <w:lang w:val="en-US" w:bidi="he-IL"/>
        </w:rPr>
        <w:t xml:space="preserve"> אומר כלל גדול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כיון שרק אומר כן כשדין ששנוי נוהג ביותר מקומות מדין אחר שאומר עליו כלל</w:t>
      </w:r>
      <w:r>
        <w:rPr>
          <w:rFonts w:cs="Shofar"/>
          <w:rtl w:val="true"/>
          <w:lang w:val="en-US" w:bidi="he-IL"/>
        </w:rPr>
        <w:t>. (</w:t>
      </w:r>
      <w:r>
        <w:rPr>
          <w:rtl w:val="true"/>
          <w:lang w:val="en-US" w:bidi="he-IL"/>
        </w:rPr>
        <w:t>שבת סח</w:t>
      </w:r>
      <w:r>
        <w:rPr>
          <w:rFonts w:cs="Shofar"/>
          <w:rtl w:val="true"/>
          <w:lang w:val="en-US" w:bidi="he-IL"/>
        </w:rPr>
        <w:t>.)</w:t>
      </w:r>
    </w:p>
  </w:footnote>
  <w:footnote w:id="49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val="en-US" w:bidi="he-IL"/>
        </w:rPr>
        <w:t>ר</w:t>
      </w:r>
      <w:r>
        <w:rPr>
          <w:rFonts w:cs="Shofar"/>
          <w:rtl w:val="true"/>
          <w:lang w:val="en-US" w:bidi="he-IL"/>
        </w:rPr>
        <w:t>"</w:t>
      </w:r>
      <w:r>
        <w:rPr>
          <w:rtl w:val="true"/>
          <w:lang w:val="en-US" w:bidi="he-IL"/>
        </w:rPr>
        <w:t>ל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כלל דרשו רבנן מקרא</w:t>
      </w:r>
      <w:r>
        <w:rPr>
          <w:rFonts w:cs="Shofar"/>
          <w:rtl w:val="true"/>
          <w:lang w:val="en-US" w:bidi="he-IL"/>
        </w:rPr>
        <w:t>. (</w:t>
      </w:r>
      <w:r>
        <w:rPr>
          <w:rtl w:val="true"/>
          <w:lang w:val="en-US" w:bidi="he-IL"/>
        </w:rPr>
        <w:t>אומר לשון “אמרו” כיון שרבנן גילו שקרא אומר כן</w:t>
      </w:r>
      <w:r>
        <w:rPr>
          <w:rFonts w:cs="Shofar"/>
          <w:rtl w:val="true"/>
          <w:lang w:val="en-US" w:bidi="he-IL"/>
        </w:rPr>
        <w:t>.)</w:t>
      </w:r>
    </w:p>
  </w:footnote>
  <w:footnote w:id="50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val="en-US" w:bidi="he-IL"/>
        </w:rPr>
        <w:t>כלל זה יפרש מה חייב בפאה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לא יפרש רק איזה מינים חייב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 xml:space="preserve">אלא באיזה אופן יהיה המין </w:t>
      </w:r>
      <w:r>
        <w:rPr>
          <w:rFonts w:cs="Shofar"/>
          <w:rtl w:val="true"/>
          <w:lang w:val="en-US" w:bidi="he-IL"/>
        </w:rPr>
        <w:t>(</w:t>
      </w:r>
      <w:r>
        <w:rPr>
          <w:rtl w:val="true"/>
          <w:lang w:val="en-US" w:bidi="he-IL"/>
        </w:rPr>
        <w:t>של מי</w:t>
      </w:r>
      <w:r>
        <w:rPr>
          <w:rFonts w:cs="Shofar"/>
          <w:rtl w:val="true"/>
          <w:lang w:val="en-US" w:bidi="he-IL"/>
        </w:rPr>
        <w:t>).</w:t>
      </w:r>
    </w:p>
  </w:footnote>
  <w:footnote w:id="51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val="en-US" w:bidi="he-IL"/>
        </w:rPr>
        <w:t>דרכו להיות נאכל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ולא דבר שדרכו להיות נצבע</w:t>
      </w:r>
      <w:r>
        <w:rPr>
          <w:rFonts w:cs="Shofar"/>
          <w:rtl w:val="true"/>
          <w:lang w:val="en-US" w:bidi="he-IL"/>
        </w:rPr>
        <w:t>.</w:t>
      </w:r>
    </w:p>
  </w:footnote>
  <w:footnote w:id="52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val="en-US" w:bidi="he-IL"/>
        </w:rPr>
        <w:t>אינו הפקר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אלא הוא של אדם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והוא שומר אותו</w:t>
      </w:r>
      <w:r>
        <w:rPr>
          <w:rFonts w:cs="Shofar"/>
          <w:rtl w:val="true"/>
          <w:lang w:val="en-US" w:bidi="he-IL"/>
        </w:rPr>
        <w:t>. (</w:t>
      </w:r>
      <w:r>
        <w:rPr>
          <w:rtl w:val="true"/>
          <w:lang w:val="en-US" w:bidi="he-IL"/>
        </w:rPr>
        <w:t>ואם תאמר אילו היה הפקר מי היה חייב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וי”ל שהמפקיר היה חייב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גי”ל שמי שלקח אותו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אחר קצירה בידי הפקר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היה חייב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גי”ל שהיה אסור לעשיר לזכות מן ההפקר</w:t>
      </w:r>
      <w:r>
        <w:rPr>
          <w:rFonts w:cs="Shofar"/>
          <w:rtl w:val="true"/>
          <w:lang w:val="en-US" w:bidi="he-IL"/>
        </w:rPr>
        <w:t>.) (</w:t>
      </w:r>
      <w:r>
        <w:rPr>
          <w:rtl w:val="true"/>
          <w:lang w:val="en-US" w:bidi="he-IL"/>
        </w:rPr>
        <w:t>אבל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אין זה האופן היחידי שיכול להיות בו כדי להיות פטור מפאה</w:t>
      </w:r>
      <w:r>
        <w:rPr>
          <w:rFonts w:cs="Shofar"/>
          <w:rtl w:val="true"/>
          <w:lang w:val="en-US" w:bidi="he-IL"/>
        </w:rPr>
        <w:t xml:space="preserve">; </w:t>
      </w:r>
      <w:r>
        <w:rPr>
          <w:rtl w:val="true"/>
          <w:lang w:val="en-US" w:bidi="he-IL"/>
        </w:rPr>
        <w:t>גם אם הוא הקדש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פטור הוא מן הפאה</w:t>
      </w:r>
      <w:r>
        <w:rPr>
          <w:rFonts w:cs="Shofar"/>
          <w:rtl w:val="true"/>
          <w:lang w:val="en-US" w:bidi="he-IL"/>
        </w:rPr>
        <w:t>.)</w:t>
      </w:r>
    </w:p>
  </w:footnote>
  <w:footnote w:id="53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val="en-US" w:bidi="he-IL"/>
        </w:rPr>
        <w:t xml:space="preserve">מגמ’ בשבת </w:t>
      </w:r>
      <w:r>
        <w:rPr>
          <w:rFonts w:cs="Shofar"/>
          <w:rtl w:val="true"/>
          <w:lang w:val="en-US" w:bidi="he-IL"/>
        </w:rPr>
        <w:t>(</w:t>
      </w:r>
      <w:r>
        <w:rPr>
          <w:rtl w:val="true"/>
          <w:lang w:val="en-US" w:bidi="he-IL"/>
        </w:rPr>
        <w:t>סח</w:t>
      </w:r>
      <w:r>
        <w:rPr>
          <w:rFonts w:cs="Shofar"/>
          <w:rtl w:val="true"/>
          <w:lang w:val="en-US" w:bidi="he-IL"/>
        </w:rPr>
        <w:t xml:space="preserve">.) </w:t>
      </w:r>
      <w:r>
        <w:rPr>
          <w:rtl w:val="true"/>
          <w:lang w:val="en-US" w:bidi="he-IL"/>
        </w:rPr>
        <w:t>שאומר שזה ממעט כמיהים ופיטריות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 xml:space="preserve">בציורף גמ’ בברכות </w:t>
      </w:r>
      <w:r>
        <w:rPr>
          <w:rFonts w:cs="Shofar"/>
          <w:rtl w:val="true"/>
          <w:lang w:val="en-US" w:bidi="he-IL"/>
        </w:rPr>
        <w:t>(</w:t>
      </w:r>
      <w:r>
        <w:rPr>
          <w:rtl w:val="true"/>
          <w:lang w:val="en-US" w:bidi="he-IL"/>
        </w:rPr>
        <w:t>מ</w:t>
      </w:r>
      <w:r>
        <w:rPr>
          <w:rFonts w:cs="Shofar"/>
          <w:rtl w:val="true"/>
          <w:lang w:val="en-US" w:bidi="he-IL"/>
        </w:rPr>
        <w:t xml:space="preserve">:) </w:t>
      </w:r>
      <w:r>
        <w:rPr>
          <w:rtl w:val="true"/>
          <w:lang w:val="en-US" w:bidi="he-IL"/>
        </w:rPr>
        <w:t>שאומר שכמיהים ופטריות גדילים מן הארץ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ורק לא יונקים ממנו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צריך לומר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כמו שאומר גמ’ בברכות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שמשנה רצה לומר “יניקתו מן הארץ</w:t>
      </w:r>
      <w:r>
        <w:rPr>
          <w:rFonts w:cs="Shofar"/>
          <w:rtl w:val="true"/>
          <w:lang w:val="en-US" w:bidi="he-IL"/>
        </w:rPr>
        <w:t xml:space="preserve">,” </w:t>
      </w:r>
      <w:r>
        <w:rPr>
          <w:rtl w:val="true"/>
          <w:lang w:val="en-US" w:bidi="he-IL"/>
        </w:rPr>
        <w:t>ולא “גידולו מן הארץ</w:t>
      </w:r>
      <w:r>
        <w:rPr>
          <w:rFonts w:cs="Shofar"/>
          <w:rtl w:val="true"/>
          <w:lang w:val="en-US" w:bidi="he-IL"/>
        </w:rPr>
        <w:t>.”</w:t>
      </w:r>
    </w:p>
  </w:footnote>
  <w:footnote w:id="54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כל</w:t>
      </w:r>
      <w:r>
        <w:rPr>
          <w:rtl w:val="true"/>
          <w:lang w:val="en-US" w:bidi="he-IL"/>
        </w:rPr>
        <w:t xml:space="preserve"> הפירות נקלטים בזמן אחד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זה ממעט תאנה</w:t>
      </w:r>
      <w:r>
        <w:rPr>
          <w:rFonts w:cs="Shofar"/>
          <w:rtl w:val="true"/>
          <w:lang w:val="en-US" w:bidi="he-IL"/>
        </w:rPr>
        <w:t>.</w:t>
      </w:r>
    </w:p>
  </w:footnote>
  <w:footnote w:id="55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יכול</w:t>
      </w:r>
      <w:r>
        <w:rPr>
          <w:rtl w:val="true"/>
          <w:lang w:val="en-US" w:bidi="he-IL"/>
        </w:rPr>
        <w:t xml:space="preserve"> </w:t>
      </w:r>
      <w:r>
        <w:rPr>
          <w:rFonts w:cs="Shofar"/>
          <w:rtl w:val="true"/>
          <w:lang w:val="en-US" w:bidi="he-IL"/>
        </w:rPr>
        <w:t>(</w:t>
      </w:r>
      <w:r>
        <w:rPr>
          <w:rtl w:val="true"/>
          <w:lang w:val="en-US" w:bidi="he-IL"/>
        </w:rPr>
        <w:t>ודרכו הוא</w:t>
      </w:r>
      <w:r>
        <w:rPr>
          <w:rFonts w:cs="Shofar"/>
          <w:rtl w:val="true"/>
          <w:lang w:val="en-US" w:bidi="he-IL"/>
        </w:rPr>
        <w:t xml:space="preserve">) </w:t>
      </w:r>
      <w:r>
        <w:rPr>
          <w:rtl w:val="true"/>
          <w:lang w:val="en-US" w:bidi="he-IL"/>
        </w:rPr>
        <w:t>לעשות לו אפשרות לקיים לזמן רב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זה ממעט ירק</w:t>
      </w:r>
      <w:r>
        <w:rPr>
          <w:rFonts w:cs="Shofar"/>
          <w:rtl w:val="true"/>
          <w:lang w:val="en-US" w:bidi="he-IL"/>
        </w:rPr>
        <w:t>.</w:t>
      </w:r>
    </w:p>
  </w:footnote>
  <w:footnote w:id="56">
    <w:p>
      <w:pPr>
        <w:pStyle w:val="Footnote"/>
        <w:snapToGrid w:val="false"/>
        <w:jc w:val="left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val="en-US" w:bidi="he-IL"/>
        </w:rPr>
        <w:t>רצה לומר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הם אוכלים שיונקים מן הארץ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ולקיתם כאחד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ויכולים לקים לזמן רב</w:t>
      </w:r>
      <w:r>
        <w:rPr>
          <w:rFonts w:cs="Shofar"/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אז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אם הם במצב שהם נשמרים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חייב עליהם פאה</w:t>
      </w:r>
      <w:r>
        <w:rPr>
          <w:rFonts w:cs="Shofar"/>
          <w:rtl w:val="true"/>
          <w:lang w:val="en-US" w:bidi="he-IL"/>
        </w:rPr>
        <w:t>.</w:t>
      </w:r>
    </w:p>
  </w:footnote>
  <w:footnote w:id="57">
    <w:p>
      <w:pPr>
        <w:pStyle w:val="Footnote"/>
        <w:snapToGrid w:val="false"/>
        <w:jc w:val="left"/>
        <w:rPr>
          <w:rFonts w:cs="Shofar"/>
          <w:b/>
          <w:bCs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b/>
          <w:b/>
          <w:bCs/>
          <w:rtl w:val="true"/>
          <w:lang w:val="en-US" w:bidi="he-IL"/>
        </w:rPr>
        <w:t>ענין המשנה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Footnote"/>
        <w:snapToGrid w:val="false"/>
        <w:ind w:hanging="0"/>
        <w:jc w:val="lef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מה יש בו חיוב פאה</w:t>
      </w:r>
      <w:r>
        <w:rPr>
          <w:rFonts w:cs="Shofar"/>
          <w:b w:val="false"/>
          <w:bCs w:val="false"/>
          <w:rtl w:val="true"/>
          <w:lang w:val="en-US" w:bidi="he-IL"/>
        </w:rPr>
        <w:t>:</w:t>
      </w:r>
    </w:p>
    <w:p>
      <w:pPr>
        <w:pStyle w:val="Footnote"/>
        <w:snapToGrid w:val="false"/>
        <w:ind w:hanging="0"/>
        <w:jc w:val="lef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מין הפרי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צריך להיות אוכל שיונק מן הארץ שיכול לקיים לזמן אחד ונלקט כאחד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Footnote"/>
        <w:snapToGrid w:val="false"/>
        <w:ind w:hanging="0"/>
        <w:jc w:val="lef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אופן הפרי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צריך להיות של אדם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הפקר ולא של הקדש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val="bestFit" w:percent="149"/>
  <w:defaultTabStop w:val="709"/>
  <w:autoHyphenation w:val="true"/>
  <w:footnotePr>
    <w:numFmt w:val="decimal"/>
    <w:footnote w:id="0"/>
    <w:footnote w:id="1"/>
  </w:footnotePr>
  <w:compat>
    <w:doNotExpandShiftReturn/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 w:qFormat="1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 w:qFormat="1"/>
    <w:lsdException w:name="Table List 1" w:uiPriority="0" w:semiHidden="0" w:unhideWhenUsed="0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/>
    <w:lsdException w:name="Table List 7" w:uiPriority="0" w:semiHidden="0" w:unhideWhenUsed="0" w:qFormat="1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 w:qFormat="1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 w:qFormat="1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 w:qFormat="1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 w:qFormat="1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uiPriority w:val="0"/>
    <w:qFormat/>
    <w:pPr>
      <w:numPr>
        <w:ilvl w:val="0"/>
        <w:numId w:val="1"/>
      </w:numPr>
      <w:spacing w:before="240" w:after="120"/>
      <w:jc w:val="center"/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Heading"/>
    <w:next w:val="TextBody"/>
    <w:uiPriority w:val="0"/>
    <w:qFormat/>
    <w:pPr>
      <w:numPr>
        <w:ilvl w:val="1"/>
        <w:numId w:val="1"/>
      </w:numPr>
      <w:spacing w:before="200" w:after="120"/>
      <w:jc w:val="left"/>
      <w:outlineLvl w:val="1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EndnoteCharacters" w:customStyle="1">
    <w:name w:val="Endnote Characters"/>
    <w:uiPriority w:val="0"/>
    <w:qFormat/>
    <w:rPr/>
  </w:style>
  <w:style w:type="character" w:styleId="EndnoteAnchor">
    <w:name w:val="Endnote Reference"/>
    <w:rPr>
      <w:vertAlign w:val="superscript"/>
    </w:rPr>
  </w:style>
  <w:style w:type="character" w:styleId="FootnoteCharacters" w:customStyle="1">
    <w:name w:val="Footnote Characters"/>
    <w:uiPriority w:val="0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uiPriority w:val="0"/>
    <w:rPr>
      <w:color w:val="000080"/>
      <w:u w:val="single"/>
    </w:rPr>
  </w:style>
  <w:style w:type="character" w:styleId="Linenumber">
    <w:name w:val="line number"/>
    <w:uiPriority w:val="0"/>
    <w:qFormat/>
    <w:rPr/>
  </w:style>
  <w:style w:type="character" w:styleId="NumberingSymbols" w:customStyle="1">
    <w:name w:val="Numbering Symbols"/>
    <w:uiPriority w:val="0"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Shofar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Footnote">
    <w:name w:val="Footnote Text"/>
    <w:basedOn w:val="Normal"/>
    <w:uiPriority w:val="0"/>
    <w:qFormat/>
    <w:pPr>
      <w:suppressLineNumbers/>
      <w:bidi w:val="1"/>
      <w:ind w:hanging="346"/>
      <w:jc w:val="right"/>
    </w:pPr>
    <w:rPr>
      <w:rFonts w:ascii="Liberation Serif" w:hAnsi="Liberation Serif"/>
      <w:sz w:val="20"/>
      <w:szCs w:val="20"/>
    </w:rPr>
  </w:style>
  <w:style w:type="paragraph" w:styleId="HorizontalLine" w:customStyle="1">
    <w:name w:val="Horizontal Line"/>
    <w:basedOn w:val="Normal"/>
    <w:next w:val="TextBody"/>
    <w:uiPriority w:val="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1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5331</TotalTime>
  <Application>LibreOffice/7.5.3.2$Windows_X86_64 LibreOffice_project/9f56dff12ba03b9acd7730a5a481eea045e468f3</Application>
  <AppVersion>15.0000</AppVersion>
  <Pages>4</Pages>
  <Words>2515</Words>
  <Characters>10545</Characters>
  <CharactersWithSpaces>12910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2023-11-30T08:16:34Z</dcterms:created>
  <dc:creator>User</dc:creator>
  <dc:description/>
  <dc:language>en-US</dc:language>
  <cp:lastModifiedBy>שאול יואל הכהן חייט</cp:lastModifiedBy>
  <dcterms:modified xsi:type="dcterms:W3CDTF">2023-12-08T03:30:58Z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