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05A0" w14:textId="77777777" w:rsidR="00037F92" w:rsidRDefault="00000000">
      <w:pPr>
        <w:pStyle w:val="Heading1"/>
        <w:numPr>
          <w:ilvl w:val="0"/>
          <w:numId w:val="0"/>
        </w:numPr>
      </w:pPr>
      <w:r>
        <w:rPr>
          <w:rFonts w:ascii="Times New Roman" w:hAnsi="Times New Roman"/>
          <w:sz w:val="24"/>
          <w:rtl/>
        </w:rPr>
        <w:t>פרק ראשון</w:t>
      </w:r>
      <w:r>
        <w:rPr>
          <w:rStyle w:val="FootnoteReference"/>
          <w:rFonts w:ascii="Times New Roman" w:hAnsi="Times New Roman"/>
          <w:sz w:val="24"/>
          <w:rtl/>
        </w:rPr>
        <w:footnoteReference w:id="1"/>
      </w:r>
    </w:p>
    <w:p w14:paraId="3E549D79" w14:textId="77777777" w:rsidR="00037F92" w:rsidRDefault="00000000">
      <w:pPr>
        <w:pStyle w:val="Heading2"/>
      </w:pPr>
      <w:r>
        <w:rPr>
          <w:rtl/>
        </w:rPr>
        <w:t>משנה א</w:t>
      </w:r>
      <w:r>
        <w:rPr>
          <w:rStyle w:val="FootnoteReference"/>
          <w:rtl/>
        </w:rPr>
        <w:footnoteReference w:id="2"/>
      </w:r>
    </w:p>
    <w:p w14:paraId="4F29F656" w14:textId="77777777" w:rsidR="00037F92" w:rsidRDefault="00000000">
      <w:r>
        <w:rPr>
          <w:rStyle w:val="FootnoteReference"/>
          <w:rFonts w:ascii="Times New Roman" w:hAnsi="Times New Roman"/>
          <w:rtl/>
        </w:rPr>
        <w:footnoteReference w:id="3"/>
      </w:r>
      <w:r>
        <w:rPr>
          <w:rFonts w:ascii="Times New Roman" w:hAnsi="Times New Roman"/>
          <w:rtl/>
        </w:rPr>
        <w:t>הַקַּלִּין שֶׁבַּדְּמַאי</w:t>
      </w:r>
      <w:r>
        <w:rPr>
          <w:rStyle w:val="FootnoteReference"/>
          <w:rFonts w:ascii="Times New Roman" w:hAnsi="Times New Roman"/>
          <w:rtl/>
        </w:rPr>
        <w:footnoteReference w:id="4"/>
      </w:r>
      <w:r>
        <w:rPr>
          <w:rFonts w:ascii="Times New Roman" w:hAnsi="Times New Roman"/>
          <w:rtl/>
        </w:rPr>
        <w:t>, הַשִּׁיתִין</w:t>
      </w:r>
      <w:r>
        <w:rPr>
          <w:rStyle w:val="FootnoteReference"/>
          <w:rFonts w:ascii="Times New Roman" w:hAnsi="Times New Roman"/>
          <w:rtl/>
        </w:rPr>
        <w:footnoteReference w:id="5"/>
      </w:r>
      <w:r>
        <w:rPr>
          <w:rStyle w:val="FootnoteReference"/>
          <w:rFonts w:ascii="Times New Roman" w:hAnsi="Times New Roman"/>
          <w:rtl/>
        </w:rPr>
        <w:footnoteReference w:id="6"/>
      </w:r>
      <w:r>
        <w:rPr>
          <w:rFonts w:ascii="Times New Roman" w:hAnsi="Times New Roman"/>
          <w:rtl/>
        </w:rPr>
        <w:t>, וְהָרִימִין</w:t>
      </w:r>
      <w:r>
        <w:rPr>
          <w:rStyle w:val="FootnoteReference"/>
          <w:rFonts w:ascii="Times New Roman" w:hAnsi="Times New Roman"/>
          <w:rtl/>
        </w:rPr>
        <w:footnoteReference w:id="7"/>
      </w:r>
      <w:r>
        <w:rPr>
          <w:rFonts w:ascii="Times New Roman" w:hAnsi="Times New Roman"/>
          <w:rtl/>
        </w:rPr>
        <w:t xml:space="preserve"> וְהָעֻזְרָדִין</w:t>
      </w:r>
      <w:r>
        <w:rPr>
          <w:rStyle w:val="FootnoteReference"/>
          <w:rFonts w:ascii="Times New Roman" w:hAnsi="Times New Roman"/>
          <w:rtl/>
        </w:rPr>
        <w:footnoteReference w:id="8"/>
      </w:r>
      <w:r>
        <w:rPr>
          <w:rFonts w:ascii="Times New Roman" w:hAnsi="Times New Roman"/>
          <w:rtl/>
        </w:rPr>
        <w:t>, וּבְנוֹת שׁוּחַ</w:t>
      </w:r>
      <w:r>
        <w:rPr>
          <w:rStyle w:val="FootnoteReference"/>
          <w:rFonts w:ascii="Times New Roman" w:hAnsi="Times New Roman"/>
          <w:rtl/>
        </w:rPr>
        <w:footnoteReference w:id="9"/>
      </w:r>
      <w:r>
        <w:rPr>
          <w:rFonts w:ascii="Times New Roman" w:hAnsi="Times New Roman"/>
          <w:rtl/>
        </w:rPr>
        <w:t>, וּבְנוֹת שִׁקְמָה</w:t>
      </w:r>
      <w:r>
        <w:rPr>
          <w:rStyle w:val="FootnoteReference"/>
          <w:rFonts w:ascii="Times New Roman" w:hAnsi="Times New Roman"/>
          <w:rtl/>
        </w:rPr>
        <w:footnoteReference w:id="10"/>
      </w:r>
      <w:r>
        <w:rPr>
          <w:rFonts w:ascii="Times New Roman" w:hAnsi="Times New Roman"/>
          <w:rtl/>
        </w:rPr>
        <w:t>, וְנוֹבְלוֹת הַתְּמָרָה</w:t>
      </w:r>
      <w:r>
        <w:rPr>
          <w:rStyle w:val="FootnoteReference"/>
          <w:rFonts w:ascii="Times New Roman" w:hAnsi="Times New Roman"/>
          <w:rtl/>
        </w:rPr>
        <w:footnoteReference w:id="11"/>
      </w:r>
      <w:r>
        <w:rPr>
          <w:rStyle w:val="FootnoteReference"/>
          <w:rFonts w:ascii="Times New Roman" w:hAnsi="Times New Roman"/>
          <w:rtl/>
        </w:rPr>
        <w:footnoteReference w:id="12"/>
      </w:r>
      <w:r>
        <w:rPr>
          <w:rFonts w:ascii="Times New Roman" w:hAnsi="Times New Roman"/>
          <w:rtl/>
        </w:rPr>
        <w:t xml:space="preserve">, </w:t>
      </w:r>
      <w:r>
        <w:rPr>
          <w:rStyle w:val="FootnoteReference"/>
          <w:rFonts w:ascii="Times New Roman" w:hAnsi="Times New Roman"/>
          <w:rtl/>
        </w:rPr>
        <w:footnoteReference w:id="13"/>
      </w:r>
      <w:r>
        <w:rPr>
          <w:rFonts w:ascii="Times New Roman" w:hAnsi="Times New Roman"/>
          <w:rtl/>
        </w:rPr>
        <w:t>וְהַגֻּפְנִין</w:t>
      </w:r>
      <w:r>
        <w:rPr>
          <w:rStyle w:val="FootnoteReference"/>
          <w:rFonts w:ascii="Times New Roman" w:hAnsi="Times New Roman"/>
          <w:rtl/>
        </w:rPr>
        <w:footnoteReference w:id="14"/>
      </w:r>
      <w:r>
        <w:rPr>
          <w:rStyle w:val="FootnoteReference"/>
          <w:rFonts w:ascii="Times New Roman" w:hAnsi="Times New Roman"/>
          <w:rtl/>
        </w:rPr>
        <w:footnoteReference w:id="15"/>
      </w:r>
      <w:r>
        <w:rPr>
          <w:rFonts w:ascii="Times New Roman" w:hAnsi="Times New Roman"/>
          <w:rtl/>
        </w:rPr>
        <w:t>, וְהַנִּצְפָּה</w:t>
      </w:r>
      <w:r>
        <w:rPr>
          <w:rStyle w:val="FootnoteReference"/>
          <w:rFonts w:ascii="Times New Roman" w:hAnsi="Times New Roman"/>
          <w:rtl/>
        </w:rPr>
        <w:footnoteReference w:id="16"/>
      </w:r>
      <w:r>
        <w:rPr>
          <w:rFonts w:ascii="Times New Roman" w:hAnsi="Times New Roman"/>
          <w:rtl/>
        </w:rPr>
        <w:t>. וּבִיהוּדָה, הָאוֹג</w:t>
      </w:r>
      <w:r>
        <w:rPr>
          <w:rStyle w:val="FootnoteReference"/>
          <w:rFonts w:ascii="Times New Roman" w:hAnsi="Times New Roman"/>
          <w:rtl/>
        </w:rPr>
        <w:footnoteReference w:id="17"/>
      </w:r>
      <w:r>
        <w:rPr>
          <w:rFonts w:ascii="Times New Roman" w:hAnsi="Times New Roman"/>
          <w:rtl/>
        </w:rPr>
        <w:t>, וְהַחֹמֶץ שֶׁבִּיהוּדָה</w:t>
      </w:r>
      <w:r>
        <w:rPr>
          <w:rStyle w:val="FootnoteReference"/>
          <w:rFonts w:ascii="Times New Roman" w:hAnsi="Times New Roman"/>
          <w:rtl/>
        </w:rPr>
        <w:footnoteReference w:id="18"/>
      </w:r>
      <w:r>
        <w:rPr>
          <w:rFonts w:ascii="Times New Roman" w:hAnsi="Times New Roman"/>
          <w:rtl/>
        </w:rPr>
        <w:t>, וְהַכֻּסְבָּר</w:t>
      </w:r>
      <w:r>
        <w:rPr>
          <w:rStyle w:val="FootnoteReference"/>
          <w:rFonts w:ascii="Times New Roman" w:hAnsi="Times New Roman"/>
          <w:rtl/>
        </w:rPr>
        <w:footnoteReference w:id="19"/>
      </w:r>
      <w:r>
        <w:rPr>
          <w:rFonts w:ascii="Times New Roman" w:hAnsi="Times New Roman"/>
          <w:rtl/>
        </w:rPr>
        <w:t>. רַבִּי יְהוּדָה אוֹמֵר, כָּל הַשִּׁיתִין פְּטוּרִין, חוּץ מִשֶּׁל דּוּפְרָה</w:t>
      </w:r>
      <w:r>
        <w:rPr>
          <w:rStyle w:val="FootnoteReference"/>
          <w:rFonts w:ascii="Times New Roman" w:hAnsi="Times New Roman"/>
          <w:rtl/>
        </w:rPr>
        <w:footnoteReference w:id="20"/>
      </w:r>
      <w:r>
        <w:rPr>
          <w:rStyle w:val="FootnoteReference"/>
          <w:rFonts w:ascii="Times New Roman" w:hAnsi="Times New Roman"/>
          <w:rtl/>
        </w:rPr>
        <w:footnoteReference w:id="21"/>
      </w:r>
      <w:r>
        <w:rPr>
          <w:rFonts w:ascii="Times New Roman" w:hAnsi="Times New Roman"/>
          <w:rtl/>
        </w:rPr>
        <w:t>. כָּל הָרִימִין פְּטוּרִין, חוּץ מֵרִימֵי שִׁקְמוֹנָה. כָּל בְּנוֹת שִׁקְמָה פְּטוּרוֹת, חוּץ מִן הַמֻּסְטָפוֹס:</w:t>
      </w:r>
      <w:r>
        <w:rPr>
          <w:rStyle w:val="FootnoteReference"/>
          <w:rFonts w:ascii="Times New Roman" w:hAnsi="Times New Roman"/>
          <w:rtl/>
        </w:rPr>
        <w:footnoteReference w:id="22"/>
      </w:r>
      <w:r>
        <w:rPr>
          <w:rFonts w:ascii="Times New Roman" w:hAnsi="Times New Roman"/>
          <w:rtl/>
        </w:rPr>
        <w:t xml:space="preserve"> </w:t>
      </w:r>
    </w:p>
    <w:p w14:paraId="17DC10BE" w14:textId="77777777" w:rsidR="00037F92" w:rsidRDefault="00000000">
      <w:pPr>
        <w:pStyle w:val="Heading2"/>
      </w:pPr>
      <w:r>
        <w:rPr>
          <w:rtl/>
        </w:rPr>
        <w:lastRenderedPageBreak/>
        <w:t>משנה ב</w:t>
      </w:r>
      <w:r>
        <w:rPr>
          <w:rStyle w:val="FootnoteReference"/>
          <w:rtl/>
        </w:rPr>
        <w:footnoteReference w:id="23"/>
      </w:r>
    </w:p>
    <w:p w14:paraId="707B1825" w14:textId="77777777" w:rsidR="00037F92" w:rsidRDefault="00000000">
      <w:r>
        <w:rPr>
          <w:rStyle w:val="FootnoteReference"/>
          <w:rFonts w:ascii="Times New Roman" w:hAnsi="Times New Roman"/>
          <w:rtl/>
        </w:rPr>
        <w:footnoteReference w:id="24"/>
      </w:r>
      <w:r>
        <w:rPr>
          <w:rFonts w:ascii="Times New Roman" w:hAnsi="Times New Roman"/>
          <w:rtl/>
        </w:rPr>
        <w:t>הַדְּמַאי</w:t>
      </w:r>
      <w:r>
        <w:rPr>
          <w:rStyle w:val="FootnoteReference"/>
          <w:rFonts w:ascii="Times New Roman" w:hAnsi="Times New Roman"/>
          <w:rtl/>
        </w:rPr>
        <w:footnoteReference w:id="25"/>
      </w:r>
      <w:r>
        <w:rPr>
          <w:rFonts w:ascii="Times New Roman" w:hAnsi="Times New Roman"/>
          <w:rtl/>
        </w:rPr>
        <w:t xml:space="preserve"> אֵין לוֹ חֹמֶשׁ</w:t>
      </w:r>
      <w:r>
        <w:rPr>
          <w:rStyle w:val="FootnoteReference"/>
          <w:rFonts w:ascii="Times New Roman" w:hAnsi="Times New Roman"/>
          <w:rtl/>
          <w:lang w:bidi="he-IL"/>
        </w:rPr>
        <w:footnoteReference w:id="26"/>
      </w:r>
      <w:r>
        <w:rPr>
          <w:rFonts w:ascii="Times New Roman" w:hAnsi="Times New Roman"/>
          <w:rtl/>
        </w:rPr>
        <w:t>, וְאֵין לוֹ בִעוּר</w:t>
      </w:r>
      <w:r>
        <w:rPr>
          <w:rStyle w:val="FootnoteReference"/>
          <w:rFonts w:ascii="Times New Roman" w:hAnsi="Times New Roman"/>
          <w:rtl/>
        </w:rPr>
        <w:footnoteReference w:id="27"/>
      </w:r>
      <w:r>
        <w:rPr>
          <w:rFonts w:ascii="Times New Roman" w:hAnsi="Times New Roman"/>
          <w:rtl/>
        </w:rPr>
        <w:t>, וְנֶאֱכָל לְאוֹנֵן</w:t>
      </w:r>
      <w:r>
        <w:rPr>
          <w:rStyle w:val="FootnoteReference"/>
          <w:rFonts w:ascii="Times New Roman" w:hAnsi="Times New Roman"/>
          <w:rtl/>
        </w:rPr>
        <w:footnoteReference w:id="28"/>
      </w:r>
      <w:r>
        <w:rPr>
          <w:rStyle w:val="FootnoteReference"/>
          <w:rFonts w:ascii="Times New Roman" w:hAnsi="Times New Roman"/>
          <w:rtl/>
        </w:rPr>
        <w:footnoteReference w:id="29"/>
      </w:r>
      <w:r>
        <w:rPr>
          <w:rFonts w:ascii="Times New Roman" w:hAnsi="Times New Roman"/>
          <w:rtl/>
        </w:rPr>
        <w:t>, וְנִכְנָס לִירוּשָׁלַיִם וְיוֹצֵא</w:t>
      </w:r>
      <w:r>
        <w:rPr>
          <w:rStyle w:val="FootnoteReference"/>
          <w:rFonts w:ascii="Times New Roman" w:hAnsi="Times New Roman"/>
          <w:rtl/>
        </w:rPr>
        <w:footnoteReference w:id="30"/>
      </w:r>
      <w:r>
        <w:rPr>
          <w:rFonts w:ascii="Times New Roman" w:hAnsi="Times New Roman"/>
          <w:rtl/>
        </w:rPr>
        <w:t>, וּמְאַבְּדִין אֶת מִעוּטוֹ</w:t>
      </w:r>
      <w:r>
        <w:rPr>
          <w:rStyle w:val="FootnoteReference"/>
          <w:rFonts w:ascii="Times New Roman" w:hAnsi="Times New Roman"/>
          <w:rtl/>
        </w:rPr>
        <w:footnoteReference w:id="31"/>
      </w:r>
      <w:r>
        <w:rPr>
          <w:rFonts w:ascii="Times New Roman" w:hAnsi="Times New Roman"/>
          <w:rtl/>
        </w:rPr>
        <w:t xml:space="preserve"> בַּדְּרָכִים</w:t>
      </w:r>
      <w:r>
        <w:rPr>
          <w:rStyle w:val="FootnoteReference"/>
          <w:rFonts w:ascii="Times New Roman" w:hAnsi="Times New Roman"/>
          <w:rtl/>
        </w:rPr>
        <w:footnoteReference w:id="32"/>
      </w:r>
      <w:r>
        <w:rPr>
          <w:rStyle w:val="FootnoteReference"/>
          <w:rFonts w:ascii="Times New Roman" w:hAnsi="Times New Roman"/>
          <w:rtl/>
        </w:rPr>
        <w:footnoteReference w:id="33"/>
      </w:r>
      <w:r>
        <w:rPr>
          <w:rFonts w:ascii="Times New Roman" w:hAnsi="Times New Roman"/>
          <w:rtl/>
        </w:rPr>
        <w:t>, וְנוֹתְנוֹ לְעַם הָאָרֶץ, וְיֹאכַל כְּנֶגְדּוֹ</w:t>
      </w:r>
      <w:r>
        <w:rPr>
          <w:rStyle w:val="FootnoteReference"/>
          <w:rFonts w:ascii="Times New Roman" w:hAnsi="Times New Roman"/>
          <w:rtl/>
        </w:rPr>
        <w:footnoteReference w:id="34"/>
      </w:r>
      <w:r>
        <w:rPr>
          <w:rFonts w:ascii="Times New Roman" w:hAnsi="Times New Roman"/>
          <w:rtl/>
        </w:rPr>
        <w:t>. וּמְחַלְּלִים אוֹתוֹ כֶּסֶף עַל כֶּסֶף, נְחֹשֶׁת עַל נְחשֶׁת, כֶּסֶף עַל נְחֹשֶׁת</w:t>
      </w:r>
      <w:r>
        <w:rPr>
          <w:rStyle w:val="FootnoteReference"/>
          <w:rFonts w:ascii="Times New Roman" w:hAnsi="Times New Roman"/>
          <w:rtl/>
        </w:rPr>
        <w:footnoteReference w:id="35"/>
      </w:r>
      <w:r>
        <w:rPr>
          <w:rFonts w:ascii="Times New Roman" w:hAnsi="Times New Roman"/>
          <w:rtl/>
        </w:rPr>
        <w:t>, וּנְחֹשֶׁת עַל הַפֵּרוֹת, וּבִלְבַד שֶׁיַּחֲזֹר וְיִפְדֶּה אֶת הַפֵּרוֹת</w:t>
      </w:r>
      <w:r>
        <w:rPr>
          <w:rStyle w:val="FootnoteReference"/>
          <w:rFonts w:ascii="Times New Roman" w:hAnsi="Times New Roman"/>
          <w:rtl/>
        </w:rPr>
        <w:footnoteReference w:id="36"/>
      </w:r>
      <w:r>
        <w:rPr>
          <w:rFonts w:ascii="Times New Roman" w:hAnsi="Times New Roman"/>
          <w:rtl/>
        </w:rPr>
        <w:t>, דִּבְרֵי רַבִּי מֵאִיר. וַחֲכָמִים אוֹמְרִים, יַעֲלֶה הַפֵּרוֹת וְיֵאָכְלוּ בִירוּשָׁלָיִם</w:t>
      </w:r>
      <w:r>
        <w:rPr>
          <w:rStyle w:val="FootnoteReference"/>
          <w:rFonts w:ascii="Times New Roman" w:hAnsi="Times New Roman"/>
          <w:rtl/>
        </w:rPr>
        <w:footnoteReference w:id="37"/>
      </w:r>
      <w:r>
        <w:rPr>
          <w:rFonts w:ascii="Times New Roman" w:hAnsi="Times New Roman"/>
          <w:rtl/>
        </w:rPr>
        <w:t xml:space="preserve">: </w:t>
      </w:r>
    </w:p>
    <w:p w14:paraId="3D5A3C73" w14:textId="77777777" w:rsidR="00037F92" w:rsidRDefault="00000000">
      <w:pPr>
        <w:pStyle w:val="Heading2"/>
      </w:pPr>
      <w:r>
        <w:rPr>
          <w:rtl/>
        </w:rPr>
        <w:t>משנה ג</w:t>
      </w:r>
      <w:r>
        <w:rPr>
          <w:rStyle w:val="FootnoteReference"/>
          <w:rtl/>
        </w:rPr>
        <w:footnoteReference w:id="38"/>
      </w:r>
    </w:p>
    <w:p w14:paraId="49CDEF1A" w14:textId="77777777" w:rsidR="00037F92" w:rsidRDefault="00000000">
      <w:pPr>
        <w:rPr>
          <w:lang w:bidi="he-IL"/>
        </w:rPr>
      </w:pPr>
      <w:r>
        <w:rPr>
          <w:rFonts w:ascii="Times New Roman" w:hAnsi="Times New Roman"/>
          <w:rtl/>
          <w:lang w:bidi="he-IL"/>
        </w:rPr>
        <w:t>הַלּוֹקֵחַ לְזֶרַע</w:t>
      </w:r>
      <w:r>
        <w:rPr>
          <w:rStyle w:val="FootnoteReference"/>
          <w:rFonts w:ascii="Times New Roman" w:hAnsi="Times New Roman"/>
          <w:rtl/>
          <w:lang w:bidi="he-IL"/>
        </w:rPr>
        <w:footnoteReference w:id="39"/>
      </w:r>
      <w:r>
        <w:rPr>
          <w:rFonts w:ascii="Times New Roman" w:hAnsi="Times New Roman"/>
          <w:rtl/>
          <w:lang w:bidi="he-IL"/>
        </w:rPr>
        <w:t xml:space="preserve"> וְלִבְהֵמָה</w:t>
      </w:r>
      <w:r>
        <w:rPr>
          <w:rStyle w:val="FootnoteReference"/>
          <w:rFonts w:ascii="Times New Roman" w:hAnsi="Times New Roman"/>
          <w:rtl/>
          <w:lang w:bidi="he-IL"/>
        </w:rPr>
        <w:footnoteReference w:id="40"/>
      </w:r>
      <w:r>
        <w:rPr>
          <w:rFonts w:ascii="Times New Roman" w:hAnsi="Times New Roman"/>
          <w:rtl/>
          <w:lang w:bidi="he-IL"/>
        </w:rPr>
        <w:t>, קֶמַח לְעוֹרוֹת</w:t>
      </w:r>
      <w:r>
        <w:rPr>
          <w:rStyle w:val="FootnoteReference"/>
          <w:rFonts w:ascii="Times New Roman" w:hAnsi="Times New Roman"/>
          <w:rtl/>
          <w:lang w:bidi="he-IL"/>
        </w:rPr>
        <w:footnoteReference w:id="41"/>
      </w:r>
      <w:r>
        <w:rPr>
          <w:rFonts w:ascii="Times New Roman" w:hAnsi="Times New Roman"/>
          <w:rtl/>
          <w:lang w:bidi="he-IL"/>
        </w:rPr>
        <w:t>, שֶׁמֶן לְנֵר, שֶׁמֶן לָסוּךְ בּוֹ אֶת הַכֵּלִים, פָּטוּר מִן הַדְּמַאי</w:t>
      </w:r>
      <w:r>
        <w:rPr>
          <w:rStyle w:val="FootnoteReference"/>
          <w:rFonts w:ascii="Times New Roman" w:hAnsi="Times New Roman"/>
          <w:rtl/>
          <w:lang w:bidi="he-IL"/>
        </w:rPr>
        <w:footnoteReference w:id="42"/>
      </w:r>
      <w:r>
        <w:rPr>
          <w:rFonts w:ascii="Times New Roman" w:hAnsi="Times New Roman"/>
          <w:rtl/>
          <w:lang w:bidi="he-IL"/>
        </w:rPr>
        <w:t>. מִכְּזִיב וּלְהַלָּן</w:t>
      </w:r>
      <w:r>
        <w:rPr>
          <w:rStyle w:val="FootnoteReference"/>
          <w:rFonts w:ascii="Times New Roman" w:hAnsi="Times New Roman"/>
          <w:rtl/>
          <w:lang w:bidi="he-IL"/>
        </w:rPr>
        <w:footnoteReference w:id="43"/>
      </w:r>
      <w:r>
        <w:rPr>
          <w:rFonts w:ascii="Times New Roman" w:hAnsi="Times New Roman"/>
          <w:rtl/>
          <w:lang w:bidi="he-IL"/>
        </w:rPr>
        <w:t>, פָּטוּר</w:t>
      </w:r>
      <w:r>
        <w:rPr>
          <w:rStyle w:val="FootnoteReference"/>
          <w:rFonts w:ascii="Times New Roman" w:hAnsi="Times New Roman"/>
          <w:rtl/>
          <w:lang w:bidi="he-IL"/>
        </w:rPr>
        <w:footnoteReference w:id="44"/>
      </w:r>
      <w:r>
        <w:rPr>
          <w:rFonts w:ascii="Times New Roman" w:hAnsi="Times New Roman"/>
          <w:rtl/>
          <w:lang w:bidi="he-IL"/>
        </w:rPr>
        <w:t xml:space="preserve"> מִן הַדְּמַאי</w:t>
      </w:r>
      <w:r>
        <w:rPr>
          <w:rStyle w:val="FootnoteReference"/>
          <w:rFonts w:ascii="Times New Roman" w:hAnsi="Times New Roman"/>
          <w:rtl/>
          <w:lang w:bidi="he-IL"/>
        </w:rPr>
        <w:footnoteReference w:id="45"/>
      </w:r>
      <w:r>
        <w:rPr>
          <w:rFonts w:ascii="Times New Roman" w:hAnsi="Times New Roman"/>
          <w:rtl/>
          <w:lang w:bidi="he-IL"/>
        </w:rPr>
        <w:t>. חַלַּת עַם הָאָרֶץ, וְהַמְדֻמָּע</w:t>
      </w:r>
      <w:r>
        <w:rPr>
          <w:rStyle w:val="FootnoteReference"/>
          <w:rFonts w:ascii="Times New Roman" w:hAnsi="Times New Roman"/>
          <w:rtl/>
          <w:lang w:bidi="he-IL"/>
        </w:rPr>
        <w:footnoteReference w:id="46"/>
      </w:r>
      <w:r>
        <w:rPr>
          <w:rStyle w:val="FootnoteReference"/>
          <w:rFonts w:ascii="Times New Roman" w:hAnsi="Times New Roman"/>
          <w:rtl/>
          <w:lang w:bidi="he-IL"/>
        </w:rPr>
        <w:footnoteReference w:id="47"/>
      </w:r>
      <w:r>
        <w:rPr>
          <w:rFonts w:ascii="Times New Roman" w:hAnsi="Times New Roman"/>
          <w:rtl/>
          <w:lang w:bidi="he-IL"/>
        </w:rPr>
        <w:t>, וְהַלָּקוּחַ בְּכֶסֶף מַעֲשֵׂר שֵׁנִי, וּשְׁיָרֵי הַמְּנָחוֹת, פְּטוּרִין מִן הַדְּמַאי</w:t>
      </w:r>
      <w:r>
        <w:rPr>
          <w:rStyle w:val="FootnoteReference"/>
          <w:rFonts w:ascii="Times New Roman" w:hAnsi="Times New Roman"/>
          <w:rtl/>
          <w:lang w:bidi="he-IL"/>
        </w:rPr>
        <w:footnoteReference w:id="48"/>
      </w:r>
      <w:r>
        <w:rPr>
          <w:rStyle w:val="FootnoteReference"/>
          <w:rFonts w:ascii="Times New Roman" w:hAnsi="Times New Roman"/>
          <w:rtl/>
          <w:lang w:bidi="he-IL"/>
        </w:rPr>
        <w:footnoteReference w:id="49"/>
      </w:r>
      <w:r>
        <w:rPr>
          <w:rFonts w:ascii="Times New Roman" w:hAnsi="Times New Roman"/>
          <w:rtl/>
          <w:lang w:bidi="he-IL"/>
        </w:rPr>
        <w:t>. שֶׁמֶן עָרֵב</w:t>
      </w:r>
      <w:r>
        <w:rPr>
          <w:rStyle w:val="FootnoteReference"/>
          <w:rFonts w:ascii="Times New Roman" w:hAnsi="Times New Roman"/>
          <w:rtl/>
          <w:lang w:bidi="he-IL"/>
        </w:rPr>
        <w:footnoteReference w:id="50"/>
      </w:r>
      <w:r>
        <w:rPr>
          <w:rFonts w:ascii="Times New Roman" w:hAnsi="Times New Roman"/>
          <w:rtl/>
          <w:lang w:bidi="he-IL"/>
        </w:rPr>
        <w:t>, בֵּית שַׁמַּאי מְחַיְּבִין, וּבֵית הִלֵּל פּוֹטְרִין:</w:t>
      </w:r>
    </w:p>
    <w:p w14:paraId="7C5AA4CA" w14:textId="77777777" w:rsidR="00037F92" w:rsidRDefault="00000000" w:rsidP="00A301F7">
      <w:pPr>
        <w:pStyle w:val="Heading2"/>
      </w:pPr>
      <w:r>
        <w:rPr>
          <w:rtl/>
        </w:rPr>
        <w:lastRenderedPageBreak/>
        <w:t>משנה ד</w:t>
      </w:r>
      <w:r>
        <w:rPr>
          <w:rStyle w:val="FootnoteReference"/>
          <w:rFonts w:ascii="Times New Roman" w:hAnsi="Times New Roman"/>
          <w:sz w:val="24"/>
          <w:rtl/>
        </w:rPr>
        <w:footnoteReference w:id="51"/>
      </w:r>
    </w:p>
    <w:p w14:paraId="3C70CC40" w14:textId="77777777" w:rsidR="00037F92" w:rsidRDefault="00000000">
      <w:pPr>
        <w:rPr>
          <w:lang w:bidi="he-IL"/>
        </w:rPr>
      </w:pPr>
      <w:r>
        <w:rPr>
          <w:rFonts w:ascii="Times New Roman" w:hAnsi="Times New Roman"/>
          <w:rtl/>
          <w:lang w:bidi="he-IL"/>
        </w:rPr>
        <w:t>הַדְּמַאי, מְעָרְבִין בּוֹ, וּמִשְׁתַּתְּפִין בּוֹ, וּמְבָרְכִין עָלָיו, וּמְזַמְּנִין עָלָיו</w:t>
      </w:r>
      <w:r>
        <w:rPr>
          <w:rStyle w:val="FootnoteReference"/>
          <w:rFonts w:ascii="Times New Roman" w:hAnsi="Times New Roman"/>
          <w:rtl/>
          <w:lang w:bidi="he-IL"/>
        </w:rPr>
        <w:footnoteReference w:id="52"/>
      </w:r>
      <w:r>
        <w:rPr>
          <w:rFonts w:ascii="Times New Roman" w:hAnsi="Times New Roman"/>
          <w:rtl/>
          <w:lang w:bidi="he-IL"/>
        </w:rPr>
        <w:t>, וּמַפְרִישִׁין אוֹתוֹ עָרוֹם</w:t>
      </w:r>
      <w:r>
        <w:rPr>
          <w:rStyle w:val="FootnoteReference"/>
          <w:rFonts w:ascii="Times New Roman" w:hAnsi="Times New Roman"/>
          <w:rtl/>
          <w:lang w:bidi="he-IL"/>
        </w:rPr>
        <w:footnoteReference w:id="53"/>
      </w:r>
      <w:r>
        <w:rPr>
          <w:rStyle w:val="FootnoteReference"/>
          <w:rFonts w:ascii="Times New Roman" w:hAnsi="Times New Roman"/>
          <w:rtl/>
          <w:lang w:bidi="he-IL"/>
        </w:rPr>
        <w:footnoteReference w:id="54"/>
      </w:r>
      <w:r>
        <w:rPr>
          <w:rFonts w:ascii="Times New Roman" w:hAnsi="Times New Roman"/>
          <w:rtl/>
          <w:lang w:bidi="he-IL"/>
        </w:rPr>
        <w:t>, בֵּין הַשְּׁמָשׁוֹת</w:t>
      </w:r>
      <w:r>
        <w:rPr>
          <w:rStyle w:val="FootnoteReference"/>
          <w:rFonts w:ascii="Times New Roman" w:hAnsi="Times New Roman"/>
          <w:rtl/>
          <w:lang w:bidi="he-IL"/>
        </w:rPr>
        <w:footnoteReference w:id="55"/>
      </w:r>
      <w:r>
        <w:rPr>
          <w:rFonts w:ascii="Times New Roman" w:hAnsi="Times New Roman"/>
          <w:rtl/>
          <w:lang w:bidi="he-IL"/>
        </w:rPr>
        <w:t>. הָא אִם הִקְדִּים מַעֲשֵׂר שֵׁנִי לָרִאשׁוֹן</w:t>
      </w:r>
      <w:r>
        <w:rPr>
          <w:rStyle w:val="FootnoteReference"/>
          <w:rFonts w:ascii="Times New Roman" w:hAnsi="Times New Roman"/>
          <w:rtl/>
          <w:lang w:bidi="he-IL"/>
        </w:rPr>
        <w:footnoteReference w:id="56"/>
      </w:r>
      <w:r>
        <w:rPr>
          <w:rFonts w:ascii="Times New Roman" w:hAnsi="Times New Roman"/>
          <w:rtl/>
          <w:lang w:bidi="he-IL"/>
        </w:rPr>
        <w:t>, אֵין בְּכָךְ כְּלוּם</w:t>
      </w:r>
      <w:r>
        <w:rPr>
          <w:rStyle w:val="FootnoteReference"/>
          <w:rFonts w:ascii="Times New Roman" w:hAnsi="Times New Roman"/>
          <w:rtl/>
          <w:lang w:bidi="he-IL"/>
        </w:rPr>
        <w:footnoteReference w:id="57"/>
      </w:r>
      <w:r>
        <w:rPr>
          <w:rStyle w:val="FootnoteReference"/>
          <w:rFonts w:ascii="Times New Roman" w:hAnsi="Times New Roman"/>
          <w:rtl/>
          <w:lang w:bidi="he-IL"/>
        </w:rPr>
        <w:footnoteReference w:id="58"/>
      </w:r>
      <w:r>
        <w:rPr>
          <w:rStyle w:val="FootnoteReference"/>
          <w:rFonts w:ascii="Times New Roman" w:hAnsi="Times New Roman"/>
          <w:rtl/>
          <w:lang w:bidi="he-IL"/>
        </w:rPr>
        <w:footnoteReference w:id="59"/>
      </w:r>
      <w:r>
        <w:rPr>
          <w:rFonts w:ascii="Times New Roman" w:hAnsi="Times New Roman"/>
          <w:rtl/>
          <w:lang w:bidi="he-IL"/>
        </w:rPr>
        <w:t>. שֶׁמֶן שֶׁהַגַּרְדִּי סָךְ בְּאֶצְבְּעוֹתָיו, חַיָּב בִּדְּמַאי. וְשֶׁהַסּוֹרֵק נוֹתֵן בַּצֶּמֶר, פָּטוּר מִן הַדְּמָאי</w:t>
      </w:r>
      <w:r>
        <w:rPr>
          <w:rStyle w:val="FootnoteReference"/>
          <w:rFonts w:ascii="Times New Roman" w:hAnsi="Times New Roman"/>
          <w:rtl/>
          <w:lang w:bidi="he-IL"/>
        </w:rPr>
        <w:footnoteReference w:id="60"/>
      </w:r>
      <w:r>
        <w:rPr>
          <w:rFonts w:ascii="Times New Roman" w:hAnsi="Times New Roman"/>
          <w:rtl/>
          <w:lang w:bidi="he-IL"/>
        </w:rPr>
        <w:t xml:space="preserve">: </w:t>
      </w:r>
    </w:p>
    <w:p w14:paraId="4E587842" w14:textId="77777777" w:rsidR="00037F92" w:rsidRDefault="00000000" w:rsidP="00A301F7">
      <w:pPr>
        <w:pStyle w:val="Heading1"/>
      </w:pPr>
      <w:r>
        <w:rPr>
          <w:rtl/>
        </w:rPr>
        <w:t>פרק שני</w:t>
      </w:r>
      <w:r>
        <w:rPr>
          <w:rStyle w:val="FootnoteReference"/>
          <w:rFonts w:ascii="Times New Roman" w:hAnsi="Times New Roman"/>
          <w:sz w:val="24"/>
          <w:rtl/>
        </w:rPr>
        <w:footnoteReference w:id="61"/>
      </w:r>
    </w:p>
    <w:p w14:paraId="330A60FB" w14:textId="77777777" w:rsidR="00037F92" w:rsidRDefault="00000000" w:rsidP="00A301F7">
      <w:pPr>
        <w:pStyle w:val="Heading2"/>
      </w:pPr>
      <w:r>
        <w:rPr>
          <w:rtl/>
        </w:rPr>
        <w:t>משנה א</w:t>
      </w:r>
      <w:r>
        <w:rPr>
          <w:rStyle w:val="FootnoteReference"/>
          <w:rFonts w:ascii="Times New Roman" w:hAnsi="Times New Roman"/>
          <w:sz w:val="24"/>
          <w:rtl/>
        </w:rPr>
        <w:footnoteReference w:id="62"/>
      </w:r>
    </w:p>
    <w:p w14:paraId="30375154" w14:textId="77777777" w:rsidR="00037F92" w:rsidRDefault="00000000">
      <w:pPr>
        <w:rPr>
          <w:lang w:bidi="he-IL"/>
        </w:rPr>
      </w:pPr>
      <w:r>
        <w:rPr>
          <w:rFonts w:ascii="Times New Roman" w:hAnsi="Times New Roman"/>
          <w:rtl/>
          <w:lang w:bidi="he-IL"/>
        </w:rPr>
        <w:t>וְאֵלּוּ דְבָרִים מִתְעַשְּׂרִין דְּמַאי בְּכָל מָקוֹם</w:t>
      </w:r>
      <w:r>
        <w:rPr>
          <w:rStyle w:val="FootnoteReference"/>
          <w:rFonts w:ascii="Times New Roman" w:hAnsi="Times New Roman"/>
          <w:rtl/>
          <w:lang w:bidi="he-IL"/>
        </w:rPr>
        <w:footnoteReference w:id="63"/>
      </w:r>
      <w:r>
        <w:rPr>
          <w:rFonts w:ascii="Times New Roman" w:hAnsi="Times New Roman"/>
          <w:rtl/>
          <w:lang w:bidi="he-IL"/>
        </w:rPr>
        <w:t>. הַדְּבֵלָה</w:t>
      </w:r>
      <w:r>
        <w:rPr>
          <w:rStyle w:val="FootnoteReference"/>
          <w:rFonts w:ascii="Times New Roman" w:hAnsi="Times New Roman"/>
          <w:rtl/>
          <w:lang w:bidi="he-IL"/>
        </w:rPr>
        <w:footnoteReference w:id="64"/>
      </w:r>
      <w:r>
        <w:rPr>
          <w:rFonts w:ascii="Times New Roman" w:hAnsi="Times New Roman"/>
          <w:rtl/>
          <w:lang w:bidi="he-IL"/>
        </w:rPr>
        <w:t>, וְהַתְּמָרִים</w:t>
      </w:r>
      <w:r>
        <w:rPr>
          <w:rStyle w:val="FootnoteReference"/>
          <w:rFonts w:ascii="Times New Roman" w:hAnsi="Times New Roman"/>
          <w:rtl/>
          <w:lang w:bidi="he-IL"/>
        </w:rPr>
        <w:footnoteReference w:id="65"/>
      </w:r>
      <w:r>
        <w:rPr>
          <w:rFonts w:ascii="Times New Roman" w:hAnsi="Times New Roman"/>
          <w:rtl/>
          <w:lang w:bidi="he-IL"/>
        </w:rPr>
        <w:t>, וְהֶחָרוּבִים</w:t>
      </w:r>
      <w:r>
        <w:rPr>
          <w:rStyle w:val="FootnoteReference"/>
          <w:rFonts w:ascii="Times New Roman" w:hAnsi="Times New Roman"/>
          <w:rtl/>
          <w:lang w:bidi="he-IL"/>
        </w:rPr>
        <w:footnoteReference w:id="66"/>
      </w:r>
      <w:r>
        <w:rPr>
          <w:rFonts w:ascii="Times New Roman" w:hAnsi="Times New Roman"/>
          <w:rtl/>
          <w:lang w:bidi="he-IL"/>
        </w:rPr>
        <w:t>, הָאֹרֶז</w:t>
      </w:r>
      <w:r>
        <w:rPr>
          <w:rStyle w:val="FootnoteReference"/>
          <w:rFonts w:ascii="Times New Roman" w:hAnsi="Times New Roman"/>
          <w:rtl/>
          <w:lang w:bidi="he-IL"/>
        </w:rPr>
        <w:footnoteReference w:id="67"/>
      </w:r>
      <w:r>
        <w:rPr>
          <w:rFonts w:ascii="Times New Roman" w:hAnsi="Times New Roman"/>
          <w:rtl/>
          <w:lang w:bidi="he-IL"/>
        </w:rPr>
        <w:t>, וְהַכַּמּוֹן</w:t>
      </w:r>
      <w:r>
        <w:rPr>
          <w:rStyle w:val="FootnoteReference"/>
          <w:rFonts w:ascii="Times New Roman" w:hAnsi="Times New Roman"/>
          <w:rtl/>
          <w:lang w:bidi="he-IL"/>
        </w:rPr>
        <w:footnoteReference w:id="68"/>
      </w:r>
      <w:r>
        <w:rPr>
          <w:rFonts w:ascii="Times New Roman" w:hAnsi="Times New Roman"/>
          <w:rtl/>
          <w:lang w:bidi="he-IL"/>
        </w:rPr>
        <w:t>.</w:t>
      </w:r>
      <w:r>
        <w:rPr>
          <w:rStyle w:val="FootnoteReference"/>
          <w:rFonts w:ascii="Times New Roman" w:hAnsi="Times New Roman"/>
          <w:rtl/>
          <w:lang w:bidi="he-IL"/>
        </w:rPr>
        <w:footnoteReference w:id="69"/>
      </w:r>
      <w:r>
        <w:rPr>
          <w:rFonts w:ascii="Times New Roman" w:hAnsi="Times New Roman"/>
          <w:rtl/>
          <w:lang w:bidi="he-IL"/>
        </w:rPr>
        <w:t xml:space="preserve"> הָאֹרֶז שֶׁבְּחוּצָה לָאָרֶץ, כָּל הַמִּשְׁתַּמֵּשׁ מִמֶּנּוּ פָּטוּר</w:t>
      </w:r>
      <w:r>
        <w:rPr>
          <w:rStyle w:val="FootnoteReference"/>
          <w:rFonts w:ascii="Times New Roman" w:hAnsi="Times New Roman"/>
          <w:rtl/>
          <w:lang w:bidi="he-IL"/>
        </w:rPr>
        <w:footnoteReference w:id="70"/>
      </w:r>
      <w:r>
        <w:rPr>
          <w:rFonts w:ascii="Times New Roman" w:hAnsi="Times New Roman"/>
          <w:rtl/>
          <w:lang w:bidi="he-IL"/>
        </w:rPr>
        <w:t xml:space="preserve">: </w:t>
      </w:r>
    </w:p>
    <w:p w14:paraId="5537DCAE" w14:textId="77777777" w:rsidR="00037F92" w:rsidRDefault="00000000" w:rsidP="00A301F7">
      <w:pPr>
        <w:pStyle w:val="Heading2"/>
      </w:pPr>
      <w:r>
        <w:rPr>
          <w:rtl/>
        </w:rPr>
        <w:t>משנה ב</w:t>
      </w:r>
      <w:r>
        <w:rPr>
          <w:rStyle w:val="FootnoteReference"/>
          <w:rtl/>
        </w:rPr>
        <w:footnoteReference w:id="71"/>
      </w:r>
    </w:p>
    <w:p w14:paraId="3D85D48E" w14:textId="74470D6A" w:rsidR="00037F92" w:rsidRDefault="00BA6C2D" w:rsidP="00A301F7">
      <w:pPr>
        <w:rPr>
          <w:rtl/>
          <w:lang w:bidi="he-IL"/>
        </w:rPr>
      </w:pPr>
      <w:r>
        <w:rPr>
          <w:rStyle w:val="FootnoteReference"/>
          <w:rFonts w:ascii="Times New Roman" w:hAnsi="Times New Roman"/>
          <w:rtl/>
          <w:lang w:bidi="he-IL"/>
        </w:rPr>
        <w:footnoteReference w:id="72"/>
      </w:r>
      <w:r>
        <w:rPr>
          <w:rFonts w:ascii="Times New Roman" w:hAnsi="Times New Roman"/>
          <w:rtl/>
          <w:lang w:bidi="he-IL"/>
        </w:rPr>
        <w:t>הַמְקַבֵּל עָלָיו לִהְיוֹת נֶאֱמָן</w:t>
      </w:r>
      <w:r>
        <w:rPr>
          <w:rStyle w:val="FootnoteReference"/>
          <w:rFonts w:ascii="Times New Roman" w:hAnsi="Times New Roman"/>
          <w:rtl/>
          <w:lang w:bidi="he-IL"/>
        </w:rPr>
        <w:footnoteReference w:id="73"/>
      </w:r>
      <w:r>
        <w:rPr>
          <w:rFonts w:ascii="Times New Roman" w:hAnsi="Times New Roman"/>
          <w:rtl/>
          <w:lang w:bidi="he-IL"/>
        </w:rPr>
        <w:t>, מְעַשֵּׂר אֶת שֶׁהוּא אוֹכֵל, וְאֶת שֶׁהוּא מוֹכֵר, וְאֶת שֶׁהוּא לוֹקֵחַ</w:t>
      </w:r>
      <w:r>
        <w:rPr>
          <w:rStyle w:val="FootnoteReference"/>
          <w:rFonts w:ascii="Times New Roman" w:hAnsi="Times New Roman"/>
          <w:rtl/>
          <w:lang w:bidi="he-IL"/>
        </w:rPr>
        <w:footnoteReference w:id="74"/>
      </w:r>
      <w:r>
        <w:rPr>
          <w:rFonts w:ascii="Times New Roman" w:hAnsi="Times New Roman"/>
          <w:rtl/>
          <w:lang w:bidi="he-IL"/>
        </w:rPr>
        <w:t>, וְאֵינוֹ מִתְאָרֵחַ אֵצֶל עַם הָאָרֶץ</w:t>
      </w:r>
      <w:r w:rsidR="003C227A">
        <w:rPr>
          <w:rStyle w:val="FootnoteReference"/>
          <w:rFonts w:ascii="Times New Roman" w:hAnsi="Times New Roman"/>
          <w:rtl/>
          <w:lang w:bidi="he-IL"/>
        </w:rPr>
        <w:footnoteReference w:id="75"/>
      </w:r>
      <w:r w:rsidR="00EE29EE">
        <w:rPr>
          <w:rStyle w:val="FootnoteReference"/>
          <w:rFonts w:ascii="Times New Roman" w:hAnsi="Times New Roman"/>
          <w:rtl/>
          <w:lang w:bidi="he-IL"/>
        </w:rPr>
        <w:footnoteReference w:id="76"/>
      </w:r>
      <w:r>
        <w:rPr>
          <w:rFonts w:ascii="Times New Roman" w:hAnsi="Times New Roman"/>
          <w:rtl/>
          <w:lang w:bidi="he-IL"/>
        </w:rPr>
        <w:t>. רַבִּי יְהוּדָה אוֹמֵר, אַף הַמִּתְאָרֵחַ אֵצֶל עַם הָאָרֶץ נֶאֱמָן</w:t>
      </w:r>
      <w:r w:rsidR="00023733">
        <w:rPr>
          <w:rStyle w:val="FootnoteReference"/>
          <w:rFonts w:ascii="Times New Roman" w:hAnsi="Times New Roman"/>
          <w:rtl/>
          <w:lang w:bidi="he-IL"/>
        </w:rPr>
        <w:footnoteReference w:id="77"/>
      </w:r>
      <w:r>
        <w:rPr>
          <w:rFonts w:ascii="Times New Roman" w:hAnsi="Times New Roman"/>
          <w:rtl/>
          <w:lang w:bidi="he-IL"/>
        </w:rPr>
        <w:t xml:space="preserve">. אָמְרוּ לוֹ, עַל עַצְמוֹ אֵינוֹ נֶאֱמָן, כֵּיצַד יְהֵא נֶאֱמָן עַל שֶׁל אֲחֵרִים: </w:t>
      </w:r>
    </w:p>
    <w:p w14:paraId="5C4EA00D" w14:textId="6F05A551" w:rsidR="00037F92" w:rsidRDefault="00A301F7" w:rsidP="00A301F7">
      <w:pPr>
        <w:pStyle w:val="Heading2"/>
      </w:pPr>
      <w:r>
        <w:rPr>
          <w:rFonts w:hint="cs"/>
          <w:rtl/>
        </w:rPr>
        <w:lastRenderedPageBreak/>
        <w:t>משנה ג</w:t>
      </w:r>
      <w:r w:rsidR="00EA02E4">
        <w:rPr>
          <w:rStyle w:val="FootnoteReference"/>
          <w:rtl/>
        </w:rPr>
        <w:footnoteReference w:id="78"/>
      </w:r>
    </w:p>
    <w:p w14:paraId="4F5EF314" w14:textId="752FA96D" w:rsidR="00037F92" w:rsidRDefault="00991197">
      <w:pPr>
        <w:rPr>
          <w:lang w:bidi="he-IL"/>
        </w:rPr>
      </w:pPr>
      <w:r>
        <w:rPr>
          <w:rStyle w:val="FootnoteReference"/>
          <w:rFonts w:ascii="Times New Roman" w:hAnsi="Times New Roman"/>
          <w:rtl/>
          <w:lang w:bidi="he-IL"/>
        </w:rPr>
        <w:footnoteReference w:id="79"/>
      </w:r>
      <w:r>
        <w:rPr>
          <w:rFonts w:ascii="Times New Roman" w:hAnsi="Times New Roman"/>
          <w:rtl/>
          <w:lang w:bidi="he-IL"/>
        </w:rPr>
        <w:t>הַמְקַבֵּל עָלָיו לִהְיוֹת חָבֵר, אֵינוֹ מוֹכֵר לְעַם הָאָרֶץ לַח וְיָבֵשׁ</w:t>
      </w:r>
      <w:r w:rsidR="003A211D">
        <w:rPr>
          <w:rStyle w:val="FootnoteReference"/>
          <w:rFonts w:ascii="Times New Roman" w:hAnsi="Times New Roman"/>
          <w:rtl/>
          <w:lang w:bidi="he-IL"/>
        </w:rPr>
        <w:footnoteReference w:id="80"/>
      </w:r>
      <w:r>
        <w:rPr>
          <w:rFonts w:ascii="Times New Roman" w:hAnsi="Times New Roman"/>
          <w:rtl/>
          <w:lang w:bidi="he-IL"/>
        </w:rPr>
        <w:t>, וְאֵינוֹ לוֹקֵחַ מִמֶּנּוּ לַח</w:t>
      </w:r>
      <w:r w:rsidR="0064261B">
        <w:rPr>
          <w:rStyle w:val="FootnoteReference"/>
          <w:rFonts w:ascii="Times New Roman" w:hAnsi="Times New Roman"/>
          <w:rtl/>
          <w:lang w:bidi="he-IL"/>
        </w:rPr>
        <w:footnoteReference w:id="81"/>
      </w:r>
      <w:r>
        <w:rPr>
          <w:rFonts w:ascii="Times New Roman" w:hAnsi="Times New Roman"/>
          <w:rtl/>
          <w:lang w:bidi="he-IL"/>
        </w:rPr>
        <w:t>, וְאֵינוֹ מִתְאָרֵח אֵצֶל עַם הָאָרֶץ</w:t>
      </w:r>
      <w:r w:rsidR="004330FC">
        <w:rPr>
          <w:rStyle w:val="FootnoteReference"/>
          <w:rFonts w:ascii="Times New Roman" w:hAnsi="Times New Roman"/>
          <w:rtl/>
          <w:lang w:bidi="he-IL"/>
        </w:rPr>
        <w:footnoteReference w:id="82"/>
      </w:r>
      <w:r>
        <w:rPr>
          <w:rFonts w:ascii="Times New Roman" w:hAnsi="Times New Roman"/>
          <w:rtl/>
          <w:lang w:bidi="he-IL"/>
        </w:rPr>
        <w:t>, וְלֹא מְאָרְחוֹ אֶצְלוֹ בִּכְסוּתוֹ</w:t>
      </w:r>
      <w:r w:rsidR="003E0F95">
        <w:rPr>
          <w:rStyle w:val="FootnoteReference"/>
          <w:rFonts w:ascii="Times New Roman" w:hAnsi="Times New Roman"/>
          <w:rtl/>
          <w:lang w:bidi="he-IL"/>
        </w:rPr>
        <w:footnoteReference w:id="83"/>
      </w:r>
      <w:r>
        <w:rPr>
          <w:rFonts w:ascii="Times New Roman" w:hAnsi="Times New Roman"/>
          <w:rtl/>
          <w:lang w:bidi="he-IL"/>
        </w:rPr>
        <w:t>. רַבִּי יְהוּדָה</w:t>
      </w:r>
      <w:r w:rsidR="008003A3">
        <w:rPr>
          <w:rStyle w:val="FootnoteReference"/>
          <w:rFonts w:ascii="Times New Roman" w:hAnsi="Times New Roman"/>
          <w:rtl/>
          <w:lang w:bidi="he-IL"/>
        </w:rPr>
        <w:footnoteReference w:id="84"/>
      </w:r>
      <w:r>
        <w:rPr>
          <w:rFonts w:ascii="Times New Roman" w:hAnsi="Times New Roman"/>
          <w:rtl/>
          <w:lang w:bidi="he-IL"/>
        </w:rPr>
        <w:t xml:space="preserve"> אוֹמֵר</w:t>
      </w:r>
      <w:r w:rsidR="00A17B4A">
        <w:rPr>
          <w:rStyle w:val="FootnoteReference"/>
          <w:rFonts w:ascii="Times New Roman" w:hAnsi="Times New Roman"/>
          <w:rtl/>
          <w:lang w:bidi="he-IL"/>
        </w:rPr>
        <w:footnoteReference w:id="85"/>
      </w:r>
      <w:r>
        <w:rPr>
          <w:rFonts w:ascii="Times New Roman" w:hAnsi="Times New Roman"/>
          <w:rtl/>
          <w:lang w:bidi="he-IL"/>
        </w:rPr>
        <w:t>, אַף</w:t>
      </w:r>
      <w:r w:rsidR="00395B52">
        <w:rPr>
          <w:rStyle w:val="FootnoteReference"/>
          <w:rFonts w:ascii="Times New Roman" w:hAnsi="Times New Roman"/>
          <w:rtl/>
          <w:lang w:bidi="he-IL"/>
        </w:rPr>
        <w:footnoteReference w:id="86"/>
      </w:r>
      <w:r>
        <w:rPr>
          <w:rFonts w:ascii="Times New Roman" w:hAnsi="Times New Roman"/>
          <w:rtl/>
          <w:lang w:bidi="he-IL"/>
        </w:rPr>
        <w:t xml:space="preserve"> לֹא יְגַדֵּל בְּהֵמָה דַקָּה</w:t>
      </w:r>
      <w:r w:rsidR="00B638B8">
        <w:rPr>
          <w:rStyle w:val="FootnoteReference"/>
          <w:rFonts w:ascii="Times New Roman" w:hAnsi="Times New Roman"/>
          <w:rtl/>
          <w:lang w:bidi="he-IL"/>
        </w:rPr>
        <w:footnoteReference w:id="87"/>
      </w:r>
      <w:r>
        <w:rPr>
          <w:rFonts w:ascii="Times New Roman" w:hAnsi="Times New Roman"/>
          <w:rtl/>
          <w:lang w:bidi="he-IL"/>
        </w:rPr>
        <w:t>, וְלֹא יְהֵא פָרוּץ בִּנְדָרִים</w:t>
      </w:r>
      <w:r w:rsidR="00585242">
        <w:rPr>
          <w:rStyle w:val="FootnoteReference"/>
          <w:rFonts w:ascii="Times New Roman" w:hAnsi="Times New Roman"/>
          <w:rtl/>
          <w:lang w:bidi="he-IL"/>
        </w:rPr>
        <w:footnoteReference w:id="88"/>
      </w:r>
      <w:r>
        <w:rPr>
          <w:rFonts w:ascii="Times New Roman" w:hAnsi="Times New Roman"/>
          <w:rtl/>
          <w:lang w:bidi="he-IL"/>
        </w:rPr>
        <w:t xml:space="preserve"> וּבִשְׂחוֹק</w:t>
      </w:r>
      <w:r w:rsidR="00A661DA">
        <w:rPr>
          <w:rStyle w:val="FootnoteReference"/>
          <w:rFonts w:ascii="Times New Roman" w:hAnsi="Times New Roman"/>
          <w:rtl/>
          <w:lang w:bidi="he-IL"/>
        </w:rPr>
        <w:footnoteReference w:id="89"/>
      </w:r>
      <w:r w:rsidR="009E2FA9">
        <w:rPr>
          <w:rStyle w:val="FootnoteReference"/>
          <w:rFonts w:ascii="Times New Roman" w:hAnsi="Times New Roman"/>
          <w:rtl/>
          <w:lang w:bidi="he-IL"/>
        </w:rPr>
        <w:footnoteReference w:id="90"/>
      </w:r>
      <w:r>
        <w:rPr>
          <w:rFonts w:ascii="Times New Roman" w:hAnsi="Times New Roman"/>
          <w:rtl/>
          <w:lang w:bidi="he-IL"/>
        </w:rPr>
        <w:t>, וְלֹא יְהֵא מִטַּמֵּא לְמֵתִים</w:t>
      </w:r>
      <w:r w:rsidR="00E16C7E">
        <w:rPr>
          <w:rStyle w:val="FootnoteReference"/>
          <w:rFonts w:ascii="Times New Roman" w:hAnsi="Times New Roman"/>
          <w:rtl/>
          <w:lang w:bidi="he-IL"/>
        </w:rPr>
        <w:footnoteReference w:id="91"/>
      </w:r>
      <w:r>
        <w:rPr>
          <w:rFonts w:ascii="Times New Roman" w:hAnsi="Times New Roman"/>
          <w:rtl/>
          <w:lang w:bidi="he-IL"/>
        </w:rPr>
        <w:t>, וּמְשַׁמֵּשׁ בְּבֵית הַמִּדְרָשׁ</w:t>
      </w:r>
      <w:r w:rsidR="00F670BB">
        <w:rPr>
          <w:rStyle w:val="FootnoteReference"/>
          <w:rFonts w:ascii="Times New Roman" w:hAnsi="Times New Roman"/>
          <w:rtl/>
          <w:lang w:bidi="he-IL"/>
        </w:rPr>
        <w:footnoteReference w:id="92"/>
      </w:r>
      <w:r>
        <w:rPr>
          <w:rFonts w:ascii="Times New Roman" w:hAnsi="Times New Roman"/>
          <w:rtl/>
          <w:lang w:bidi="he-IL"/>
        </w:rPr>
        <w:t xml:space="preserve">. אָמְרוּ לוֹ, לֹא בָאוּ אֵלּוּ לַכְּלָל: </w:t>
      </w:r>
    </w:p>
    <w:p w14:paraId="08A036BD" w14:textId="3755D77B" w:rsidR="00037F92" w:rsidRPr="00A301F7" w:rsidRDefault="00A301F7" w:rsidP="00A301F7">
      <w:pPr>
        <w:pStyle w:val="Heading2"/>
      </w:pPr>
      <w:r>
        <w:rPr>
          <w:rFonts w:hint="cs"/>
          <w:rtl/>
        </w:rPr>
        <w:t>משנה ד</w:t>
      </w:r>
      <w:r w:rsidR="00E37D7F">
        <w:rPr>
          <w:rStyle w:val="FootnoteReference"/>
          <w:rtl/>
        </w:rPr>
        <w:footnoteReference w:id="93"/>
      </w:r>
    </w:p>
    <w:p w14:paraId="1F6F2B1A" w14:textId="3AC1C9AA" w:rsidR="00037F92" w:rsidRDefault="00000000">
      <w:pPr>
        <w:rPr>
          <w:lang w:bidi="he-IL"/>
        </w:rPr>
      </w:pPr>
      <w:r>
        <w:rPr>
          <w:rFonts w:ascii="Times New Roman" w:hAnsi="Times New Roman"/>
          <w:rtl/>
          <w:lang w:bidi="he-IL"/>
        </w:rPr>
        <w:t>הַנַּחְתּוֹמִים, לֹא חִיְּבוּ אוֹתָם חֲכָמִים לְהַפְרִישׁ אֶלָּא כְדֵי תְרוּמַת מַעֲשֵׂר וְחַלָּה</w:t>
      </w:r>
      <w:r w:rsidR="00D14160">
        <w:rPr>
          <w:rStyle w:val="FootnoteReference"/>
          <w:rFonts w:ascii="Times New Roman" w:hAnsi="Times New Roman"/>
          <w:rtl/>
          <w:lang w:bidi="he-IL"/>
        </w:rPr>
        <w:footnoteReference w:id="94"/>
      </w:r>
      <w:r>
        <w:rPr>
          <w:rFonts w:ascii="Times New Roman" w:hAnsi="Times New Roman"/>
          <w:rtl/>
          <w:lang w:bidi="he-IL"/>
        </w:rPr>
        <w:t>. הַחֶנְוָנִים אֵינָן רַשָּׁאִין לִמְכֹּר אֶת הַדְּמַאי</w:t>
      </w:r>
      <w:r w:rsidR="00211DE1">
        <w:rPr>
          <w:rStyle w:val="FootnoteReference"/>
          <w:rFonts w:ascii="Times New Roman" w:hAnsi="Times New Roman"/>
          <w:rtl/>
          <w:lang w:bidi="he-IL"/>
        </w:rPr>
        <w:footnoteReference w:id="95"/>
      </w:r>
      <w:r w:rsidR="00FE4ECC">
        <w:rPr>
          <w:rStyle w:val="FootnoteReference"/>
          <w:rFonts w:ascii="Times New Roman" w:hAnsi="Times New Roman"/>
          <w:rtl/>
          <w:lang w:bidi="he-IL"/>
        </w:rPr>
        <w:footnoteReference w:id="96"/>
      </w:r>
      <w:r>
        <w:rPr>
          <w:rFonts w:ascii="Times New Roman" w:hAnsi="Times New Roman"/>
          <w:rtl/>
          <w:lang w:bidi="he-IL"/>
        </w:rPr>
        <w:t>. כָּל הַמַּשְׁפִּיעִין בְּמִדָּה גַסָּה, רַשָּׁאִין לִמְכֹּר אֶת הַדְּמַאי</w:t>
      </w:r>
      <w:r w:rsidR="00AD4829">
        <w:rPr>
          <w:rStyle w:val="FootnoteReference"/>
          <w:rFonts w:ascii="Times New Roman" w:hAnsi="Times New Roman"/>
          <w:rtl/>
          <w:lang w:bidi="he-IL"/>
        </w:rPr>
        <w:footnoteReference w:id="97"/>
      </w:r>
      <w:r>
        <w:rPr>
          <w:rFonts w:ascii="Times New Roman" w:hAnsi="Times New Roman"/>
          <w:rtl/>
          <w:lang w:bidi="he-IL"/>
        </w:rPr>
        <w:t xml:space="preserve">. אֵלּוּ הֵן הַמַּשְׁפִּיעִין בְּמִדָּה גַסָּה, כְּגוֹן הַסִּיטוֹנוֹת וּמוֹכְרֵי תְבוּאָה: </w:t>
      </w:r>
    </w:p>
    <w:p w14:paraId="0D71FA7F" w14:textId="4E4EEBC9" w:rsidR="00037F92" w:rsidRDefault="00A301F7" w:rsidP="00A301F7">
      <w:pPr>
        <w:pStyle w:val="Heading2"/>
      </w:pPr>
      <w:r>
        <w:rPr>
          <w:rFonts w:hint="cs"/>
          <w:rtl/>
        </w:rPr>
        <w:t>משנה ה</w:t>
      </w:r>
      <w:r w:rsidR="0026419B">
        <w:rPr>
          <w:rStyle w:val="FootnoteReference"/>
          <w:rtl/>
        </w:rPr>
        <w:footnoteReference w:id="98"/>
      </w:r>
    </w:p>
    <w:p w14:paraId="567FC37E" w14:textId="237A0901" w:rsidR="00037F92" w:rsidRDefault="00000000" w:rsidP="003920DE">
      <w:pPr>
        <w:rPr>
          <w:rFonts w:ascii="Times New Roman" w:hAnsi="Times New Roman"/>
          <w:rtl/>
          <w:lang w:bidi="he-IL"/>
        </w:rPr>
      </w:pPr>
      <w:r>
        <w:rPr>
          <w:rFonts w:ascii="Times New Roman" w:hAnsi="Times New Roman"/>
          <w:rtl/>
          <w:lang w:bidi="he-IL"/>
        </w:rPr>
        <w:t>רַבִּי מֵאִיר אוֹמֵר, אֶת שֶׁדַּרְכּוֹ לְהִמָּדֵד בְּגַסָּה וּמְדָדוֹ בְדַקָּה, טְפֵלָה דַקָּה לַגַּסָּה. אֶת שֶׁדַּרְכּוֹ לְהִמָּדֵד בְּדַקָּה וּמָדַד בַּגַסָּה, טְפֵלָה גַסָּה לַדַּקָּה.</w:t>
      </w:r>
      <w:r w:rsidR="003F5BCE">
        <w:rPr>
          <w:rStyle w:val="FootnoteReference"/>
          <w:rFonts w:ascii="Times New Roman" w:hAnsi="Times New Roman"/>
          <w:rtl/>
          <w:lang w:bidi="he-IL"/>
        </w:rPr>
        <w:footnoteReference w:id="99"/>
      </w:r>
      <w:r>
        <w:rPr>
          <w:rFonts w:ascii="Times New Roman" w:hAnsi="Times New Roman"/>
          <w:rtl/>
          <w:lang w:bidi="he-IL"/>
        </w:rPr>
        <w:t xml:space="preserve"> אֵיזוֹ הִיא מִדָּה גַסָּה, בְּיָבֵשׁ, שְׁלשֶׁת קַבִּין</w:t>
      </w:r>
      <w:r w:rsidR="00505525">
        <w:rPr>
          <w:rStyle w:val="FootnoteReference"/>
          <w:rFonts w:ascii="Times New Roman" w:hAnsi="Times New Roman"/>
          <w:rtl/>
          <w:lang w:bidi="he-IL"/>
        </w:rPr>
        <w:footnoteReference w:id="100"/>
      </w:r>
      <w:r>
        <w:rPr>
          <w:rFonts w:ascii="Times New Roman" w:hAnsi="Times New Roman"/>
          <w:rtl/>
          <w:lang w:bidi="he-IL"/>
        </w:rPr>
        <w:t>, וּבְלַח, דִּינָר</w:t>
      </w:r>
      <w:r w:rsidR="00AB7EFA">
        <w:rPr>
          <w:rStyle w:val="FootnoteReference"/>
          <w:rFonts w:ascii="Times New Roman" w:hAnsi="Times New Roman"/>
          <w:rtl/>
          <w:lang w:bidi="he-IL"/>
        </w:rPr>
        <w:footnoteReference w:id="101"/>
      </w:r>
      <w:r>
        <w:rPr>
          <w:rFonts w:ascii="Times New Roman" w:hAnsi="Times New Roman"/>
          <w:rtl/>
          <w:lang w:bidi="he-IL"/>
        </w:rPr>
        <w:t>. רַבִּי יוֹסֵי אוֹמֵר, סַלֵּי תְאֵנִים וְסַלֵּי עֲנָבִים וְקֻפּוֹת שֶׁל יָרָק</w:t>
      </w:r>
      <w:r w:rsidR="00A00134">
        <w:rPr>
          <w:rStyle w:val="FootnoteReference"/>
          <w:rFonts w:ascii="Times New Roman" w:hAnsi="Times New Roman"/>
          <w:rtl/>
          <w:lang w:bidi="he-IL"/>
        </w:rPr>
        <w:footnoteReference w:id="102"/>
      </w:r>
      <w:r>
        <w:rPr>
          <w:rFonts w:ascii="Times New Roman" w:hAnsi="Times New Roman"/>
          <w:rtl/>
          <w:lang w:bidi="he-IL"/>
        </w:rPr>
        <w:t>, כָּל זְמַן שֶׁהוּא מוֹכְרָן אַכְסָרָה</w:t>
      </w:r>
      <w:r w:rsidR="00003F14">
        <w:rPr>
          <w:rStyle w:val="FootnoteReference"/>
          <w:rFonts w:ascii="Times New Roman" w:hAnsi="Times New Roman"/>
          <w:rtl/>
          <w:lang w:bidi="he-IL"/>
        </w:rPr>
        <w:footnoteReference w:id="103"/>
      </w:r>
      <w:r>
        <w:rPr>
          <w:rFonts w:ascii="Times New Roman" w:hAnsi="Times New Roman"/>
          <w:rtl/>
          <w:lang w:bidi="he-IL"/>
        </w:rPr>
        <w:t xml:space="preserve">, פָּטוּר: </w:t>
      </w:r>
    </w:p>
    <w:p w14:paraId="4CF9EAD5" w14:textId="52EB8B82" w:rsidR="00674812" w:rsidRDefault="00674812" w:rsidP="00674812">
      <w:pPr>
        <w:pStyle w:val="Heading1"/>
        <w:rPr>
          <w:rtl/>
        </w:rPr>
      </w:pPr>
      <w:r>
        <w:rPr>
          <w:rFonts w:hint="cs"/>
          <w:rtl/>
        </w:rPr>
        <w:lastRenderedPageBreak/>
        <w:t>פרק ג</w:t>
      </w:r>
    </w:p>
    <w:p w14:paraId="7934B3BF" w14:textId="0BFC715D" w:rsidR="00674812" w:rsidRDefault="00674812" w:rsidP="00674812">
      <w:pPr>
        <w:pStyle w:val="Heading2"/>
      </w:pPr>
      <w:r>
        <w:rPr>
          <w:rFonts w:hint="cs"/>
          <w:rtl/>
        </w:rPr>
        <w:t>משנה א</w:t>
      </w:r>
    </w:p>
    <w:p w14:paraId="054D100C" w14:textId="1935BE5B" w:rsidR="00037F92" w:rsidRDefault="00000000" w:rsidP="003920DE">
      <w:pPr>
        <w:rPr>
          <w:rFonts w:ascii="Times New Roman" w:hAnsi="Times New Roman"/>
          <w:rtl/>
          <w:lang w:bidi="he-IL"/>
        </w:rPr>
      </w:pPr>
      <w:r>
        <w:rPr>
          <w:rFonts w:ascii="Times New Roman" w:hAnsi="Times New Roman"/>
          <w:rtl/>
          <w:lang w:bidi="he-IL"/>
        </w:rPr>
        <w:t>מַאֲכִילִין</w:t>
      </w:r>
      <w:r w:rsidR="00D87066">
        <w:rPr>
          <w:rStyle w:val="FootnoteReference"/>
          <w:rFonts w:ascii="Times New Roman" w:hAnsi="Times New Roman"/>
          <w:rtl/>
          <w:lang w:bidi="he-IL"/>
        </w:rPr>
        <w:footnoteReference w:id="104"/>
      </w:r>
      <w:r>
        <w:rPr>
          <w:rFonts w:ascii="Times New Roman" w:hAnsi="Times New Roman"/>
          <w:rtl/>
          <w:lang w:bidi="he-IL"/>
        </w:rPr>
        <w:t xml:space="preserve"> אֶת הָעֲנִיִּים דְּמַאי</w:t>
      </w:r>
      <w:r w:rsidR="002D3139">
        <w:rPr>
          <w:rStyle w:val="FootnoteReference"/>
          <w:rFonts w:ascii="Times New Roman" w:hAnsi="Times New Roman"/>
          <w:rtl/>
          <w:lang w:bidi="he-IL"/>
        </w:rPr>
        <w:footnoteReference w:id="105"/>
      </w:r>
      <w:r>
        <w:rPr>
          <w:rFonts w:ascii="Times New Roman" w:hAnsi="Times New Roman"/>
          <w:rtl/>
          <w:lang w:bidi="he-IL"/>
        </w:rPr>
        <w:t>, וְאֶת הָאַכְסַנְיָא דְּמַאי</w:t>
      </w:r>
      <w:r w:rsidR="004B3F72">
        <w:rPr>
          <w:rStyle w:val="FootnoteReference"/>
          <w:rFonts w:ascii="Times New Roman" w:hAnsi="Times New Roman"/>
          <w:rtl/>
          <w:lang w:bidi="he-IL"/>
        </w:rPr>
        <w:footnoteReference w:id="106"/>
      </w:r>
      <w:r>
        <w:rPr>
          <w:rFonts w:ascii="Times New Roman" w:hAnsi="Times New Roman"/>
          <w:rtl/>
          <w:lang w:bidi="he-IL"/>
        </w:rPr>
        <w:t>.</w:t>
      </w:r>
      <w:r w:rsidR="00C25148">
        <w:rPr>
          <w:rStyle w:val="FootnoteReference"/>
          <w:rFonts w:ascii="Times New Roman" w:hAnsi="Times New Roman"/>
          <w:rtl/>
          <w:lang w:bidi="he-IL"/>
        </w:rPr>
        <w:footnoteReference w:id="107"/>
      </w:r>
      <w:r>
        <w:rPr>
          <w:rFonts w:ascii="Times New Roman" w:hAnsi="Times New Roman"/>
          <w:rtl/>
          <w:lang w:bidi="he-IL"/>
        </w:rPr>
        <w:t xml:space="preserve"> רַבָּן גַּמְלִיאֵל הָיָה מַאֲכִיל אֶת פּוֹעֲלָיו דְּמַאי</w:t>
      </w:r>
      <w:r w:rsidR="00A42824">
        <w:rPr>
          <w:rStyle w:val="FootnoteReference"/>
          <w:rFonts w:ascii="Times New Roman" w:hAnsi="Times New Roman"/>
          <w:rtl/>
          <w:lang w:bidi="he-IL"/>
        </w:rPr>
        <w:footnoteReference w:id="108"/>
      </w:r>
      <w:r w:rsidR="00E90B5C">
        <w:rPr>
          <w:rStyle w:val="FootnoteReference"/>
          <w:rFonts w:ascii="Times New Roman" w:hAnsi="Times New Roman"/>
          <w:rtl/>
          <w:lang w:bidi="he-IL"/>
        </w:rPr>
        <w:footnoteReference w:id="109"/>
      </w:r>
      <w:r w:rsidR="009B22D1">
        <w:rPr>
          <w:rStyle w:val="FootnoteReference"/>
          <w:rFonts w:ascii="Times New Roman" w:hAnsi="Times New Roman"/>
          <w:rtl/>
          <w:lang w:bidi="he-IL"/>
        </w:rPr>
        <w:footnoteReference w:id="110"/>
      </w:r>
      <w:r w:rsidR="00A55A33">
        <w:rPr>
          <w:rStyle w:val="FootnoteReference"/>
          <w:rFonts w:ascii="Times New Roman" w:hAnsi="Times New Roman"/>
          <w:rtl/>
          <w:lang w:bidi="he-IL"/>
        </w:rPr>
        <w:footnoteReference w:id="111"/>
      </w:r>
      <w:r>
        <w:rPr>
          <w:rFonts w:ascii="Times New Roman" w:hAnsi="Times New Roman"/>
          <w:rtl/>
          <w:lang w:bidi="he-IL"/>
        </w:rPr>
        <w:t>. גַּבָּאֵי צְדָקָה, בֵּית שַׁמַּאי אוֹמְרִים, נוֹתְנִין אֶת הַמְעֻשָּׂר לְשֶׁאֵינוֹ מְעַשֵּׂר, וְאֶת שֶׁאֵינוֹ מְעֻשָּׂר לִמְעַשֵּׂר. נִמְצְאוּ כָל הָאָדָם אוֹכְלִין מְתֻקָּן</w:t>
      </w:r>
      <w:r w:rsidR="00710A68">
        <w:rPr>
          <w:rStyle w:val="FootnoteReference"/>
          <w:rFonts w:ascii="Times New Roman" w:hAnsi="Times New Roman"/>
          <w:rtl/>
          <w:lang w:bidi="he-IL"/>
        </w:rPr>
        <w:footnoteReference w:id="112"/>
      </w:r>
      <w:r>
        <w:rPr>
          <w:rFonts w:ascii="Times New Roman" w:hAnsi="Times New Roman"/>
          <w:rtl/>
          <w:lang w:bidi="he-IL"/>
        </w:rPr>
        <w:t>. וַחֲכָמִים אוֹמְרִים, גּוֹבִין סְתָם וּמְחַלְּקִין סְתָם, וְהָרוֹצֶה לְתַקֵּן יְתַקֵּן</w:t>
      </w:r>
      <w:r w:rsidR="00275310">
        <w:rPr>
          <w:rStyle w:val="FootnoteReference"/>
          <w:rFonts w:ascii="Times New Roman" w:hAnsi="Times New Roman"/>
          <w:rtl/>
          <w:lang w:bidi="he-IL"/>
        </w:rPr>
        <w:footnoteReference w:id="113"/>
      </w:r>
      <w:r>
        <w:rPr>
          <w:rFonts w:ascii="Times New Roman" w:hAnsi="Times New Roman"/>
          <w:rtl/>
          <w:lang w:bidi="he-IL"/>
        </w:rPr>
        <w:t xml:space="preserve">: </w:t>
      </w:r>
    </w:p>
    <w:p w14:paraId="1DCDFD7D" w14:textId="77777777" w:rsidR="003920DE" w:rsidRDefault="003920DE" w:rsidP="003920DE">
      <w:pPr>
        <w:rPr>
          <w:lang w:bidi="he-IL"/>
        </w:rPr>
      </w:pPr>
    </w:p>
    <w:p w14:paraId="786D536E" w14:textId="77777777" w:rsidR="00037F92" w:rsidRDefault="00000000">
      <w:pPr>
        <w:rPr>
          <w:lang w:bidi="he-IL"/>
        </w:rPr>
      </w:pPr>
      <w:r>
        <w:rPr>
          <w:rFonts w:ascii="Times New Roman" w:hAnsi="Times New Roman"/>
          <w:rtl/>
          <w:lang w:bidi="he-IL"/>
        </w:rPr>
        <w:t>פרק ג - משנה ב</w:t>
      </w:r>
    </w:p>
    <w:p w14:paraId="15269036" w14:textId="77777777" w:rsidR="00037F92" w:rsidRDefault="00037F92">
      <w:pPr>
        <w:rPr>
          <w:lang w:bidi="he-IL"/>
        </w:rPr>
      </w:pPr>
    </w:p>
    <w:p w14:paraId="037714CE" w14:textId="77777777" w:rsidR="00037F92" w:rsidRDefault="00000000">
      <w:pPr>
        <w:rPr>
          <w:lang w:bidi="he-IL"/>
        </w:rPr>
      </w:pPr>
      <w:r>
        <w:rPr>
          <w:rFonts w:ascii="Times New Roman" w:hAnsi="Times New Roman"/>
          <w:rtl/>
          <w:lang w:bidi="he-IL"/>
        </w:rPr>
        <w:t xml:space="preserve">הָרוֹצֶה לַחֲזֹם עֲלֵי יָרָק לְהָקֵל מִמַּשָּׂאוֹ, לֹא יַשְׁלִיךְ עַד שֶׁיְּעַשֵּׂר. הַלּוֹקֵחַ יָרָק מִן הַשּׁוּק וְנִמְלַךְ {ה} לְהַחֲזִיר, לֹא יַחֲזִיר עַד שֶׁיְּעַשֵּׂר {ז}, שֶׁאֵינוֹ מְחֻסָּר אֶלָּא מִנְיָן. הָיָה עוֹמֵד וְלוֹקֵחַ וְרָאָה טֹעַן אַחֵר יָפֶה מִמֶּנּוּ, מֻתָּר לְהַחֲזִיר, מִפְּנֵי שֶׁלֹּא מָשָׁךְ: </w:t>
      </w:r>
    </w:p>
    <w:p w14:paraId="0A65C442" w14:textId="77777777" w:rsidR="00037F92" w:rsidRDefault="00037F92">
      <w:pPr>
        <w:rPr>
          <w:lang w:bidi="he-IL"/>
        </w:rPr>
      </w:pPr>
    </w:p>
    <w:p w14:paraId="7D26CBE6" w14:textId="77777777" w:rsidR="00037F92" w:rsidRDefault="00000000">
      <w:pPr>
        <w:rPr>
          <w:lang w:bidi="he-IL"/>
        </w:rPr>
      </w:pPr>
      <w:r>
        <w:br w:type="page"/>
      </w:r>
    </w:p>
    <w:p w14:paraId="54693209" w14:textId="77777777" w:rsidR="00037F92" w:rsidRDefault="00000000">
      <w:pPr>
        <w:pStyle w:val="Heading2"/>
      </w:pPr>
      <w:r>
        <w:rPr>
          <w:rtl/>
        </w:rPr>
        <w:lastRenderedPageBreak/>
        <w:t xml:space="preserve">א. </w:t>
      </w:r>
    </w:p>
    <w:p w14:paraId="62B16A4B" w14:textId="77777777" w:rsidR="00037F92" w:rsidRDefault="00000000">
      <w:r>
        <w:rPr>
          <w:rFonts w:ascii="Times New Roman" w:hAnsi="Times New Roman"/>
          <w:rtl/>
          <w:lang w:bidi="he-IL"/>
        </w:rPr>
        <w:t>נראה שלא קל למצוא ציור כזה, שיש וודאי שלא ניטל ממנו מעשר. אם אמר לו שלא ניטל מעשר ממנו, ישאל לו אם הפקיר אותו אם לא. אלא, צריך לומר שאי אפשר לדבר עמו. אז, קשה איך יידע שלא עישר. נראה שאפשר לומר שהוא הכהן היחידי (או יודע הכהן היחידי) באותו מקום, ולא קיבל ממנו. ותחשב.</w:t>
      </w:r>
    </w:p>
    <w:p w14:paraId="4B47B615" w14:textId="77777777" w:rsidR="00037F92" w:rsidRDefault="00000000">
      <w:r>
        <w:rPr>
          <w:rFonts w:ascii="Times New Roman" w:hAnsi="Times New Roman"/>
          <w:rtl/>
          <w:lang w:bidi="he-IL"/>
        </w:rPr>
        <w:t>ב.</w:t>
      </w:r>
    </w:p>
    <w:p w14:paraId="1921209E" w14:textId="77777777" w:rsidR="00037F92" w:rsidRDefault="00000000">
      <w:r>
        <w:rPr>
          <w:rFonts w:ascii="Times New Roman" w:hAnsi="Times New Roman"/>
          <w:rtl/>
          <w:lang w:bidi="he-IL"/>
        </w:rPr>
        <w:t>אין כל ענין זה כל כך פשוט, ואז אני אסכם את הגמ’, ואבאר את מסקנות שלי ממנו. משנה אומר דברים אלו שלא חשובים, ואז פטורים מדמאי. חולקים רבי יוחנן וריש לקיש אם גם פטורים ממעשר וודאי או רק פטורים מדמאי. גמ’ מנסה להביא ראיה לדברי רבי יוחנן ממשנה שאומר שדבר שרוב בני אדם שומרים אותו חייב במעשר. לכאו’, זה פשוט, וצריך לומר שמלמד לנו את ההפוך, והוא שאם לא שומרים אותו, פטור מן המעשר. לכאו’, פשוט שלא חייבים בדמאי, וצריך לומר שמכוון לפטור אותו ממעשר וודאי. (אז, לכאו’, צריך להיות שרק מדובר בדברים שנמנים במשנה שאין בני אדם מחשיבים, שלכן מונה אותם במשנה. ויש לדון, שיש לומר שרבי יוחנן סובר שאין חילוק בין הנמנים לשאר מינים, ורק נמנים כיון שבדר"כ לא שומרים אותם בני אדם; במילים אחרים, אולי גדר שאומר גמ’ (אם בני אדם שומרים אותו) הוא כוונת המשנה, ואין שום תלייה במין חוץ מתלייה באם שומרים אותו בני אדם. ותחשב.) דוחה גמ’ לפרש לפי ריש לקיש, ואומר שבא לדיוק שלו, לומר שפטור אדם מן הדמאי אם מחצה בני אדם שומרים אותו. מקשה גמ’ שמצאנו בריי’ שלא אומר כן. מת’ שיש חילוק בין המינים. מינים המנויים במשנה בדר"כ לא חשובים, ואף אם מחצה בני אדם שומרים אותם, פטור מן הדמאי. אבל, שאר מינים חייבים בדמאי אם מחצה בני אדם שומרים אותם. (נמצא בזה דבר חידוש. אף שנודע כמה בני אדם שומרים אותם, עדיין תלוי במין. ותחשב. יש לדון אם זה רק סימן לכמה בני אדם שומרים (והוא שאומר לנו שאף שנראה לנו שמחצה שומרים אותם, לא נכון הוא; דחוק לומר כן) או שהוא דבר חשוב בפני עצמו. ותחשב.) מצאנו, אז, חילוק בידן דמאי לפי ריש לקיש. לא נודע לנוו מה סובר רבי יוחנן. יש שלש צדדים. אפשר לומר שכל דבר פטור, אפשר לומר שכל דבר חייב, ואפשר לומר שמודה לריש לקיש. הרי, יש בריי’ שאומר שחייב בדמאי, ואז אי אפשר לומר שכל דבר פטור. צריך לומר כדצ שני או שלישי. מסתבר לומר כצד שני, שאין לו בריי’ המתגד לבריי’ המחייב. נמצא שיש דבר שבו רבי יוחנן מחמיר על ריש לקיש. ותחשב.</w:t>
      </w:r>
    </w:p>
    <w:p w14:paraId="26ED10D6" w14:textId="77777777" w:rsidR="00037F92" w:rsidRDefault="00000000">
      <w:r>
        <w:rPr>
          <w:rFonts w:ascii="Times New Roman" w:hAnsi="Times New Roman"/>
          <w:rtl/>
          <w:lang w:bidi="he-IL"/>
        </w:rPr>
        <w:t>ממשיך גמ’ לדון במקום שרוב גויים ומקום שרוב בני ישראל. נראה לי שגמ’ זה סובר שגויים פטורים מן המעשרות. אז, כוונת גמ’ לומר שאם רוב גויים הוא, בוודאי הוא פטור מן המעשר, שיכולים לסמוך על רוב שבא מן הגווים. (וא"ת למה יכולים לסמוך על רוב זה, ולא על רוב שבא מן ההפקר, לפי ריש לקיש. צריך לחשוב על זה, אבל באמת צריך לחשוב למה לא לסמוך על רוב, כמו בכל התורה כולה, לפי ריש לקיש. ותחשב. אולי הוא מפני שמה מפקירים בני אדם עליל לשנות, ואז גוזרים על רוב מפני שיבטל מלהיות הרוב. אז, זה יבאר החילוק. ותחשב. גם אפשר שסובר שלא סומכים על רוב, אלא חוששים למיעוט. אז, צריך שני רובים כדי להקל, ששם אף רבי מאיר מודה. ותחשב.) אם רוב ישראל הוא, אז נשאר בספק אם הוא מעושר (שאני מוקים שמדבר במחצה על מחצה משמרים). רק אם יש עוד ספק להצטרף עמו (שמא רוב גויים הוא), שאז יכולים לקרוא לו ספק ספיקא, ויהיה כרוב, יכולים להקל. אבל, אז דינים כרוב, ויהיה בו מחלקת בין רבי יוחנן לריש לקיש.</w:t>
      </w:r>
    </w:p>
    <w:p w14:paraId="6FABA77F" w14:textId="77777777" w:rsidR="00037F92" w:rsidRDefault="00000000">
      <w:r>
        <w:rPr>
          <w:rFonts w:ascii="Times New Roman" w:hAnsi="Times New Roman"/>
          <w:rtl/>
          <w:lang w:bidi="he-IL"/>
        </w:rPr>
        <w:t>כך היא פירוש אותה הגמ’ לפני דעת שלנו.</w:t>
      </w:r>
    </w:p>
    <w:p w14:paraId="2745B776" w14:textId="77777777" w:rsidR="00037F92" w:rsidRDefault="00000000">
      <w:r>
        <w:rPr>
          <w:rFonts w:ascii="Times New Roman" w:hAnsi="Times New Roman"/>
          <w:rtl/>
          <w:lang w:bidi="he-IL"/>
        </w:rPr>
        <w:t xml:space="preserve">ג. </w:t>
      </w:r>
    </w:p>
    <w:p w14:paraId="389BFB51" w14:textId="77777777" w:rsidR="00037F92" w:rsidRDefault="00000000">
      <w:r>
        <w:rPr>
          <w:rFonts w:ascii="Times New Roman" w:hAnsi="Times New Roman"/>
          <w:rtl/>
          <w:lang w:bidi="he-IL"/>
        </w:rPr>
        <w:t>כן נראה מן הגמ’. אבל, יש להעיר שאם כן, לכאו’, יוצא שתלוי באילן, ולא בפרי. זה קצת מוזר, כיון שדרך תאנים הוא שנגמרים בזמנים שונים (כן אני זוכר מב"ב). ותחשב. צריך לומר שאכן תלוי בזה, שכן חושבים בני אדם כשבוחרים להפקיר אותם או שלא להפקיר אותם.</w:t>
      </w:r>
    </w:p>
    <w:p w14:paraId="530516E9" w14:textId="77777777" w:rsidR="00037F92" w:rsidRDefault="00000000">
      <w:pPr>
        <w:pStyle w:val="Heading2"/>
      </w:pPr>
      <w:r>
        <w:rPr>
          <w:rFonts w:ascii="Times New Roman" w:hAnsi="Times New Roman"/>
          <w:sz w:val="24"/>
          <w:rtl/>
        </w:rPr>
        <w:t>ד.</w:t>
      </w:r>
    </w:p>
    <w:p w14:paraId="054CC33D" w14:textId="77777777" w:rsidR="00037F92" w:rsidRDefault="00000000">
      <w:r>
        <w:rPr>
          <w:rFonts w:ascii="Times New Roman" w:hAnsi="Times New Roman"/>
          <w:rtl/>
          <w:lang w:bidi="he-IL"/>
        </w:rPr>
        <w:t>כן אומר הגמ’, ולא קל להבין מהו הכוונה. כנראה, סובר שבאלו, חולקים תנא קמא ורבי יהודה. רבי יהודה אומר שאף שרוב בני אדם שומרים את אלו, עדיין אין בהם דין דמאי. גמ’ אומר שזה תלוי ברבי יוחנן וריש לקיש. לכאו’, מכון למח’ רבי יוחנן וריש לקיש שהזכרנו בתחילת המשנה. אין כל ענין זה כל כך ברור לי, שכמו שכתבני, חשבתי שאותו הגמ’ מסיק שאם רוב בניאדם שומרים אותו, לכולי עלמא יש בו דמאי. כנראה, טעיתי, אבל צריך לעיין שם בגמ’. גם צריך לבאר למה פשוט לו שזהו הציור כאן. גם צריך לבאר מה סוברים רבנן, שלא מסתבר לומר שרבי יוחנן סובר שרבנן חולקיםע ל רבי יהודה בנקודה זו, ושהוא רק אומר כרבי יהודה. ותחשב.</w:t>
      </w:r>
    </w:p>
    <w:p w14:paraId="6CEA9F6C" w14:textId="77777777" w:rsidR="00037F92" w:rsidRDefault="00000000">
      <w:pPr>
        <w:pStyle w:val="Heading2"/>
      </w:pPr>
      <w:r>
        <w:rPr>
          <w:rtl/>
        </w:rPr>
        <w:t>ה.</w:t>
      </w:r>
    </w:p>
    <w:p w14:paraId="7FF2EF23" w14:textId="77777777" w:rsidR="00037F92" w:rsidRDefault="00000000">
      <w:pPr>
        <w:rPr>
          <w:lang w:bidi="he-IL"/>
        </w:rPr>
      </w:pPr>
      <w:r>
        <w:rPr>
          <w:rtl/>
          <w:lang w:bidi="he-IL"/>
        </w:rPr>
        <w:t>יש להסתפק אם הירושלמי מודה לזה. הרי, הבבלי אומר כן על הסיפור של חמור של רבי פנחס בן יאיר. שם, החמיר החמור שלא לאכול את הדמאי. הרי, מקשה גמ’, לא יתחייב בדמאי, כיון שנקנה לבהמה. משיב שרק נשתנה לבהמה, ולא נקנה לבהמה. אבל, ירושלמי לא משיב כן, אלא אומר שהיה מחמיר על עצמו. (יש להעיר שנראה לומר שהוא מפני שאסור לאכול דמאי, ורק מותר לתת לבהמה. אם בהמה שלו מקפיד על דיני דמאי, נמצא שיקפיד על האיסור שלא לאכול דמאי, וממילא יהיה אסור לו. אבל, עדיין לא נראה כן כל כך, שאף ירו’ רק אומר שחומרא של בהמה היה. ותחשב.) אז, היה אפשר לומר- ואולי אף היה נראה לומר- שבזה חולק הירו’ על הבבלי. אבל, עיין בפני משה על המשנה, שמפרש את המשנה כפי הבבלי. אבל, דע שמצאנו לפעמים (עיין בברכות בסוף פרק ראשון) שפני משה יפרש את המשנה כפי’ בבלי, אף שהירו’ חולק עליו.</w:t>
      </w:r>
    </w:p>
    <w:p w14:paraId="25CD0A20" w14:textId="77777777" w:rsidR="00037F92" w:rsidRDefault="00000000">
      <w:pPr>
        <w:rPr>
          <w:lang w:bidi="he-IL"/>
        </w:rPr>
      </w:pPr>
      <w:r>
        <w:rPr>
          <w:rtl/>
          <w:lang w:bidi="he-IL"/>
        </w:rPr>
        <w:lastRenderedPageBreak/>
        <w:t>יש להעיר שגם יוצא הערה אחרת מכאן, והוא שלפי הירו’ לכאו’ טוב להחמיר  על מה שנקנה לצורך בהמה. כן יוצא גם ממה שאמר שרבי יוחנן היה מחמיר. אבל, יש לדחות את שניהם. אלוי חמור החמיר לסיבה שהזכרנו. גם ברבי יוחנן, יש לומר שאולי החמיר כיון שלא ידע לאיזה סיבה נקנה. כמובן, זה רק אפשר אם נאמר שירו’ סובר כבבלי. ותחשב.</w:t>
      </w:r>
    </w:p>
    <w:p w14:paraId="460A4391" w14:textId="77777777" w:rsidR="00037F92" w:rsidRDefault="00000000">
      <w:pPr>
        <w:rPr>
          <w:lang w:bidi="he-IL"/>
        </w:rPr>
      </w:pPr>
      <w:r>
        <w:rPr>
          <w:rtl/>
          <w:lang w:bidi="he-IL"/>
        </w:rPr>
        <w:t>ו.</w:t>
      </w:r>
    </w:p>
    <w:p w14:paraId="12CEF8A1" w14:textId="77777777" w:rsidR="00037F92" w:rsidRDefault="00000000">
      <w:pPr>
        <w:rPr>
          <w:lang w:bidi="he-IL"/>
        </w:rPr>
      </w:pPr>
      <w:r>
        <w:rPr>
          <w:rtl/>
          <w:lang w:bidi="he-IL"/>
        </w:rPr>
        <w:t>עיין שם, שלא פשוט כל זה. גמ’ נותן שני מקומות, אחד יותר קרוב ואחד יותר רחוק לא"י. מקום הרחוק חייב רק בחמרים, ומקום הקרוב חייב רק ברגל. שואל מה הדין אם באו למקום הרחוק מכזיב, ומשיב שאם כזיב עצמו פטור, כש"כ שבזה פטור. לכאו’, מניח שכזיב פטור אם בא בחמרים. הנחתי שזה מפני שמניח שהסתימות (אף שבאמת לא נאמר על הכזיב, אלא על להלן מכזיב) משמע שפטור מכל דבר. ויש לדון, שיש לומר שמניח שסתם דבר נמכר בחמרים. אבל, אני לא מניח כן.</w:t>
      </w:r>
    </w:p>
    <w:p w14:paraId="292501FF" w14:textId="77777777" w:rsidR="00037F92" w:rsidRDefault="00000000">
      <w:pPr>
        <w:rPr>
          <w:lang w:bidi="he-IL"/>
        </w:rPr>
      </w:pPr>
      <w:r>
        <w:rPr>
          <w:rtl/>
          <w:lang w:bidi="he-IL"/>
        </w:rPr>
        <w:t>לכאו’, צריך להיות שכזיב הוא יותר רחוק משני דברים הנזכרים, עד כדי שאף חמרים שבאים מא"י לא, בדר"כ הולכים שם.</w:t>
      </w:r>
    </w:p>
    <w:p w14:paraId="0BCA4E62" w14:textId="77777777" w:rsidR="00037F92" w:rsidRDefault="00000000">
      <w:pPr>
        <w:rPr>
          <w:lang w:bidi="he-IL"/>
        </w:rPr>
      </w:pPr>
      <w:r>
        <w:rPr>
          <w:rtl/>
          <w:lang w:bidi="he-IL"/>
        </w:rPr>
        <w:t>ז.</w:t>
      </w:r>
    </w:p>
    <w:p w14:paraId="6B2DC8A9" w14:textId="77777777" w:rsidR="00037F92" w:rsidRDefault="00000000">
      <w:pPr>
        <w:rPr>
          <w:lang w:bidi="he-IL"/>
        </w:rPr>
      </w:pPr>
      <w:r>
        <w:rPr>
          <w:rtl/>
          <w:lang w:bidi="he-IL"/>
        </w:rPr>
        <w:t>כן הוא הפשטות, אבל אין זה מוכרח. הרי, יש אחרונים שמתמים מה לנו במגו זה. (אין זה כל כך קשה לי, שאין אני מבין שום מגו שאומר גמ’.) יש שפי’ שהוא סימן שאינו חפצא של איסור. (לא כל כך פשוט לי מה אומרים, אבל אין זה כל כך נוגע לנו עכשיו.) אם כן, יש לומר שלא מסתבר לעשות מחלקת כל כך לומדי בין בית שמאי לבית הלל, ומס’ שבית שמאי רק מחמירים גם בעניים, אבל לא  מפני שחפצא של איסור הוא.</w:t>
      </w:r>
    </w:p>
    <w:p w14:paraId="5677EB09" w14:textId="77777777" w:rsidR="00037F92" w:rsidRDefault="00000000">
      <w:pPr>
        <w:rPr>
          <w:lang w:bidi="he-IL"/>
        </w:rPr>
      </w:pPr>
      <w:r>
        <w:rPr>
          <w:rtl/>
          <w:lang w:bidi="he-IL"/>
        </w:rPr>
        <w:t>ח.</w:t>
      </w:r>
    </w:p>
    <w:p w14:paraId="5180AAFC" w14:textId="77777777" w:rsidR="00037F92" w:rsidRDefault="00000000">
      <w:pPr>
        <w:rPr>
          <w:lang w:bidi="he-IL"/>
        </w:rPr>
      </w:pPr>
      <w:r>
        <w:rPr>
          <w:rtl/>
          <w:lang w:bidi="he-IL"/>
        </w:rPr>
        <w:t>כן הוא הפשטות של ביאור הגמ’. אבל, יש לדון, שאפשר לומר שרק שואל לפי מי שמתיר, והצד להחמיר הוא שחוששים שישכח איפה קבע אותו. וא"ת אם כן נחוש גם אם קובע את הראשון ראשון. ויש לומר שמרגל עצמו לחשוב על מקום ראשון כשמפריש את השני, כיון שבדרך כלל מפריש את השני אחרי שהפריש את הראשון. ותחשב. (עיין בפני משה ועיין בביאור גרח"ק.) ותחשב.</w:t>
      </w:r>
    </w:p>
    <w:p w14:paraId="502C62E8" w14:textId="77777777" w:rsidR="00037F92" w:rsidRDefault="00000000">
      <w:pPr>
        <w:rPr>
          <w:lang w:bidi="he-IL"/>
        </w:rPr>
      </w:pPr>
      <w:r>
        <w:rPr>
          <w:rtl/>
          <w:lang w:bidi="he-IL"/>
        </w:rPr>
        <w:t>ט.</w:t>
      </w:r>
    </w:p>
    <w:p w14:paraId="51DB448F" w14:textId="77777777" w:rsidR="00037F92" w:rsidRDefault="00000000">
      <w:pPr>
        <w:rPr>
          <w:rtl/>
          <w:lang w:bidi="he-IL"/>
        </w:rPr>
      </w:pPr>
      <w:r>
        <w:rPr>
          <w:rtl/>
          <w:lang w:bidi="he-IL"/>
        </w:rPr>
        <w:t>באמת, גמ’ אומר שמרבה מה שהוא לוקח מאחרים על מנת למכור. אבל, לא מסתבר שזה דווקא, ונראה שהוא גם מרבה מה שלוקח מאחרים על מנת לאכול. רק דיבר במכירה כיון שזה היה ההו"א הסמוך לו. ותחשב.</w:t>
      </w:r>
    </w:p>
    <w:p w14:paraId="6EF96491" w14:textId="78767F14" w:rsidR="0045287F" w:rsidRDefault="0045287F">
      <w:pPr>
        <w:rPr>
          <w:rtl/>
          <w:lang w:bidi="he-IL"/>
        </w:rPr>
      </w:pPr>
      <w:r>
        <w:rPr>
          <w:rFonts w:hint="cs"/>
          <w:rtl/>
          <w:lang w:bidi="he-IL"/>
        </w:rPr>
        <w:t>שוב נראה לי שבאמת מה שאוכל מן אחרים הוא הליכה לבית ע"ה. ויש לדון, שאולי החילוק הוא אם הוא דמאי לאם הוא טבל. ותחשב.</w:t>
      </w:r>
    </w:p>
    <w:p w14:paraId="52113D78" w14:textId="47D97026" w:rsidR="00FA7156" w:rsidRDefault="00FA7156">
      <w:pPr>
        <w:rPr>
          <w:rtl/>
          <w:lang w:bidi="he-IL"/>
        </w:rPr>
      </w:pPr>
      <w:r>
        <w:rPr>
          <w:rFonts w:hint="cs"/>
          <w:rtl/>
          <w:lang w:bidi="he-IL"/>
        </w:rPr>
        <w:t xml:space="preserve">י. </w:t>
      </w:r>
    </w:p>
    <w:p w14:paraId="33BED12C" w14:textId="26658AF2" w:rsidR="00FA7156" w:rsidRDefault="00FA7156">
      <w:pPr>
        <w:rPr>
          <w:rtl/>
          <w:lang w:bidi="he-IL"/>
        </w:rPr>
      </w:pPr>
      <w:r>
        <w:rPr>
          <w:rFonts w:hint="cs"/>
          <w:rtl/>
          <w:lang w:bidi="he-IL"/>
        </w:rPr>
        <w:t>גמ' לא מפרש כל כך מהו החשש. מסתבר לי לומר כמו שפירשתי, והוא ש</w:t>
      </w:r>
      <w:r w:rsidR="005B62D7">
        <w:rPr>
          <w:rFonts w:hint="cs"/>
          <w:rtl/>
          <w:lang w:bidi="he-IL"/>
        </w:rPr>
        <w:t>הפסול הוא כשרואים אותו אורח בבית עם הארץ, שחוששים שאכל מפירות עם הארץ, שהם דמאי. יש לדון אם צריכים להיות רואה אותו אוכל או רק שהוא אורח שם. גם יש לדון למה לא נניח שעישר אותו. אולי לא מסתבר שזכר. דחוק. אולי לא אפשר לו, כיון שאינו שלו. ויש לדון, שלכאו' פשוט שזה זכות לע"ה. ותחשב.</w:t>
      </w:r>
    </w:p>
    <w:p w14:paraId="492EF91D" w14:textId="7DA21E2D" w:rsidR="002D17C8" w:rsidRDefault="002D17C8">
      <w:pPr>
        <w:rPr>
          <w:rtl/>
          <w:lang w:bidi="he-IL"/>
        </w:rPr>
      </w:pPr>
      <w:r>
        <w:rPr>
          <w:rFonts w:hint="cs"/>
          <w:rtl/>
          <w:lang w:bidi="he-IL"/>
        </w:rPr>
        <w:t>יא.</w:t>
      </w:r>
    </w:p>
    <w:p w14:paraId="148D1702" w14:textId="08E6B2C9" w:rsidR="002D17C8" w:rsidRDefault="006B159F">
      <w:pPr>
        <w:rPr>
          <w:rtl/>
          <w:lang w:bidi="he-IL"/>
        </w:rPr>
      </w:pPr>
      <w:r>
        <w:rPr>
          <w:rFonts w:hint="cs"/>
          <w:rtl/>
          <w:lang w:bidi="he-IL"/>
        </w:rPr>
        <w:t>עיין בפני משה שכ' שהוא מפני שאסור לגרום טומאה לחולין. משמע שאין האיסור לאכול אותם בטומאה, אלא לעשות אותם טמא. צריך לעיין במקור לזה; צריך לחשוב על זה.</w:t>
      </w:r>
    </w:p>
    <w:p w14:paraId="0305DDE5" w14:textId="3EEFC242" w:rsidR="00A5579E" w:rsidRDefault="00A5579E">
      <w:pPr>
        <w:rPr>
          <w:rtl/>
          <w:lang w:bidi="he-IL"/>
        </w:rPr>
      </w:pPr>
      <w:r>
        <w:rPr>
          <w:rFonts w:hint="cs"/>
          <w:rtl/>
          <w:lang w:bidi="he-IL"/>
        </w:rPr>
        <w:t>יב.</w:t>
      </w:r>
    </w:p>
    <w:p w14:paraId="7B07B4D7" w14:textId="2E1495D1" w:rsidR="00A5579E" w:rsidRDefault="00A5579E">
      <w:pPr>
        <w:rPr>
          <w:rtl/>
          <w:lang w:bidi="he-IL"/>
        </w:rPr>
      </w:pPr>
      <w:r>
        <w:rPr>
          <w:rFonts w:hint="cs"/>
          <w:rtl/>
          <w:lang w:bidi="he-IL"/>
        </w:rPr>
        <w:t>צריך לעיין שם. הרי, הפני משה אומר (ונראה לי שכן אומר הגמ' שם) שאסור לגדל בהמה דקה בא"י. אבל, הוא מחשש שיאכל בשדה חברו. הרי, לכאו' זה חשש שנמצא בכל מקום. אז, קשה למה רק בארץ ישראל ייאסר. אפשר לומר שלא כל כך מצוי, ולא נחוש לו. אבל, כיון שיש גם בעיה של יישוב א"י (ואולי, יותר מזה, כיון שבני אדם חוששים לו, יבטל יישוב א"י בוודאי, ואינו ספק), נאסר, אבל רק בא"י. צריך לעיין שם, שיש מן הדברים שמזכיר שם שנוגעים אף בחו"ל.</w:t>
      </w:r>
    </w:p>
    <w:p w14:paraId="48C5B9A1" w14:textId="7DD64A22" w:rsidR="00B01DFD" w:rsidRDefault="00B01DFD">
      <w:pPr>
        <w:rPr>
          <w:rtl/>
          <w:lang w:bidi="he-IL"/>
        </w:rPr>
      </w:pPr>
      <w:r>
        <w:rPr>
          <w:rFonts w:hint="cs"/>
          <w:rtl/>
          <w:lang w:bidi="he-IL"/>
        </w:rPr>
        <w:t>יג.</w:t>
      </w:r>
    </w:p>
    <w:p w14:paraId="57E4CE3B" w14:textId="6333D828" w:rsidR="00B01DFD" w:rsidRDefault="00B01DFD">
      <w:pPr>
        <w:rPr>
          <w:rtl/>
          <w:lang w:bidi="he-IL"/>
        </w:rPr>
      </w:pPr>
      <w:r>
        <w:rPr>
          <w:rFonts w:hint="cs"/>
          <w:rtl/>
          <w:lang w:bidi="he-IL"/>
        </w:rPr>
        <w:t>כן היה נראה מן הגמ'. אין כל זה כל כך פשוט לי, שאז קיבל, ולמה צריך להיות בשעה ראשונה, שכל קבלה נמשך. ויש לדון, שאלוי לא צריך, אז, לקבל כל דברים אלו, אלא רק להיות נאמן על טהרות. ותחשב. וצריך לעיין בכל זה.</w:t>
      </w:r>
    </w:p>
    <w:p w14:paraId="715ED5A4" w14:textId="150E070B" w:rsidR="00DB6DF0" w:rsidRDefault="00DB6DF0">
      <w:pPr>
        <w:rPr>
          <w:rtl/>
          <w:lang w:bidi="he-IL"/>
        </w:rPr>
      </w:pPr>
      <w:r>
        <w:rPr>
          <w:rFonts w:hint="cs"/>
          <w:rtl/>
          <w:lang w:bidi="he-IL"/>
        </w:rPr>
        <w:t>יד.</w:t>
      </w:r>
    </w:p>
    <w:p w14:paraId="2FDEA36B" w14:textId="4C28F9C2" w:rsidR="00DB6DF0" w:rsidRDefault="00DB6DF0">
      <w:pPr>
        <w:rPr>
          <w:rtl/>
          <w:lang w:bidi="he-IL"/>
        </w:rPr>
      </w:pPr>
      <w:r>
        <w:rPr>
          <w:rFonts w:hint="cs"/>
          <w:rtl/>
          <w:lang w:bidi="he-IL"/>
        </w:rPr>
        <w:t>צריך לע' בגמ', שמקשה ממשנה זה על משנה שמדבר בקונה מן הנחתום. לא אפשר לחלק בין תר"מ למעשר שני, ששם אומר בפי' שמדובר בתר"מ ומע"ש. ק"ק למה לא השיב גמ' שכאן מדובר בחבר, ושם מדובר בע"ה. אף אם כאן מדובר גם בע"ה, אולי הקונה ממנו לא ידע שהפריש, ואז יפריש עוד (וכמו שכתבנו, נפקא מינא של משנה שלנו יהיה לע"ה המפריש).</w:t>
      </w:r>
      <w:r w:rsidR="001A14CE">
        <w:rPr>
          <w:rFonts w:hint="cs"/>
          <w:rtl/>
          <w:lang w:bidi="he-IL"/>
        </w:rPr>
        <w:t xml:space="preserve"> איני יודע למה לא אומר כן, אבל נותן שתי תי' אחרים. תי' ראשון הוא שתלוי במי נתן לו לגבל, שאם נתן לחבר, גילה שמקפיד על דיני טומאה, ומס' גם מקפיד על דיני מעשר. וא"ת הרי משנה שלנו מזכיר דין של הפרשה לכת', ולא נאמנות. צריך לומר שסומך על מה שיאמר לקמן, שלא רוצים שעני יפריש מע"ש, שמא יאכל אותו. אבל, אז אין תחילת התי' שייכת לקושיה בכלל. ותחשב. תי' שני הוא שיש חילוק בין מוכר במדה דקה, שמרוויח, למוכר במדה גסה. מוכר במדה דקה חייב להפריש, ומוכר במדה גסה לא חייב להפריש. מקשה גמ' למה אין מוכר במדה דקה חייב בתר"מ. איני יודע למה לא אומר שעדיין לא מרוויח כל כך, כיון </w:t>
      </w:r>
      <w:r w:rsidR="001A14CE">
        <w:rPr>
          <w:rFonts w:hint="cs"/>
          <w:rtl/>
          <w:lang w:bidi="he-IL"/>
        </w:rPr>
        <w:lastRenderedPageBreak/>
        <w:t>שהממשלה מחייב אותו למכור, כמו שאמר פני משה על המשנה. (באמת, מה שאומר פני משה צריך ביאור, שאינו לא כרבי יוחנן ולא כרבי אלעזר.) וצריך לחשוב על זה.</w:t>
      </w:r>
    </w:p>
    <w:p w14:paraId="18FAEFA9" w14:textId="60E41747" w:rsidR="00263E6C" w:rsidRDefault="00263E6C">
      <w:pPr>
        <w:rPr>
          <w:rtl/>
          <w:lang w:bidi="he-IL"/>
        </w:rPr>
      </w:pPr>
      <w:r>
        <w:rPr>
          <w:rFonts w:hint="cs"/>
          <w:rtl/>
          <w:lang w:bidi="he-IL"/>
        </w:rPr>
        <w:t>טו.</w:t>
      </w:r>
    </w:p>
    <w:p w14:paraId="116EE377" w14:textId="374EF732" w:rsidR="00263E6C" w:rsidRDefault="00263E6C">
      <w:pPr>
        <w:rPr>
          <w:rtl/>
          <w:lang w:bidi="he-IL"/>
        </w:rPr>
      </w:pPr>
      <w:r>
        <w:rPr>
          <w:rFonts w:hint="cs"/>
          <w:rtl/>
          <w:lang w:bidi="he-IL"/>
        </w:rPr>
        <w:t>לכאו', אז נמצא שתחילת המשנה הוא כדברי חכמים וסוף המשנה הוא כדברי רבי מאיר. לכאו', זה קצת קשה. גם יש להעיר שיש תי' אחר פשוט, והוא שיש לפרש שחנוונים חייבים בכל כיון שמוכרים לקטנים (כפי' אחר שבמשנה). ותחשב.</w:t>
      </w:r>
    </w:p>
    <w:p w14:paraId="513903C5" w14:textId="3507D5DF" w:rsidR="0014673E" w:rsidRDefault="0014673E">
      <w:pPr>
        <w:rPr>
          <w:rtl/>
          <w:lang w:bidi="he-IL"/>
        </w:rPr>
      </w:pPr>
      <w:r>
        <w:rPr>
          <w:rFonts w:hint="cs"/>
          <w:rtl/>
          <w:lang w:bidi="he-IL"/>
        </w:rPr>
        <w:t>טז.</w:t>
      </w:r>
    </w:p>
    <w:p w14:paraId="2CA42E97" w14:textId="192E1599" w:rsidR="0014673E" w:rsidRDefault="0014673E">
      <w:pPr>
        <w:rPr>
          <w:rtl/>
          <w:lang w:bidi="he-IL"/>
        </w:rPr>
      </w:pPr>
      <w:r>
        <w:rPr>
          <w:rFonts w:hint="cs"/>
          <w:rtl/>
          <w:lang w:bidi="he-IL"/>
        </w:rPr>
        <w:t>נראה שמן הגמ' יוצא שיש שתי סיבות למה זה יחלק. סיבה ראשונה היא שבעצם תמיד חייב המוכר, אלא שאם לא מרוויח, חסו רבנן עליו. סיבה שנית הוא שעיקר החיוב, יכול להיות, מוטל על מי שמרוויח. כיון שמוכר הרבה, עיקר ההרווחה לקונה, ולא למוכר.</w:t>
      </w:r>
    </w:p>
    <w:p w14:paraId="393F4C79" w14:textId="53A6D4FC" w:rsidR="0014673E" w:rsidRDefault="0014673E">
      <w:pPr>
        <w:rPr>
          <w:rtl/>
          <w:lang w:bidi="he-IL"/>
        </w:rPr>
      </w:pPr>
      <w:r>
        <w:rPr>
          <w:rFonts w:hint="cs"/>
          <w:rtl/>
          <w:lang w:bidi="he-IL"/>
        </w:rPr>
        <w:t>ואזכיר כאן שכל סוגיה זו קשה, ולא כל כך ברורה לי. צריך לעיין בה עוד.</w:t>
      </w:r>
    </w:p>
    <w:p w14:paraId="38DEF366" w14:textId="370189B0" w:rsidR="00CD7CD2" w:rsidRDefault="00CD7CD2">
      <w:pPr>
        <w:rPr>
          <w:rtl/>
          <w:lang w:bidi="he-IL"/>
        </w:rPr>
      </w:pPr>
      <w:r>
        <w:rPr>
          <w:rFonts w:hint="cs"/>
          <w:rtl/>
          <w:lang w:bidi="he-IL"/>
        </w:rPr>
        <w:t>יז.</w:t>
      </w:r>
    </w:p>
    <w:p w14:paraId="518DC8BE" w14:textId="64F48E6C" w:rsidR="00CD7CD2" w:rsidRDefault="00CD7CD2">
      <w:pPr>
        <w:rPr>
          <w:rtl/>
          <w:lang w:bidi="he-IL"/>
        </w:rPr>
      </w:pPr>
      <w:r>
        <w:rPr>
          <w:rFonts w:hint="cs"/>
          <w:rtl/>
          <w:lang w:bidi="he-IL"/>
        </w:rPr>
        <w:t>קצת קשה מה לנו בזה, שעם הארץ תמיד לא מפריש דמאי, שעם הארץ הוא. צריך לומר שיש ע"ה שמפריש, או שחוששים שיהיה חבר, וירצה להפריש, ולא ידע את ההלכה.</w:t>
      </w:r>
      <w:r w:rsidR="00F15131">
        <w:rPr>
          <w:rFonts w:hint="cs"/>
          <w:rtl/>
          <w:lang w:bidi="he-IL"/>
        </w:rPr>
        <w:t xml:space="preserve"> עיין לקמן בגמ', שחושש שע"ה יהיה חבר.</w:t>
      </w:r>
    </w:p>
    <w:p w14:paraId="5B5A0CF3" w14:textId="5187FF50" w:rsidR="005772FD" w:rsidRDefault="005772FD">
      <w:pPr>
        <w:rPr>
          <w:rtl/>
          <w:lang w:bidi="he-IL"/>
        </w:rPr>
      </w:pPr>
      <w:r>
        <w:rPr>
          <w:rFonts w:hint="cs"/>
          <w:rtl/>
          <w:lang w:bidi="he-IL"/>
        </w:rPr>
        <w:t>יח.</w:t>
      </w:r>
    </w:p>
    <w:p w14:paraId="4FB59C92" w14:textId="1A1D89D4" w:rsidR="005772FD" w:rsidRDefault="005772FD">
      <w:pPr>
        <w:rPr>
          <w:rFonts w:hint="cs"/>
          <w:rtl/>
          <w:lang w:bidi="he-IL"/>
        </w:rPr>
      </w:pPr>
      <w:r>
        <w:rPr>
          <w:rFonts w:hint="cs"/>
          <w:rtl/>
          <w:lang w:bidi="he-IL"/>
        </w:rPr>
        <w:t xml:space="preserve">כן אומר הגמ', אבל קצת יש להתמיה עליו. דבר ראשון, יש להעיר שלא חייב לדקדק עליו, ואם רוצה, יכול הוא להפריש מכל דמאי. צריך לומר שאף זה טורח, ושהוא פשוט שהוא טורח, עד כדי שגמ' לא חייב להזכיר את זה. שני, קצת קשה למה רבנן צריכים לאותו הטעם. הרי, רבנן סוברים שאין העני חייב להפריש דמאי. אולי קטע זה של הגמ' (שמפרש שיטת הרבנן כן) הולך כרבי יונה, ומבאר החילוק שיש בין גבאי לבעה"ב הנותן. (מוכרח, בי"כ ובי"כ, מקטע זה שרבי יונה מחלק. מסתמא הוא מפני שגבאי נותן הרבה יותר צדקה, ואז יותר חוששים לטירחא שלו.) </w:t>
      </w:r>
      <w:r w:rsidR="004A790A">
        <w:rPr>
          <w:rFonts w:hint="cs"/>
          <w:rtl/>
          <w:lang w:bidi="he-IL"/>
        </w:rPr>
        <w:t xml:space="preserve">לרבי יוסי, צריך לומר שזה טעם של הרבנן, או שפטור עני נוהג רק בבעל הבית. צריך לעיין </w:t>
      </w:r>
      <w:r w:rsidR="00B90EBC">
        <w:rPr>
          <w:rFonts w:hint="cs"/>
          <w:rtl/>
          <w:lang w:bidi="he-IL"/>
        </w:rPr>
        <w:t>בזה</w:t>
      </w:r>
      <w:r w:rsidR="00174994">
        <w:rPr>
          <w:rFonts w:hint="cs"/>
          <w:rtl/>
          <w:lang w:bidi="he-IL"/>
        </w:rPr>
        <w:t>.</w:t>
      </w:r>
    </w:p>
    <w:sectPr w:rsidR="005772FD">
      <w:pgSz w:w="12240" w:h="15840"/>
      <w:pgMar w:top="1134" w:right="1134" w:bottom="1134" w:left="1134" w:header="0" w:footer="0" w:gutter="0"/>
      <w:cols w:space="720"/>
      <w:formProt w:val="0"/>
      <w:bidi/>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C48A3" w14:textId="77777777" w:rsidR="00EF391F" w:rsidRDefault="00EF391F">
      <w:r>
        <w:separator/>
      </w:r>
    </w:p>
  </w:endnote>
  <w:endnote w:type="continuationSeparator" w:id="0">
    <w:p w14:paraId="27DF23E5" w14:textId="77777777" w:rsidR="00EF391F" w:rsidRDefault="00EF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43D5" w14:textId="77777777" w:rsidR="00EF391F" w:rsidRDefault="00EF391F">
      <w:pPr>
        <w:rPr>
          <w:sz w:val="12"/>
        </w:rPr>
      </w:pPr>
      <w:r>
        <w:separator/>
      </w:r>
    </w:p>
  </w:footnote>
  <w:footnote w:type="continuationSeparator" w:id="0">
    <w:p w14:paraId="399720AB" w14:textId="77777777" w:rsidR="00EF391F" w:rsidRDefault="00EF391F">
      <w:pPr>
        <w:rPr>
          <w:sz w:val="12"/>
        </w:rPr>
      </w:pPr>
      <w:r>
        <w:continuationSeparator/>
      </w:r>
    </w:p>
  </w:footnote>
  <w:footnote w:id="1">
    <w:p w14:paraId="123ED10D" w14:textId="77777777" w:rsidR="00037F92" w:rsidRDefault="00000000">
      <w:pPr>
        <w:pStyle w:val="FootnoteText"/>
        <w:jc w:val="center"/>
        <w:rPr>
          <w:b/>
          <w:bCs/>
          <w:u w:val="single"/>
          <w:lang w:bidi="he-IL"/>
        </w:rPr>
      </w:pPr>
      <w:r>
        <w:rPr>
          <w:rStyle w:val="FootnoteCharacters"/>
        </w:rPr>
        <w:footnoteRef/>
      </w:r>
      <w:r>
        <w:rPr>
          <w:b/>
          <w:bCs/>
          <w:u w:val="single"/>
          <w:rtl/>
          <w:lang w:bidi="he-IL"/>
        </w:rPr>
        <w:tab/>
        <w:t>פרק ראשון</w:t>
      </w:r>
    </w:p>
  </w:footnote>
  <w:footnote w:id="2">
    <w:p w14:paraId="0EE698E5" w14:textId="77777777" w:rsidR="00037F92" w:rsidRDefault="00000000">
      <w:pPr>
        <w:pStyle w:val="FootnoteText"/>
        <w:rPr>
          <w:b/>
          <w:bCs/>
          <w:lang w:bidi="he-IL"/>
        </w:rPr>
      </w:pPr>
      <w:r>
        <w:rPr>
          <w:rStyle w:val="FootnoteCharacters"/>
        </w:rPr>
        <w:footnoteRef/>
      </w:r>
      <w:r>
        <w:rPr>
          <w:b/>
          <w:bCs/>
          <w:rtl/>
          <w:lang w:bidi="he-IL"/>
        </w:rPr>
        <w:tab/>
        <w:t>משנה א</w:t>
      </w:r>
    </w:p>
  </w:footnote>
  <w:footnote w:id="3">
    <w:p w14:paraId="3F84535F" w14:textId="77777777" w:rsidR="00037F92" w:rsidRDefault="00000000">
      <w:pPr>
        <w:pStyle w:val="FootnoteText"/>
        <w:rPr>
          <w:lang w:bidi="he-IL"/>
        </w:rPr>
      </w:pPr>
      <w:r>
        <w:rPr>
          <w:rStyle w:val="FootnoteCharacters"/>
        </w:rPr>
        <w:footnoteRef/>
      </w:r>
      <w:r>
        <w:rPr>
          <w:rtl/>
          <w:lang w:bidi="he-IL"/>
        </w:rPr>
        <w:tab/>
        <w:t>חייב אדם להפריש תרומות ומעשרות מן הפירות שלו. אם קונה אותו מאחר, יכול להניח שאחר כבר הפריש אותם. אבל, אם אותו אחר עם הארץ הוא, לא תמיד יכול להניח כן, שעמי הארץ, לפעמים, לא מעשרים. הרי, בוודאי מפרישים תרומה, אבל אולי לא מפרישים מעשרות. אז, בדר"כ, הקונה מהם חייב לעשר. המשנה הזה ימנה דברים שאין בהם חיוב דמאי. כמו שנבאר, חולקיםם אמוראים אם רק דמאי אין להם או כל חיוב מעשר אין להם.</w:t>
      </w:r>
    </w:p>
  </w:footnote>
  <w:footnote w:id="4">
    <w:p w14:paraId="527F369B" w14:textId="77777777" w:rsidR="00037F92" w:rsidRDefault="00000000">
      <w:pPr>
        <w:pStyle w:val="FootnoteText"/>
        <w:rPr>
          <w:lang w:bidi="he-IL"/>
        </w:rPr>
      </w:pPr>
      <w:r>
        <w:rPr>
          <w:rStyle w:val="FootnoteCharacters"/>
        </w:rPr>
        <w:footnoteRef/>
      </w:r>
      <w:r>
        <w:rPr>
          <w:rtl/>
          <w:lang w:bidi="he-IL"/>
        </w:rPr>
        <w:tab/>
        <w:t>דברים אלו אינם חשובים, ואז אין בהם דמאי. חולקים בזה רבי יוחנן וריש לקיש. רבי יוחנן אומר שכיון שאינם חשובים, מניחים שהם הפקר. הפקר פטור מן המעשר. אז, לא חייב בדמאי, וגם לא חייב במעשר וודאי. (עיין בהוספות אות א.) ריש לקיש אומר שכיון שאינם חשובים, עם הארץ יפריש ממנו מעשר. אז, אינו חייב בדמאי.</w:t>
      </w:r>
    </w:p>
    <w:p w14:paraId="755EC301" w14:textId="77777777" w:rsidR="00037F92" w:rsidRDefault="00000000">
      <w:pPr>
        <w:pStyle w:val="FootnoteText"/>
        <w:rPr>
          <w:lang w:bidi="he-IL"/>
        </w:rPr>
      </w:pPr>
      <w:r>
        <w:rPr>
          <w:rtl/>
          <w:lang w:bidi="he-IL"/>
        </w:rPr>
        <w:tab/>
        <w:t>נמצא שחולקים רבי יוחנן וריש לקיש אם פטור אדם מן הוודאי באלו או רק בדמאי.</w:t>
      </w:r>
    </w:p>
    <w:p w14:paraId="4F6BF061" w14:textId="77777777" w:rsidR="00037F92" w:rsidRDefault="00000000">
      <w:pPr>
        <w:pStyle w:val="FootnoteText"/>
        <w:rPr>
          <w:lang w:bidi="he-IL"/>
        </w:rPr>
      </w:pPr>
      <w:r>
        <w:rPr>
          <w:rtl/>
          <w:lang w:bidi="he-IL"/>
        </w:rPr>
        <w:tab/>
        <w:t>גמ’ מפרש שיכול להיות שלש ציורים:</w:t>
      </w:r>
    </w:p>
    <w:p w14:paraId="7AF18C2E" w14:textId="77777777" w:rsidR="00037F92" w:rsidRDefault="00000000">
      <w:pPr>
        <w:pStyle w:val="FootnoteText"/>
        <w:numPr>
          <w:ilvl w:val="0"/>
          <w:numId w:val="3"/>
        </w:numPr>
        <w:rPr>
          <w:lang w:bidi="he-IL"/>
        </w:rPr>
      </w:pPr>
      <w:r>
        <w:rPr>
          <w:rtl/>
          <w:lang w:bidi="he-IL"/>
        </w:rPr>
        <w:t>רוב בני אדם שומרים את אלו- לכו"ע, אף בפירות שבדר"כ לא חשובים, יש חיוב במעשר וודאי ובדמאי.</w:t>
      </w:r>
    </w:p>
    <w:p w14:paraId="1F9BC3D6" w14:textId="77777777" w:rsidR="00037F92" w:rsidRDefault="00000000">
      <w:pPr>
        <w:pStyle w:val="FootnoteText"/>
        <w:numPr>
          <w:ilvl w:val="0"/>
          <w:numId w:val="3"/>
        </w:numPr>
        <w:rPr>
          <w:lang w:bidi="he-IL"/>
        </w:rPr>
      </w:pPr>
      <w:r>
        <w:rPr>
          <w:rtl/>
          <w:lang w:bidi="he-IL"/>
        </w:rPr>
        <w:t>מחצה על מחצה-</w:t>
      </w:r>
    </w:p>
    <w:p w14:paraId="35B4BDC9" w14:textId="77777777" w:rsidR="00037F92" w:rsidRDefault="00000000">
      <w:pPr>
        <w:pStyle w:val="FootnoteText"/>
        <w:numPr>
          <w:ilvl w:val="1"/>
          <w:numId w:val="3"/>
        </w:numPr>
        <w:rPr>
          <w:lang w:bidi="he-IL"/>
        </w:rPr>
      </w:pPr>
      <w:r>
        <w:rPr>
          <w:rtl/>
          <w:lang w:bidi="he-IL"/>
        </w:rPr>
        <w:t>בדברים שבדר"כ אינם כל כך חשובים- כו"ע מודו שחייבים במעשר וודאי. ריש לקיש אומר שפטורים מדמאי. לא ידוע שיטת רבי יוחנן. (עיין בהוספות אות ב.)</w:t>
      </w:r>
    </w:p>
    <w:p w14:paraId="71E1A813" w14:textId="77777777" w:rsidR="00037F92" w:rsidRDefault="00000000">
      <w:pPr>
        <w:pStyle w:val="FootnoteText"/>
        <w:numPr>
          <w:ilvl w:val="1"/>
          <w:numId w:val="3"/>
        </w:numPr>
        <w:rPr>
          <w:lang w:bidi="he-IL"/>
        </w:rPr>
      </w:pPr>
      <w:r>
        <w:rPr>
          <w:rtl/>
          <w:lang w:bidi="he-IL"/>
        </w:rPr>
        <w:t>בדברים שבדר"כ הם חשובים- חייב בדמאי. (עיין בהוספות אות ב.)</w:t>
      </w:r>
    </w:p>
    <w:p w14:paraId="78F9DBDB" w14:textId="77777777" w:rsidR="00037F92" w:rsidRDefault="00000000">
      <w:pPr>
        <w:pStyle w:val="FootnoteText"/>
        <w:numPr>
          <w:ilvl w:val="0"/>
          <w:numId w:val="3"/>
        </w:numPr>
        <w:rPr>
          <w:lang w:bidi="he-IL"/>
        </w:rPr>
      </w:pPr>
      <w:r>
        <w:rPr>
          <w:rtl/>
          <w:lang w:bidi="he-IL"/>
        </w:rPr>
        <w:t>רוב בני אדם לאשומרים את אלו- באמת, יש שני ציורים של זה שנזכרים בגמ’ – אם רוב בני אדם לא שומרים אותם, ואם מחצה בני אדם שומרים אותם, אלא שיש ספק אחר לפטור אותו ממעשר (כמו אם אולי רוב בנ"א שם גויים). כוע"מ שפטורים מדמאי. בדברים שלא חשובים, חולקים רבי יוחנן וריש לקיש אם גם פטור ממעשר וודאי או חייב בו. (עיין בהוספות אות ג.)</w:t>
      </w:r>
    </w:p>
  </w:footnote>
  <w:footnote w:id="5">
    <w:p w14:paraId="2474639C" w14:textId="77777777" w:rsidR="00037F92" w:rsidRDefault="00000000">
      <w:pPr>
        <w:pStyle w:val="FootnoteText"/>
        <w:rPr>
          <w:lang w:bidi="he-IL"/>
        </w:rPr>
      </w:pPr>
      <w:r>
        <w:rPr>
          <w:rStyle w:val="FootnoteCharacters"/>
        </w:rPr>
        <w:footnoteRef/>
      </w:r>
      <w:r>
        <w:rPr>
          <w:rtl/>
          <w:lang w:bidi="he-IL"/>
        </w:rPr>
        <w:tab/>
        <w:t>אלו הם תאנים שגדלים תחת עלים. פני משה פי’ שהם תאנים מדבריות. (מסתבר שכיון שהם במדבר, והשמש חזק מאד, צריכים לגדל תחת עלים.) כיון שלא מגיע להם הרבה שמש, הם חלושים.</w:t>
      </w:r>
    </w:p>
  </w:footnote>
  <w:footnote w:id="6">
    <w:p w14:paraId="201E25AD" w14:textId="77777777" w:rsidR="00037F92" w:rsidRDefault="00000000">
      <w:pPr>
        <w:pStyle w:val="FootnoteText"/>
        <w:rPr>
          <w:lang w:bidi="he-IL"/>
        </w:rPr>
      </w:pPr>
      <w:r>
        <w:rPr>
          <w:rStyle w:val="FootnoteCharacters"/>
        </w:rPr>
        <w:footnoteRef/>
      </w:r>
      <w:r>
        <w:rPr>
          <w:rtl/>
          <w:lang w:bidi="he-IL"/>
        </w:rPr>
        <w:tab/>
        <w:t>בריי’ בגמ’ מזכיר דין שיתין, ומוסיף עליו עוד שני מינים תאנים – תאנים ביכורים (שניטלו קודם שהיו ראויים להושיב שומר עליהם), ותאנים מסוייפות (תאנים שבאו בסוף, אחרי שכבר הצניעו את כלים לקצע אותם). (יש לדון אם פטור של תאנים מסוייפות הוא מפני שלא רוצה לטרוח אחרי שכבר הכניס את כל כליו, ולא רוצה לחכות להם מלהכניס את כליו, או מפני שזה סימן שהם חלושים.)</w:t>
      </w:r>
    </w:p>
  </w:footnote>
  <w:footnote w:id="7">
    <w:p w14:paraId="3F9814B2" w14:textId="77777777" w:rsidR="00037F92" w:rsidRDefault="00000000">
      <w:pPr>
        <w:pStyle w:val="FootnoteText"/>
        <w:rPr>
          <w:lang w:bidi="he-IL"/>
        </w:rPr>
      </w:pPr>
      <w:r>
        <w:rPr>
          <w:rStyle w:val="FootnoteCharacters"/>
        </w:rPr>
        <w:footnoteRef/>
      </w:r>
      <w:r>
        <w:rPr>
          <w:rtl/>
          <w:lang w:bidi="he-IL"/>
        </w:rPr>
        <w:tab/>
        <w:t>ראיתי שהוא הנקרא באנגלית "לוטיס.”</w:t>
      </w:r>
    </w:p>
  </w:footnote>
  <w:footnote w:id="8">
    <w:p w14:paraId="485EC901" w14:textId="77777777" w:rsidR="00037F92" w:rsidRDefault="00000000">
      <w:pPr>
        <w:pStyle w:val="FootnoteText"/>
        <w:rPr>
          <w:lang w:bidi="he-IL"/>
        </w:rPr>
      </w:pPr>
      <w:r>
        <w:rPr>
          <w:rStyle w:val="FootnoteCharacters"/>
        </w:rPr>
        <w:footnoteRef/>
      </w:r>
      <w:r>
        <w:rPr>
          <w:rtl/>
          <w:lang w:bidi="he-IL"/>
        </w:rPr>
        <w:tab/>
        <w:t>ראיתי שהוא הנקרא באנגלית "קראב אפל"ס.”</w:t>
      </w:r>
    </w:p>
  </w:footnote>
  <w:footnote w:id="9">
    <w:p w14:paraId="77520B1E" w14:textId="77777777" w:rsidR="00037F92" w:rsidRDefault="00000000">
      <w:pPr>
        <w:pStyle w:val="FootnoteText"/>
        <w:rPr>
          <w:lang w:bidi="he-IL"/>
        </w:rPr>
      </w:pPr>
      <w:r>
        <w:rPr>
          <w:rStyle w:val="FootnoteCharacters"/>
        </w:rPr>
        <w:footnoteRef/>
      </w:r>
      <w:r>
        <w:rPr>
          <w:rtl/>
          <w:lang w:bidi="he-IL"/>
        </w:rPr>
        <w:tab/>
        <w:t>גמ’ בע"ז אומר שהוא תאנים לבנים. (אבל, עיין בנדרים (כז.) שלא משמע כן. לכאו’, אינם תאנים רגילים שהם לבנים, אלא הם מין מיוחד של תאנים שהם תמיד לבנים. עיין ברש"י שם ובפני משה כאן שפי’ שגם גדלים לזמן רב.)</w:t>
      </w:r>
    </w:p>
  </w:footnote>
  <w:footnote w:id="10">
    <w:p w14:paraId="21818359" w14:textId="77777777" w:rsidR="00037F92" w:rsidRDefault="00000000">
      <w:pPr>
        <w:pStyle w:val="FootnoteText"/>
        <w:rPr>
          <w:lang w:bidi="he-IL"/>
        </w:rPr>
      </w:pPr>
      <w:r>
        <w:rPr>
          <w:rStyle w:val="FootnoteCharacters"/>
        </w:rPr>
        <w:footnoteRef/>
      </w:r>
      <w:r>
        <w:rPr>
          <w:rtl/>
          <w:lang w:bidi="he-IL"/>
        </w:rPr>
        <w:tab/>
        <w:t>ראיתי שהוא הנקרא באנגלית "שיקומאר.” עיין בפני משה, שכ’ שהוא מין מורכב של תאנה.</w:t>
      </w:r>
    </w:p>
  </w:footnote>
  <w:footnote w:id="11">
    <w:p w14:paraId="0098B425" w14:textId="77777777" w:rsidR="00037F92" w:rsidRDefault="00000000">
      <w:pPr>
        <w:pStyle w:val="FootnoteText"/>
        <w:rPr>
          <w:lang w:bidi="he-IL"/>
        </w:rPr>
      </w:pPr>
      <w:r>
        <w:rPr>
          <w:rStyle w:val="FootnoteCharacters"/>
        </w:rPr>
        <w:footnoteRef/>
      </w:r>
      <w:r>
        <w:rPr>
          <w:rtl/>
          <w:lang w:bidi="he-IL"/>
        </w:rPr>
        <w:tab/>
        <w:t>הם תמרים שלא נתבשלו כל כך. כמו שבארנו לעיל, לכאו’ גמ’ נותן בהם שיעור, והוא שאין באילן כדי טיפול שומר. ויש לדון אם יש לחלק בין תמרים לתאנים. ותחשב. (עיין בהוספות אות ג.)</w:t>
      </w:r>
    </w:p>
  </w:footnote>
  <w:footnote w:id="12">
    <w:p w14:paraId="7D439580" w14:textId="77777777" w:rsidR="00037F92" w:rsidRDefault="00000000">
      <w:pPr>
        <w:pStyle w:val="FootnoteText"/>
        <w:rPr>
          <w:lang w:bidi="he-IL"/>
        </w:rPr>
      </w:pPr>
      <w:r>
        <w:rPr>
          <w:rStyle w:val="FootnoteCharacters"/>
        </w:rPr>
        <w:footnoteRef/>
      </w:r>
      <w:r>
        <w:rPr>
          <w:rtl/>
          <w:lang w:bidi="he-IL"/>
        </w:rPr>
        <w:tab/>
        <w:t>לא תמיד פטורים, וחולקים מתי הוא חייב:</w:t>
      </w:r>
    </w:p>
    <w:p w14:paraId="24CB5A32" w14:textId="77777777" w:rsidR="00037F92" w:rsidRDefault="00000000">
      <w:pPr>
        <w:pStyle w:val="FootnoteText"/>
        <w:numPr>
          <w:ilvl w:val="0"/>
          <w:numId w:val="4"/>
        </w:numPr>
        <w:rPr>
          <w:lang w:bidi="he-IL"/>
        </w:rPr>
      </w:pPr>
      <w:r>
        <w:rPr>
          <w:rtl/>
          <w:lang w:bidi="he-IL"/>
        </w:rPr>
        <w:t>רבנן אומר שהוא רק פטור עד שהוא מטיל שאור (עד שהוא גדל עד כדי שנולדו בו סדקים). חולקים אם מודה ריב"י לזה או חולק עליו.</w:t>
      </w:r>
    </w:p>
    <w:p w14:paraId="284FF793" w14:textId="77777777" w:rsidR="00037F92" w:rsidRDefault="00000000">
      <w:pPr>
        <w:pStyle w:val="FootnoteText"/>
        <w:numPr>
          <w:ilvl w:val="0"/>
          <w:numId w:val="4"/>
        </w:numPr>
        <w:rPr>
          <w:lang w:bidi="he-IL"/>
        </w:rPr>
      </w:pPr>
      <w:r>
        <w:rPr>
          <w:rtl/>
          <w:lang w:bidi="he-IL"/>
        </w:rPr>
        <w:t>ריב"י אומר שאם מכר את הנובלות בתיבה אחת עם תאנים, חייב. חולקים אם זה רק עד שמטיל שאור או רק משמטיל שאור.</w:t>
      </w:r>
    </w:p>
  </w:footnote>
  <w:footnote w:id="13">
    <w:p w14:paraId="1ED979DA" w14:textId="77777777" w:rsidR="00037F92" w:rsidRDefault="00000000">
      <w:pPr>
        <w:pStyle w:val="FootnoteText"/>
        <w:rPr>
          <w:lang w:bidi="he-IL"/>
        </w:rPr>
      </w:pPr>
      <w:r>
        <w:rPr>
          <w:rStyle w:val="FootnoteCharacters"/>
        </w:rPr>
        <w:footnoteRef/>
      </w:r>
      <w:r>
        <w:rPr>
          <w:rtl/>
          <w:lang w:bidi="he-IL"/>
        </w:rPr>
        <w:tab/>
        <w:t>משנה יזכיר שלפעמים היה הדין שביהודה שונה מדין שבגליל (הוא, כנראה, מקום סתם של המשנה). כיון שמזכיר שני דברים שתיד שונים ביהודה (עיין במה שנכ’ בדמאי), מניחים שהדין גם שונה לשני דברים אחרונים שנזכרו בגליל.</w:t>
      </w:r>
    </w:p>
    <w:p w14:paraId="1824638F" w14:textId="77777777" w:rsidR="00037F92" w:rsidRDefault="00000000">
      <w:pPr>
        <w:pStyle w:val="FootnoteText"/>
        <w:rPr>
          <w:lang w:bidi="he-IL"/>
        </w:rPr>
      </w:pPr>
      <w:r>
        <w:rPr>
          <w:rtl/>
          <w:lang w:bidi="he-IL"/>
        </w:rPr>
        <w:tab/>
        <w:t>לא חלקו בדין, אלא הביאור הוא שבמקום אחד החשיבו אותו הפרי ובמקום אחר לא החשיבו אותו. ממילא, היה דין דמאי במקום שהחשיבו אותו, ולא היה דין דמאי במקום שלא החשיבו אותו.</w:t>
      </w:r>
    </w:p>
  </w:footnote>
  <w:footnote w:id="14">
    <w:p w14:paraId="470C23BD" w14:textId="77777777" w:rsidR="00037F92" w:rsidRDefault="00000000">
      <w:pPr>
        <w:pStyle w:val="FootnoteText"/>
        <w:rPr>
          <w:lang w:bidi="he-IL"/>
        </w:rPr>
      </w:pPr>
      <w:r>
        <w:rPr>
          <w:rStyle w:val="FootnoteCharacters"/>
        </w:rPr>
        <w:footnoteRef/>
      </w:r>
      <w:r>
        <w:rPr>
          <w:rtl/>
          <w:lang w:bidi="he-IL"/>
        </w:rPr>
        <w:tab/>
        <w:t>גמ’ מזכיר שבגליל היו שומרים אותו, אבל מזלזלים בו, לומר שאין בו צורך. (כיון שהיו שומרים אותו, צריך ביאור איך נאמר שהוא הפקר (לפי רבי יוחנן). אבל, ביהודה שמרו אותו, וחשב שהיה צורך, שחשוב הוא.</w:t>
      </w:r>
    </w:p>
  </w:footnote>
  <w:footnote w:id="15">
    <w:p w14:paraId="37C3EBBE" w14:textId="77777777" w:rsidR="00037F92" w:rsidRDefault="00000000">
      <w:pPr>
        <w:pStyle w:val="FootnoteText"/>
        <w:rPr>
          <w:lang w:bidi="he-IL"/>
        </w:rPr>
      </w:pPr>
      <w:r>
        <w:rPr>
          <w:rStyle w:val="FootnoteCharacters"/>
        </w:rPr>
        <w:footnoteRef/>
      </w:r>
      <w:r>
        <w:rPr>
          <w:rtl/>
          <w:lang w:bidi="he-IL"/>
        </w:rPr>
        <w:tab/>
        <w:t>ראיתי שהוא באנגלית "דיל.” אבל, פני משה פי’ שהם ענבים מאוחרים שבקושי מתבשלים.</w:t>
      </w:r>
    </w:p>
  </w:footnote>
  <w:footnote w:id="16">
    <w:p w14:paraId="7237A8F1" w14:textId="77777777" w:rsidR="00037F92" w:rsidRDefault="00000000">
      <w:pPr>
        <w:pStyle w:val="FootnoteText"/>
        <w:rPr>
          <w:lang w:bidi="he-IL"/>
        </w:rPr>
      </w:pPr>
      <w:r>
        <w:rPr>
          <w:rStyle w:val="FootnoteCharacters"/>
        </w:rPr>
        <w:footnoteRef/>
      </w:r>
      <w:r>
        <w:rPr>
          <w:rtl/>
          <w:lang w:bidi="he-IL"/>
        </w:rPr>
        <w:tab/>
        <w:t>ראיתי שהוא באנגלית "קאפיר"ס,” שהוא צלף.</w:t>
      </w:r>
    </w:p>
  </w:footnote>
  <w:footnote w:id="17">
    <w:p w14:paraId="5C592C58" w14:textId="77777777" w:rsidR="00037F92" w:rsidRDefault="00000000">
      <w:pPr>
        <w:pStyle w:val="FootnoteText"/>
        <w:rPr>
          <w:lang w:bidi="he-IL"/>
        </w:rPr>
      </w:pPr>
      <w:r>
        <w:rPr>
          <w:rStyle w:val="FootnoteCharacters"/>
        </w:rPr>
        <w:footnoteRef/>
      </w:r>
      <w:r>
        <w:rPr>
          <w:rtl/>
          <w:lang w:bidi="he-IL"/>
        </w:rPr>
        <w:tab/>
        <w:t>הוא פרי אדום שנקרא באנגלית "סומאק.”</w:t>
      </w:r>
    </w:p>
  </w:footnote>
  <w:footnote w:id="18">
    <w:p w14:paraId="6407237A" w14:textId="77777777" w:rsidR="00037F92" w:rsidRDefault="00000000">
      <w:pPr>
        <w:pStyle w:val="FootnoteText"/>
        <w:rPr>
          <w:lang w:bidi="he-IL"/>
        </w:rPr>
      </w:pPr>
      <w:r>
        <w:rPr>
          <w:rStyle w:val="FootnoteCharacters"/>
        </w:rPr>
        <w:footnoteRef/>
      </w:r>
      <w:r>
        <w:rPr>
          <w:rtl/>
          <w:lang w:bidi="he-IL"/>
        </w:rPr>
        <w:tab/>
        <w:t>גמ’ מפרש שזה מפני שהיו הרבה ענבים, ואז היו הרבה חרצנים שמהם עשו חומץ. אז, לא היה חשוב.</w:t>
      </w:r>
    </w:p>
  </w:footnote>
  <w:footnote w:id="19">
    <w:p w14:paraId="00E8F4AA" w14:textId="77777777" w:rsidR="00037F92" w:rsidRDefault="00000000">
      <w:pPr>
        <w:pStyle w:val="FootnoteText"/>
        <w:rPr>
          <w:lang w:bidi="he-IL"/>
        </w:rPr>
      </w:pPr>
      <w:r>
        <w:rPr>
          <w:rStyle w:val="FootnoteCharacters"/>
        </w:rPr>
        <w:footnoteRef/>
      </w:r>
      <w:r>
        <w:rPr>
          <w:rtl/>
          <w:lang w:bidi="he-IL"/>
        </w:rPr>
        <w:tab/>
        <w:t>הוא הנקרא באנגלית "קוראיאנד"ר.”</w:t>
      </w:r>
    </w:p>
  </w:footnote>
  <w:footnote w:id="20">
    <w:p w14:paraId="03FEBC1C" w14:textId="77777777" w:rsidR="00037F92" w:rsidRDefault="00000000">
      <w:pPr>
        <w:pStyle w:val="FootnoteText"/>
        <w:rPr>
          <w:lang w:bidi="he-IL"/>
        </w:rPr>
      </w:pPr>
      <w:r>
        <w:rPr>
          <w:rStyle w:val="FootnoteCharacters"/>
        </w:rPr>
        <w:footnoteRef/>
      </w:r>
      <w:r>
        <w:rPr>
          <w:rtl/>
          <w:lang w:bidi="he-IL"/>
        </w:rPr>
        <w:tab/>
        <w:t>לשון המשנה ק"ק. רבנן פטרו שיתין, ומשמע שכוונו לפטור את כל השיתין. אם כן, רבי יהודה בא לחייב, אבל לשון שלו לא משמע כן. ותחשב.</w:t>
      </w:r>
    </w:p>
  </w:footnote>
  <w:footnote w:id="21">
    <w:p w14:paraId="5E8320F0" w14:textId="77777777" w:rsidR="00037F92" w:rsidRDefault="00000000">
      <w:pPr>
        <w:pStyle w:val="FootnoteText"/>
        <w:rPr>
          <w:lang w:bidi="he-IL"/>
        </w:rPr>
      </w:pPr>
      <w:r>
        <w:rPr>
          <w:rStyle w:val="FootnoteCharacters"/>
        </w:rPr>
        <w:footnoteRef/>
      </w:r>
      <w:r>
        <w:rPr>
          <w:rtl/>
          <w:lang w:bidi="he-IL"/>
        </w:rPr>
        <w:tab/>
        <w:t>גמ’ מפרש שבאלו רוב בני אדם שומרים אותם, ואז הוא נגד שיטת ריש לקיש. (עיין בהוספות אות ד.)</w:t>
      </w:r>
    </w:p>
  </w:footnote>
  <w:footnote w:id="22">
    <w:p w14:paraId="67938750" w14:textId="77777777" w:rsidR="00037F92" w:rsidRDefault="00000000">
      <w:pPr>
        <w:pStyle w:val="FootnoteText"/>
        <w:rPr>
          <w:b/>
          <w:bCs/>
          <w:lang w:bidi="he-IL"/>
        </w:rPr>
      </w:pPr>
      <w:r>
        <w:rPr>
          <w:rStyle w:val="FootnoteCharacters"/>
        </w:rPr>
        <w:footnoteRef/>
      </w:r>
      <w:r>
        <w:rPr>
          <w:b/>
          <w:bCs/>
          <w:rtl/>
          <w:lang w:bidi="he-IL"/>
        </w:rPr>
        <w:tab/>
        <w:t>ענין המשנה:</w:t>
      </w:r>
      <w:r>
        <w:rPr>
          <w:rtl/>
          <w:lang w:bidi="he-IL"/>
        </w:rPr>
        <w:t xml:space="preserve"> המשנה מבאר שיש דברים שמחמת שאינם חשובים אין בהם דין דמאי. חולקים אמוראים אם מדובר בדברים שאין להם או יש להם חיוב מעשר. הגמ’ מבאר שהכל הולך אחרי המקום, שיכול להיות דבר שחייב במקום אחד ופטור במקום אחר.</w:t>
      </w:r>
    </w:p>
  </w:footnote>
  <w:footnote w:id="23">
    <w:p w14:paraId="21BAE6C6" w14:textId="77777777" w:rsidR="00037F92" w:rsidRDefault="00000000">
      <w:pPr>
        <w:pStyle w:val="FootnoteText"/>
        <w:rPr>
          <w:b/>
          <w:bCs/>
          <w:lang w:bidi="he-IL"/>
        </w:rPr>
      </w:pPr>
      <w:r>
        <w:rPr>
          <w:rStyle w:val="FootnoteCharacters"/>
        </w:rPr>
        <w:footnoteRef/>
      </w:r>
      <w:r>
        <w:rPr>
          <w:b/>
          <w:bCs/>
          <w:rtl/>
          <w:lang w:bidi="he-IL"/>
        </w:rPr>
        <w:tab/>
        <w:t>משנה ב</w:t>
      </w:r>
    </w:p>
  </w:footnote>
  <w:footnote w:id="24">
    <w:p w14:paraId="1A340430" w14:textId="77777777" w:rsidR="00037F92" w:rsidRDefault="00000000">
      <w:pPr>
        <w:pStyle w:val="FootnoteText"/>
        <w:rPr>
          <w:lang w:bidi="he-IL"/>
        </w:rPr>
      </w:pPr>
      <w:r>
        <w:rPr>
          <w:rStyle w:val="FootnoteCharacters"/>
        </w:rPr>
        <w:footnoteRef/>
      </w:r>
      <w:r>
        <w:rPr>
          <w:rtl/>
          <w:lang w:bidi="he-IL"/>
        </w:rPr>
        <w:tab/>
        <w:t>המשנה מדבר בתרומות ומעשרת של דמאי. יש הרבה דינים שנוהגים של וודאי. משנה אומרת שאף שחייבים להפריש מדמאי, לא חייבים לנהוג עמו כל דינים של ודאי. יש דינים שלא נוהגים בו, כמו שימנה המשנה. דינים אלו, לכאו’, לא נוהגים כיון שאין הרווח שווה הטורח.</w:t>
      </w:r>
    </w:p>
  </w:footnote>
  <w:footnote w:id="25">
    <w:p w14:paraId="58915923" w14:textId="77777777" w:rsidR="00037F92" w:rsidRDefault="00000000">
      <w:pPr>
        <w:pStyle w:val="FootnoteText"/>
        <w:rPr>
          <w:lang w:bidi="he-IL"/>
        </w:rPr>
      </w:pPr>
      <w:r>
        <w:rPr>
          <w:rStyle w:val="FootnoteCharacters"/>
        </w:rPr>
        <w:footnoteRef/>
      </w:r>
      <w:r>
        <w:rPr>
          <w:rtl/>
          <w:lang w:bidi="he-IL"/>
        </w:rPr>
        <w:tab/>
        <w:t>גמ’ מבאר שאלו רק בדמאי, ולא בוודאי. (יש להעיר שלפי רבי יוחנן, משנה א מתיר דמאי, אף שבאמת מתיר גם וודאי. צ"ע.)</w:t>
      </w:r>
    </w:p>
  </w:footnote>
  <w:footnote w:id="26">
    <w:p w14:paraId="5B157A4A" w14:textId="77777777" w:rsidR="00037F92" w:rsidRDefault="00000000">
      <w:pPr>
        <w:pStyle w:val="FootnoteText"/>
        <w:rPr>
          <w:lang w:bidi="he-IL"/>
        </w:rPr>
      </w:pPr>
      <w:r>
        <w:rPr>
          <w:rStyle w:val="FootnoteCharacters"/>
        </w:rPr>
        <w:footnoteRef/>
      </w:r>
      <w:r>
        <w:rPr>
          <w:rtl/>
          <w:lang w:bidi="he-IL"/>
        </w:rPr>
        <w:tab/>
        <w:t>יש שני חומשים השייכים בדמאי:</w:t>
      </w:r>
    </w:p>
    <w:p w14:paraId="62015C45" w14:textId="77777777" w:rsidR="00037F92" w:rsidRDefault="00000000">
      <w:pPr>
        <w:pStyle w:val="FootnoteText"/>
        <w:numPr>
          <w:ilvl w:val="0"/>
          <w:numId w:val="6"/>
        </w:numPr>
        <w:rPr>
          <w:lang w:bidi="he-IL"/>
        </w:rPr>
      </w:pPr>
      <w:r>
        <w:rPr>
          <w:rtl/>
          <w:lang w:bidi="he-IL"/>
        </w:rPr>
        <w:t>חומש של תרומת מעשר. אם זר אוכל תר"מ בשוגג, צריך לשלם את דמיו בהוספת חומש.</w:t>
      </w:r>
    </w:p>
    <w:p w14:paraId="693DB8C7" w14:textId="77777777" w:rsidR="00037F92" w:rsidRDefault="00000000">
      <w:pPr>
        <w:pStyle w:val="FootnoteText"/>
        <w:numPr>
          <w:ilvl w:val="0"/>
          <w:numId w:val="6"/>
        </w:numPr>
        <w:rPr>
          <w:lang w:bidi="he-IL"/>
        </w:rPr>
      </w:pPr>
      <w:r>
        <w:rPr>
          <w:rtl/>
          <w:lang w:bidi="he-IL"/>
        </w:rPr>
        <w:t>חומש של מעשר שני. אם אדם פודה את מ"ש שלו, צריך להוסיף חומש.</w:t>
      </w:r>
    </w:p>
    <w:p w14:paraId="7FE691D7" w14:textId="77777777" w:rsidR="00037F92" w:rsidRDefault="00000000">
      <w:pPr>
        <w:pStyle w:val="FootnoteText"/>
        <w:rPr>
          <w:lang w:bidi="he-IL"/>
        </w:rPr>
      </w:pPr>
      <w:r>
        <w:rPr>
          <w:rtl/>
          <w:lang w:bidi="he-IL"/>
        </w:rPr>
        <w:tab/>
        <w:t>חולקים אמוראים אם משנה מכוון לפטור רק את השני או גם את הראשון. (הצד לחלק הוא שצריך להחמיר בת"מ, שאל"כ לא ינהוג בו קדושה, וצ’ להקל במ"ש, שאם לא כן, לא יפדו אותו.) אף אם מדבר גם בראשון, הראשון הוא מחלקת תנאים. (יש להסתפק אם מחלקת זו שייכת גם בשאר דברים שבמשנה.)</w:t>
      </w:r>
    </w:p>
    <w:p w14:paraId="4B75E65B" w14:textId="77777777" w:rsidR="00037F92" w:rsidRDefault="00000000">
      <w:pPr>
        <w:pStyle w:val="FootnoteText"/>
        <w:rPr>
          <w:lang w:bidi="he-IL"/>
        </w:rPr>
      </w:pPr>
      <w:r>
        <w:rPr>
          <w:rtl/>
          <w:lang w:bidi="he-IL"/>
        </w:rPr>
        <w:tab/>
        <w:t>כמו כן בשאר דברים ששייכים בו ת"מ, יחלקו אם הוא גם בת"מ.</w:t>
      </w:r>
    </w:p>
  </w:footnote>
  <w:footnote w:id="27">
    <w:p w14:paraId="051317A4" w14:textId="77777777" w:rsidR="00037F92" w:rsidRDefault="00000000">
      <w:pPr>
        <w:pStyle w:val="FootnoteText"/>
        <w:rPr>
          <w:lang w:bidi="he-IL"/>
        </w:rPr>
      </w:pPr>
      <w:r>
        <w:rPr>
          <w:rStyle w:val="FootnoteCharacters"/>
        </w:rPr>
        <w:footnoteRef/>
      </w:r>
      <w:r>
        <w:rPr>
          <w:rtl/>
          <w:lang w:bidi="he-IL"/>
        </w:rPr>
        <w:tab/>
        <w:t>בפסח של שנה רביעית ושביעית, חייבים לבער את כל המעשר. אבל, לא חייבים לבער מעשר שני של דמאי.</w:t>
      </w:r>
    </w:p>
  </w:footnote>
  <w:footnote w:id="28">
    <w:p w14:paraId="487E953E" w14:textId="77777777" w:rsidR="00037F92" w:rsidRDefault="00000000">
      <w:pPr>
        <w:pStyle w:val="FootnoteText"/>
        <w:rPr>
          <w:lang w:bidi="he-IL"/>
        </w:rPr>
      </w:pPr>
      <w:r>
        <w:rPr>
          <w:rStyle w:val="FootnoteCharacters"/>
        </w:rPr>
        <w:footnoteRef/>
      </w:r>
      <w:r>
        <w:rPr>
          <w:rtl/>
          <w:lang w:bidi="he-IL"/>
        </w:rPr>
        <w:tab/>
        <w:t>מעשר שני לא נאכל לאונן, אבל מעשר שני של דמאי נאכל לאונן.</w:t>
      </w:r>
    </w:p>
  </w:footnote>
  <w:footnote w:id="29">
    <w:p w14:paraId="3B303AE0" w14:textId="77777777" w:rsidR="00037F92" w:rsidRDefault="00000000">
      <w:pPr>
        <w:pStyle w:val="FootnoteText"/>
        <w:rPr>
          <w:lang w:bidi="he-IL"/>
        </w:rPr>
      </w:pPr>
      <w:r>
        <w:rPr>
          <w:rStyle w:val="FootnoteCharacters"/>
        </w:rPr>
        <w:footnoteRef/>
      </w:r>
      <w:r>
        <w:rPr>
          <w:rtl/>
          <w:lang w:bidi="he-IL"/>
        </w:rPr>
        <w:tab/>
        <w:t>גמ’ מבאר שהקילו בו כיון שאנינות לא מצויה.</w:t>
      </w:r>
    </w:p>
  </w:footnote>
  <w:footnote w:id="30">
    <w:p w14:paraId="444F6490" w14:textId="77777777" w:rsidR="00037F92" w:rsidRDefault="00000000">
      <w:pPr>
        <w:pStyle w:val="FootnoteText"/>
        <w:rPr>
          <w:lang w:bidi="he-IL"/>
        </w:rPr>
      </w:pPr>
      <w:r>
        <w:rPr>
          <w:rStyle w:val="FootnoteCharacters"/>
        </w:rPr>
        <w:footnoteRef/>
      </w:r>
      <w:r>
        <w:rPr>
          <w:rtl/>
          <w:lang w:bidi="he-IL"/>
        </w:rPr>
        <w:tab/>
        <w:t>מעשר שני לא נאכל חוץ מירושלים בלי פדיון. כיון שנכנס לירושלים, לא יכול לפדות אותו, אף אם יוצא מירושלים. אבל, מעשר שני של דמאי שנכנס לירושלים עדיין נפדה. (יש לדון אם צריך לצאת מירושלים קודם פדיון.)</w:t>
      </w:r>
    </w:p>
  </w:footnote>
  <w:footnote w:id="31">
    <w:p w14:paraId="34D1C334" w14:textId="77777777" w:rsidR="00037F92" w:rsidRDefault="00000000">
      <w:pPr>
        <w:pStyle w:val="FootnoteText"/>
        <w:rPr>
          <w:lang w:bidi="he-IL"/>
        </w:rPr>
      </w:pPr>
      <w:r>
        <w:rPr>
          <w:rStyle w:val="FootnoteCharacters"/>
        </w:rPr>
        <w:footnoteRef/>
      </w:r>
      <w:r>
        <w:rPr>
          <w:rtl/>
          <w:lang w:bidi="he-IL"/>
        </w:rPr>
        <w:tab/>
        <w:t>מותר לאבד פחות מגרוגרת, בתנאי שלא יעשה שלמה לפרוסה.</w:t>
      </w:r>
    </w:p>
  </w:footnote>
  <w:footnote w:id="32">
    <w:p w14:paraId="6E3A6207" w14:textId="77777777" w:rsidR="00037F92" w:rsidRDefault="00000000">
      <w:pPr>
        <w:pStyle w:val="FootnoteText"/>
        <w:rPr>
          <w:lang w:bidi="he-IL"/>
        </w:rPr>
      </w:pPr>
      <w:r>
        <w:rPr>
          <w:rStyle w:val="FootnoteCharacters"/>
        </w:rPr>
        <w:footnoteRef/>
      </w:r>
      <w:r>
        <w:rPr>
          <w:rtl/>
          <w:lang w:bidi="he-IL"/>
        </w:rPr>
        <w:tab/>
        <w:t>מצאנו שני פירושים לזה:</w:t>
      </w:r>
    </w:p>
    <w:p w14:paraId="50CF92F7" w14:textId="77777777" w:rsidR="00037F92" w:rsidRDefault="00000000">
      <w:pPr>
        <w:pStyle w:val="FootnoteText"/>
        <w:numPr>
          <w:ilvl w:val="0"/>
          <w:numId w:val="5"/>
        </w:numPr>
        <w:rPr>
          <w:lang w:bidi="he-IL"/>
        </w:rPr>
      </w:pPr>
      <w:r>
        <w:rPr>
          <w:rtl/>
          <w:lang w:bidi="he-IL"/>
        </w:rPr>
        <w:t>פשט של פני משה- נראה שמפרש שאם הוא עם מעשר שני של דמאי שלו במקום מסוכן, ורוצה לצאת משם, לא חייב לדאוג בשביל המעשר שני (לקחת אותו עמו).</w:t>
      </w:r>
    </w:p>
    <w:p w14:paraId="4645E147" w14:textId="77777777" w:rsidR="00037F92" w:rsidRDefault="00000000">
      <w:pPr>
        <w:pStyle w:val="FootnoteText"/>
        <w:numPr>
          <w:ilvl w:val="0"/>
          <w:numId w:val="5"/>
        </w:numPr>
        <w:rPr>
          <w:lang w:bidi="he-IL"/>
        </w:rPr>
      </w:pPr>
      <w:r>
        <w:rPr>
          <w:rtl/>
          <w:lang w:bidi="he-IL"/>
        </w:rPr>
        <w:t>פשט של הרמבם- אם מאבד קצת מעשר שני של דמאי בדרך, לא צריך לדאוג בשבילו, למצוא אותו או לפדות אותו.</w:t>
      </w:r>
    </w:p>
  </w:footnote>
  <w:footnote w:id="33">
    <w:p w14:paraId="01E02894" w14:textId="77777777" w:rsidR="00037F92" w:rsidRDefault="00000000">
      <w:pPr>
        <w:pStyle w:val="FootnoteText"/>
        <w:rPr>
          <w:lang w:bidi="he-IL"/>
        </w:rPr>
      </w:pPr>
      <w:r>
        <w:rPr>
          <w:rStyle w:val="FootnoteCharacters"/>
        </w:rPr>
        <w:footnoteRef/>
      </w:r>
      <w:r>
        <w:rPr>
          <w:rtl/>
          <w:lang w:bidi="he-IL"/>
        </w:rPr>
        <w:tab/>
        <w:t>גמ’ מבאר שיכולים להקל בזה אף אם יש לו כסף, ויכול לפדות אותו.</w:t>
      </w:r>
    </w:p>
  </w:footnote>
  <w:footnote w:id="34">
    <w:p w14:paraId="0F8169B2" w14:textId="77777777" w:rsidR="00037F92" w:rsidRDefault="00000000">
      <w:pPr>
        <w:pStyle w:val="FootnoteText"/>
        <w:rPr>
          <w:lang w:bidi="he-IL"/>
        </w:rPr>
      </w:pPr>
      <w:r>
        <w:rPr>
          <w:rStyle w:val="FootnoteCharacters"/>
        </w:rPr>
        <w:footnoteRef/>
      </w:r>
      <w:r>
        <w:rPr>
          <w:rtl/>
          <w:lang w:bidi="he-IL"/>
        </w:rPr>
        <w:tab/>
        <w:t>בדרך כלל, לא נותנים מעשר שני לעם הארץ, שחוששים שיאכל אותו כשהוא טמא. אבל, נותנים מעשר שני של דמאי לעם הארץ. אם נותן אותו, צריך להפריש כנגדו מפירות שלו, ולאכול אותם בידנים של מעשר שני (לכאו’, בדינים של מעשר שני של דמאי). יש שפי’ שבהפרשה זו הוא פודה את המעשר שני שנתן לו. אבל, עדיין סור לתת לעם הארץ מעשר שני וודאי, שחוששים שלא יפדה עד שיאכל אותם בטומאה.</w:t>
      </w:r>
    </w:p>
  </w:footnote>
  <w:footnote w:id="35">
    <w:p w14:paraId="72C0806B" w14:textId="77777777" w:rsidR="00037F92" w:rsidRDefault="00000000">
      <w:pPr>
        <w:pStyle w:val="FootnoteText"/>
        <w:rPr>
          <w:lang w:bidi="he-IL"/>
        </w:rPr>
      </w:pPr>
      <w:r>
        <w:rPr>
          <w:rStyle w:val="FootnoteCharacters"/>
        </w:rPr>
        <w:footnoteRef/>
      </w:r>
      <w:r>
        <w:rPr>
          <w:rtl/>
          <w:lang w:bidi="he-IL"/>
        </w:rPr>
        <w:tab/>
        <w:t>אף שכבר פדה אותו באופן אחד, יכול לחזור ולפדות אותו באופן אחר, אף אם אינו אופן יותר טוב.</w:t>
      </w:r>
    </w:p>
  </w:footnote>
  <w:footnote w:id="36">
    <w:p w14:paraId="5E0B86E6" w14:textId="77777777" w:rsidR="00037F92" w:rsidRDefault="00000000">
      <w:pPr>
        <w:pStyle w:val="FootnoteText"/>
        <w:rPr>
          <w:lang w:bidi="he-IL"/>
        </w:rPr>
      </w:pPr>
      <w:r>
        <w:rPr>
          <w:rStyle w:val="FootnoteCharacters"/>
        </w:rPr>
        <w:footnoteRef/>
      </w:r>
      <w:r>
        <w:rPr>
          <w:rtl/>
          <w:lang w:bidi="he-IL"/>
        </w:rPr>
        <w:tab/>
        <w:t>בעצם, מה שמותר הוא לפדות כסף על כסף. אבל, כיון שדעתו לפדות את הפירות, נחשב כפודה כסף על כסף.</w:t>
      </w:r>
    </w:p>
  </w:footnote>
  <w:footnote w:id="37">
    <w:p w14:paraId="7B431379" w14:textId="77777777" w:rsidR="00037F92" w:rsidRDefault="00000000">
      <w:pPr>
        <w:pStyle w:val="FootnoteText"/>
        <w:rPr>
          <w:lang w:bidi="he-IL"/>
        </w:rPr>
      </w:pPr>
      <w:r>
        <w:rPr>
          <w:rStyle w:val="FootnoteCharacters"/>
        </w:rPr>
        <w:footnoteRef/>
      </w:r>
      <w:r>
        <w:rPr>
          <w:rtl/>
          <w:lang w:bidi="he-IL"/>
        </w:rPr>
        <w:tab/>
        <w:t>חכמים מקילים, ואומרים שמותר לפדות על פירות, ולא צריך לפדות אחרי כן את הפירות.</w:t>
      </w:r>
    </w:p>
  </w:footnote>
  <w:footnote w:id="38">
    <w:p w14:paraId="574EF4B4" w14:textId="77777777" w:rsidR="00037F92" w:rsidRDefault="00000000">
      <w:pPr>
        <w:pStyle w:val="FootnoteText"/>
        <w:rPr>
          <w:b/>
          <w:bCs/>
          <w:lang w:bidi="he-IL"/>
        </w:rPr>
      </w:pPr>
      <w:r>
        <w:rPr>
          <w:rStyle w:val="FootnoteCharacters"/>
        </w:rPr>
        <w:footnoteRef/>
      </w:r>
      <w:r>
        <w:rPr>
          <w:b/>
          <w:bCs/>
          <w:rtl/>
          <w:lang w:bidi="he-IL"/>
        </w:rPr>
        <w:tab/>
        <w:t>משנה ג</w:t>
      </w:r>
    </w:p>
  </w:footnote>
  <w:footnote w:id="39">
    <w:p w14:paraId="0B0E7F07" w14:textId="77777777" w:rsidR="00037F92" w:rsidRDefault="00000000">
      <w:pPr>
        <w:pStyle w:val="FootnoteText"/>
        <w:rPr>
          <w:lang w:bidi="he-IL"/>
        </w:rPr>
      </w:pPr>
      <w:r>
        <w:rPr>
          <w:rStyle w:val="FootnoteCharacters"/>
        </w:rPr>
        <w:footnoteRef/>
      </w:r>
      <w:r>
        <w:rPr>
          <w:rtl/>
          <w:lang w:bidi="he-IL"/>
        </w:rPr>
        <w:tab/>
        <w:t>כדי לזרוע אותו. לא רק בא לומר שפטור ממעשר לאחר שזרע אותו, שלפעמים אף טבל וודאי פטור מן המעשר. אלא, בא לומר שאין איסור לזרוע אותם ולפטור אותם ממעשר על ידי כך.</w:t>
      </w:r>
    </w:p>
  </w:footnote>
  <w:footnote w:id="40">
    <w:p w14:paraId="462BD6A8" w14:textId="77777777" w:rsidR="00037F92" w:rsidRDefault="00000000">
      <w:pPr>
        <w:pStyle w:val="FootnoteText"/>
        <w:rPr>
          <w:lang w:bidi="he-IL"/>
        </w:rPr>
      </w:pPr>
      <w:r>
        <w:rPr>
          <w:rStyle w:val="FootnoteCharacters"/>
        </w:rPr>
        <w:footnoteRef/>
      </w:r>
      <w:r>
        <w:rPr>
          <w:rtl/>
          <w:lang w:bidi="he-IL"/>
        </w:rPr>
        <w:tab/>
        <w:t>למאכל בהמה.</w:t>
      </w:r>
    </w:p>
  </w:footnote>
  <w:footnote w:id="41">
    <w:p w14:paraId="1AD6BDD4" w14:textId="77777777" w:rsidR="00037F92" w:rsidRDefault="00000000">
      <w:pPr>
        <w:pStyle w:val="FootnoteText"/>
        <w:rPr>
          <w:lang w:bidi="he-IL"/>
        </w:rPr>
      </w:pPr>
      <w:r>
        <w:rPr>
          <w:rStyle w:val="FootnoteCharacters"/>
        </w:rPr>
        <w:footnoteRef/>
      </w:r>
      <w:r>
        <w:rPr>
          <w:rtl/>
          <w:lang w:bidi="he-IL"/>
        </w:rPr>
        <w:tab/>
        <w:t>לעבד בהם עורות.</w:t>
      </w:r>
    </w:p>
  </w:footnote>
  <w:footnote w:id="42">
    <w:p w14:paraId="3B3D3CD7" w14:textId="77777777" w:rsidR="00037F92" w:rsidRDefault="00000000">
      <w:pPr>
        <w:pStyle w:val="FootnoteText"/>
        <w:rPr>
          <w:lang w:bidi="he-IL"/>
        </w:rPr>
      </w:pPr>
      <w:r>
        <w:rPr>
          <w:rStyle w:val="FootnoteCharacters"/>
        </w:rPr>
        <w:footnoteRef/>
      </w:r>
      <w:r>
        <w:rPr>
          <w:rtl/>
          <w:lang w:bidi="he-IL"/>
        </w:rPr>
        <w:tab/>
        <w:t>מן הבבלי (חולין) יוצא שרק פטור אם קנה אותם לכך, ולא אם שינה את דעתו. (עיין בהוספות אות ה.)</w:t>
      </w:r>
    </w:p>
  </w:footnote>
  <w:footnote w:id="43">
    <w:p w14:paraId="3753E13E" w14:textId="77777777" w:rsidR="00037F92" w:rsidRDefault="00000000">
      <w:pPr>
        <w:pStyle w:val="FootnoteText"/>
        <w:rPr>
          <w:lang w:bidi="he-IL"/>
        </w:rPr>
      </w:pPr>
      <w:r>
        <w:rPr>
          <w:rStyle w:val="FootnoteCharacters"/>
        </w:rPr>
        <w:footnoteRef/>
      </w:r>
      <w:r>
        <w:rPr>
          <w:rtl/>
          <w:lang w:bidi="he-IL"/>
        </w:rPr>
        <w:tab/>
        <w:t>גמ’ מפרש שהקונה בכזיב עצמו פטור מן הדמאי.</w:t>
      </w:r>
    </w:p>
  </w:footnote>
  <w:footnote w:id="44">
    <w:p w14:paraId="27F4D8E6" w14:textId="77777777" w:rsidR="00037F92" w:rsidRDefault="00000000">
      <w:pPr>
        <w:pStyle w:val="FootnoteText"/>
        <w:rPr>
          <w:lang w:bidi="he-IL"/>
        </w:rPr>
      </w:pPr>
      <w:r>
        <w:rPr>
          <w:rStyle w:val="FootnoteCharacters"/>
        </w:rPr>
        <w:footnoteRef/>
      </w:r>
      <w:r>
        <w:rPr>
          <w:rtl/>
          <w:lang w:bidi="he-IL"/>
        </w:rPr>
        <w:tab/>
        <w:t>גמ’ מפרש שיש שני דרכים למכור – על ידי חמרים או ברגל. לכאו’, כאן פטור משניהם. (עיין בהוספות אות ו.)</w:t>
      </w:r>
    </w:p>
  </w:footnote>
  <w:footnote w:id="45">
    <w:p w14:paraId="7731AD11" w14:textId="77777777" w:rsidR="00037F92" w:rsidRDefault="00000000">
      <w:pPr>
        <w:pStyle w:val="FootnoteText"/>
        <w:rPr>
          <w:lang w:bidi="he-IL"/>
        </w:rPr>
      </w:pPr>
      <w:r>
        <w:rPr>
          <w:rStyle w:val="FootnoteCharacters"/>
        </w:rPr>
        <w:footnoteRef/>
      </w:r>
      <w:r>
        <w:rPr>
          <w:rtl/>
          <w:lang w:bidi="he-IL"/>
        </w:rPr>
        <w:tab/>
        <w:t>שם, לא רק מן הדמאי פטור, אלא אף מן הוודאי. (א-א)</w:t>
      </w:r>
    </w:p>
  </w:footnote>
  <w:footnote w:id="46">
    <w:p w14:paraId="47C96A40" w14:textId="77777777" w:rsidR="00037F92" w:rsidRDefault="00000000">
      <w:pPr>
        <w:pStyle w:val="FootnoteText"/>
        <w:rPr>
          <w:lang w:bidi="he-IL"/>
        </w:rPr>
      </w:pPr>
      <w:r>
        <w:rPr>
          <w:rStyle w:val="FootnoteCharacters"/>
        </w:rPr>
        <w:footnoteRef/>
      </w:r>
      <w:r>
        <w:rPr>
          <w:rtl/>
          <w:lang w:bidi="he-IL"/>
        </w:rPr>
        <w:tab/>
        <w:t xml:space="preserve">גמ’ בחולין אומר שאף שהמדומע אסור, לא מותר לדמע בידים. </w:t>
      </w:r>
    </w:p>
  </w:footnote>
  <w:footnote w:id="47">
    <w:p w14:paraId="14FDE382" w14:textId="77777777" w:rsidR="00037F92" w:rsidRDefault="00000000">
      <w:pPr>
        <w:pStyle w:val="FootnoteText"/>
        <w:rPr>
          <w:lang w:bidi="he-IL"/>
        </w:rPr>
      </w:pPr>
      <w:r>
        <w:rPr>
          <w:rStyle w:val="FootnoteCharacters"/>
        </w:rPr>
        <w:footnoteRef/>
      </w:r>
      <w:r>
        <w:rPr>
          <w:rtl/>
          <w:lang w:bidi="he-IL"/>
        </w:rPr>
        <w:tab/>
        <w:t>חולקים תנאים בזה, אם רק פטור מן הדמאי, או אף מן הוודאי.</w:t>
      </w:r>
    </w:p>
  </w:footnote>
  <w:footnote w:id="48">
    <w:p w14:paraId="6B0DA5ED" w14:textId="77777777" w:rsidR="00037F92" w:rsidRDefault="00000000">
      <w:pPr>
        <w:pStyle w:val="FootnoteText"/>
        <w:rPr>
          <w:lang w:bidi="he-IL"/>
        </w:rPr>
      </w:pPr>
      <w:r>
        <w:rPr>
          <w:rStyle w:val="FootnoteCharacters"/>
        </w:rPr>
        <w:footnoteRef/>
      </w:r>
      <w:r>
        <w:rPr>
          <w:rtl/>
          <w:lang w:bidi="he-IL"/>
        </w:rPr>
        <w:tab/>
        <w:t>חולקים אמוראים למה פטור. רבי הושעיא אומר שהוא מפני שע"ה מחמיר יותר בדברים קדושים אלו, ורבי יוחנן אומר שלא גזרו רבנן על דברים אלו (ולא מפרש למה).</w:t>
      </w:r>
    </w:p>
  </w:footnote>
  <w:footnote w:id="49">
    <w:p w14:paraId="05A35BAE" w14:textId="77777777" w:rsidR="00037F92" w:rsidRDefault="00000000">
      <w:pPr>
        <w:pStyle w:val="FootnoteText"/>
        <w:rPr>
          <w:lang w:bidi="he-IL"/>
        </w:rPr>
      </w:pPr>
      <w:r>
        <w:rPr>
          <w:rStyle w:val="FootnoteCharacters"/>
        </w:rPr>
        <w:footnoteRef/>
      </w:r>
      <w:r>
        <w:rPr>
          <w:rtl/>
          <w:lang w:bidi="he-IL"/>
        </w:rPr>
        <w:tab/>
        <w:t xml:space="preserve">גמ’ מפרש שאם מפריש עליהם, חל. לפי רבי יוחנן, זה מפני שבעצם חייב, ולפי רבי הושעיא זה מפני שיש ע"ה שלא מפרישים. גמ’ מפרש שיש יוצאים מן הכלל, והוא דברים שהם קדשים עד שאין לו שליטה עליה (ולא יכול עשות אותו לתרומה ומעשר). כן הוא מע"ש לפי רבי מאיר (ורבי יהודה חולק), וכן הוא שיירי מנחות (וחולקים אם רבי יהודה חולק גם שם). </w:t>
      </w:r>
    </w:p>
  </w:footnote>
  <w:footnote w:id="50">
    <w:p w14:paraId="6700C8F2" w14:textId="77777777" w:rsidR="00037F92" w:rsidRDefault="00000000">
      <w:pPr>
        <w:pStyle w:val="FootnoteText"/>
        <w:rPr>
          <w:lang w:bidi="he-IL"/>
        </w:rPr>
      </w:pPr>
      <w:r>
        <w:rPr>
          <w:rStyle w:val="FootnoteCharacters"/>
        </w:rPr>
        <w:footnoteRef/>
      </w:r>
      <w:r>
        <w:rPr>
          <w:rtl/>
          <w:lang w:bidi="he-IL"/>
        </w:rPr>
        <w:tab/>
        <w:t>גמ’ מפרש שלשה מינים של שמן ערב – שמן של פלייטון, שמן של וורד, וורדינון. מפרש שב"ה רק פוטרים בראשון, אבל מחייבים בשאר.</w:t>
      </w:r>
    </w:p>
  </w:footnote>
  <w:footnote w:id="51">
    <w:p w14:paraId="2429E899" w14:textId="77777777" w:rsidR="00037F92" w:rsidRDefault="00000000">
      <w:pPr>
        <w:pStyle w:val="FootnoteText"/>
        <w:rPr>
          <w:b/>
          <w:bCs/>
          <w:lang w:bidi="he-IL"/>
        </w:rPr>
      </w:pPr>
      <w:r>
        <w:rPr>
          <w:rStyle w:val="FootnoteCharacters"/>
        </w:rPr>
        <w:footnoteRef/>
      </w:r>
      <w:r>
        <w:rPr>
          <w:b/>
          <w:bCs/>
          <w:rtl/>
          <w:lang w:bidi="he-IL"/>
        </w:rPr>
        <w:tab/>
        <w:t>משנה ד</w:t>
      </w:r>
    </w:p>
  </w:footnote>
  <w:footnote w:id="52">
    <w:p w14:paraId="76CCF2A5" w14:textId="77777777" w:rsidR="00037F92" w:rsidRDefault="00000000">
      <w:pPr>
        <w:pStyle w:val="FootnoteText"/>
        <w:rPr>
          <w:lang w:bidi="he-IL"/>
        </w:rPr>
      </w:pPr>
      <w:r>
        <w:rPr>
          <w:rStyle w:val="FootnoteCharacters"/>
        </w:rPr>
        <w:footnoteRef/>
      </w:r>
      <w:r>
        <w:rPr>
          <w:rtl/>
          <w:lang w:bidi="he-IL"/>
        </w:rPr>
        <w:tab/>
        <w:t>עושים דברים אלו כיון שיכול להתיר אותו לעצמו, שיכול להפקיר את כל ממונו, ולעשות את עצמו עני. הרי, עני מותר בדמאי. (באמת, חולקים בית הלל ובית שמאי בזה, שרק ב"ה מתירים את הדמאי לעניים, ורק בית הלל יאמרו שיכולים לעשות דברים אלו בדמאי.) (עיין בהוספות אות ז.)</w:t>
      </w:r>
    </w:p>
  </w:footnote>
  <w:footnote w:id="53">
    <w:p w14:paraId="2F85A592" w14:textId="77777777" w:rsidR="00037F92" w:rsidRDefault="00000000">
      <w:pPr>
        <w:pStyle w:val="FootnoteText"/>
        <w:rPr>
          <w:lang w:bidi="he-IL"/>
        </w:rPr>
      </w:pPr>
      <w:r>
        <w:rPr>
          <w:rStyle w:val="FootnoteCharacters"/>
        </w:rPr>
        <w:footnoteRef/>
      </w:r>
      <w:r>
        <w:rPr>
          <w:rtl/>
          <w:lang w:bidi="he-IL"/>
        </w:rPr>
        <w:tab/>
        <w:t>מפרישים כל תרומה ערום, אבל לא מברכים ערום. אין מברכים על הפרשת דמאי (חולקים בשבת אם הוא מפני שהוא דין דרבנן שבא מפני ספק או אם הוא מפני שהוא דין דרבנן שהוא נגד רוב (שרוב ע"ה מעשרים)), ולכן כל סדר הפרשה שלו נעשה ערום.</w:t>
      </w:r>
    </w:p>
  </w:footnote>
  <w:footnote w:id="54">
    <w:p w14:paraId="352D8ECF" w14:textId="77777777" w:rsidR="00037F92" w:rsidRDefault="00000000">
      <w:pPr>
        <w:pStyle w:val="FootnoteText"/>
        <w:rPr>
          <w:lang w:bidi="he-IL"/>
        </w:rPr>
      </w:pPr>
      <w:r>
        <w:rPr>
          <w:rStyle w:val="FootnoteCharacters"/>
        </w:rPr>
        <w:footnoteRef/>
      </w:r>
      <w:r>
        <w:rPr>
          <w:rtl/>
          <w:lang w:bidi="he-IL"/>
        </w:rPr>
        <w:tab/>
        <w:t>כמו כן, מחללים אותו ערום, שאף על חילול שלו לא צריך ברכה (אף שצריך לברך על חילול מע"ש).</w:t>
      </w:r>
    </w:p>
  </w:footnote>
  <w:footnote w:id="55">
    <w:p w14:paraId="2FCC5A97" w14:textId="77777777" w:rsidR="00037F92" w:rsidRDefault="00000000">
      <w:pPr>
        <w:pStyle w:val="FootnoteText"/>
        <w:rPr>
          <w:lang w:bidi="he-IL"/>
        </w:rPr>
      </w:pPr>
      <w:r>
        <w:rPr>
          <w:rStyle w:val="FootnoteCharacters"/>
        </w:rPr>
        <w:footnoteRef/>
      </w:r>
      <w:r>
        <w:rPr>
          <w:rtl/>
          <w:lang w:bidi="he-IL"/>
        </w:rPr>
        <w:tab/>
        <w:t>אסור להפריש תרו"מ בשבת, שמתקן. אבל, מותר להפריש דמאי ביה"ש של שבת, כיון שחיוב הפרשה שלו רק מדרבנן, ואינו מתקן כ"כ. (יש לצרף עם זה מה שיש דרכים אחרים להתיר אותו, כמו הפקר נכסיו, ואז אינו מתקן אותו כל כך.)</w:t>
      </w:r>
    </w:p>
  </w:footnote>
  <w:footnote w:id="56">
    <w:p w14:paraId="4DBC1FF5" w14:textId="77777777" w:rsidR="00037F92" w:rsidRDefault="00000000">
      <w:pPr>
        <w:pStyle w:val="FootnoteText"/>
        <w:rPr>
          <w:lang w:bidi="he-IL"/>
        </w:rPr>
      </w:pPr>
      <w:r>
        <w:rPr>
          <w:rStyle w:val="FootnoteCharacters"/>
        </w:rPr>
        <w:footnoteRef/>
      </w:r>
      <w:r>
        <w:rPr>
          <w:rtl/>
          <w:lang w:bidi="he-IL"/>
        </w:rPr>
        <w:tab/>
        <w:t>רצה לומר תרומת מעשר של מעשר ראשון.</w:t>
      </w:r>
    </w:p>
  </w:footnote>
  <w:footnote w:id="57">
    <w:p w14:paraId="4522D052" w14:textId="77777777" w:rsidR="00037F92" w:rsidRDefault="00000000">
      <w:pPr>
        <w:pStyle w:val="FootnoteText"/>
        <w:rPr>
          <w:lang w:bidi="he-IL"/>
        </w:rPr>
      </w:pPr>
      <w:r>
        <w:rPr>
          <w:rStyle w:val="FootnoteCharacters"/>
        </w:rPr>
        <w:footnoteRef/>
      </w:r>
      <w:r>
        <w:rPr>
          <w:rtl/>
          <w:lang w:bidi="he-IL"/>
        </w:rPr>
        <w:tab/>
        <w:t>אבל, עדיין צריך להפריש ראשון מן השני, אף שהקדים שני לראשון.</w:t>
      </w:r>
    </w:p>
  </w:footnote>
  <w:footnote w:id="58">
    <w:p w14:paraId="639EBD38" w14:textId="77777777" w:rsidR="00037F92" w:rsidRDefault="00000000">
      <w:pPr>
        <w:pStyle w:val="FootnoteText"/>
        <w:rPr>
          <w:lang w:bidi="he-IL"/>
        </w:rPr>
      </w:pPr>
      <w:r>
        <w:rPr>
          <w:rStyle w:val="FootnoteCharacters"/>
        </w:rPr>
        <w:footnoteRef/>
      </w:r>
      <w:r>
        <w:rPr>
          <w:rtl/>
          <w:lang w:bidi="he-IL"/>
        </w:rPr>
        <w:tab/>
        <w:t>חולקים אמוראים אם מותר לכת’ להקדים שני לראשון. אף אם אסור להפריש בידים שני לראשון, מותר לקבוע שני קודם לראשון. (עיין בהוספות אות ח.)</w:t>
      </w:r>
    </w:p>
  </w:footnote>
  <w:footnote w:id="59">
    <w:p w14:paraId="5BCDE89B" w14:textId="77777777" w:rsidR="00037F92" w:rsidRDefault="00000000">
      <w:pPr>
        <w:pStyle w:val="FootnoteText"/>
        <w:rPr>
          <w:lang w:bidi="he-IL"/>
        </w:rPr>
      </w:pPr>
      <w:r>
        <w:rPr>
          <w:rStyle w:val="FootnoteCharacters"/>
        </w:rPr>
        <w:footnoteRef/>
      </w:r>
      <w:r>
        <w:rPr>
          <w:rtl/>
          <w:lang w:bidi="he-IL"/>
        </w:rPr>
        <w:tab/>
        <w:t>מוסיף גמ’ שאף מותר להפריש אותו דבר להיות שני וראשון. אם הפריש אותו להיות שני, ופדה אותו, יכול לעשות אותו גם ראשון.</w:t>
      </w:r>
    </w:p>
  </w:footnote>
  <w:footnote w:id="60">
    <w:p w14:paraId="0561654B" w14:textId="77777777" w:rsidR="00037F92" w:rsidRDefault="00000000">
      <w:pPr>
        <w:pStyle w:val="FootnoteText"/>
        <w:rPr>
          <w:lang w:bidi="he-IL"/>
        </w:rPr>
      </w:pPr>
      <w:r>
        <w:rPr>
          <w:rStyle w:val="FootnoteCharacters"/>
        </w:rPr>
        <w:footnoteRef/>
      </w:r>
      <w:r>
        <w:rPr>
          <w:rtl/>
          <w:lang w:bidi="he-IL"/>
        </w:rPr>
        <w:tab/>
        <w:t>גמ’ מפרש שהחילוק הוא שאחד בטל על גוף שלו (רצה לומר, בשעת הנאה, לא בטל לדבר אחר), ואחד בטל על הצמר (רצה לומר, בשעת הנאה, בטל לדבר אחר).</w:t>
      </w:r>
    </w:p>
  </w:footnote>
  <w:footnote w:id="61">
    <w:p w14:paraId="04779FB4" w14:textId="77777777" w:rsidR="00037F92" w:rsidRDefault="00000000">
      <w:pPr>
        <w:pStyle w:val="FootnoteText"/>
        <w:jc w:val="center"/>
        <w:rPr>
          <w:b/>
          <w:bCs/>
          <w:u w:val="single"/>
          <w:lang w:bidi="he-IL"/>
        </w:rPr>
      </w:pPr>
      <w:r>
        <w:rPr>
          <w:rStyle w:val="FootnoteCharacters"/>
        </w:rPr>
        <w:footnoteRef/>
      </w:r>
      <w:r>
        <w:rPr>
          <w:b/>
          <w:bCs/>
          <w:u w:val="single"/>
          <w:rtl/>
          <w:lang w:bidi="he-IL"/>
        </w:rPr>
        <w:tab/>
        <w:t>פרק שני</w:t>
      </w:r>
    </w:p>
  </w:footnote>
  <w:footnote w:id="62">
    <w:p w14:paraId="7C366B5E" w14:textId="77777777" w:rsidR="00037F92" w:rsidRDefault="00000000">
      <w:pPr>
        <w:pStyle w:val="FootnoteText"/>
        <w:rPr>
          <w:b/>
          <w:bCs/>
          <w:lang w:bidi="he-IL"/>
        </w:rPr>
      </w:pPr>
      <w:r>
        <w:rPr>
          <w:rStyle w:val="FootnoteCharacters"/>
        </w:rPr>
        <w:footnoteRef/>
      </w:r>
      <w:r>
        <w:rPr>
          <w:b/>
          <w:bCs/>
          <w:rtl/>
          <w:lang w:bidi="he-IL"/>
        </w:rPr>
        <w:tab/>
        <w:t>משנה א</w:t>
      </w:r>
    </w:p>
  </w:footnote>
  <w:footnote w:id="63">
    <w:p w14:paraId="4EC1F114" w14:textId="77777777" w:rsidR="00037F92" w:rsidRDefault="00000000">
      <w:pPr>
        <w:pStyle w:val="FootnoteText"/>
        <w:rPr>
          <w:lang w:bidi="he-IL"/>
        </w:rPr>
      </w:pPr>
      <w:r>
        <w:rPr>
          <w:rStyle w:val="FootnoteCharacters"/>
        </w:rPr>
        <w:footnoteRef/>
      </w:r>
      <w:r>
        <w:rPr>
          <w:rtl/>
          <w:lang w:bidi="he-IL"/>
        </w:rPr>
        <w:tab/>
        <w:t>דברים אלו ניכרים שבאו מא"י. אז, אף אם נמצאים בחו"ל, צריך להפריש עליהם אפילו דמאי. (גמ’ מפרש קרק’ שמראה לנו שבא מא"י; ק"ק איך לא הזכיר המשנה את אותו הקרק’.)</w:t>
      </w:r>
    </w:p>
  </w:footnote>
  <w:footnote w:id="64">
    <w:p w14:paraId="014A76E5" w14:textId="77777777" w:rsidR="00037F92" w:rsidRDefault="00000000">
      <w:pPr>
        <w:pStyle w:val="FootnoteText"/>
        <w:rPr>
          <w:lang w:bidi="he-IL"/>
        </w:rPr>
      </w:pPr>
      <w:r>
        <w:rPr>
          <w:rStyle w:val="FootnoteCharacters"/>
        </w:rPr>
        <w:footnoteRef/>
      </w:r>
      <w:r>
        <w:rPr>
          <w:rtl/>
          <w:lang w:bidi="he-IL"/>
        </w:rPr>
        <w:tab/>
        <w:t>גמ’ מפרש שניכר שבא מא"י ממה שהוא שלם או ממה שאינה כהה (יש שני לשונות בפ"מ בביאור הירו’).</w:t>
      </w:r>
    </w:p>
  </w:footnote>
  <w:footnote w:id="65">
    <w:p w14:paraId="20BFCE84" w14:textId="77777777" w:rsidR="00037F92" w:rsidRDefault="00000000">
      <w:pPr>
        <w:pStyle w:val="FootnoteText"/>
        <w:rPr>
          <w:lang w:bidi="he-IL"/>
        </w:rPr>
      </w:pPr>
      <w:r>
        <w:rPr>
          <w:rStyle w:val="FootnoteCharacters"/>
        </w:rPr>
        <w:footnoteRef/>
      </w:r>
      <w:r>
        <w:rPr>
          <w:rtl/>
          <w:lang w:bidi="he-IL"/>
        </w:rPr>
        <w:tab/>
        <w:t>גמ’ מפרש שניכר שבא מא"י ממה שהוא עב וגדול.</w:t>
      </w:r>
    </w:p>
  </w:footnote>
  <w:footnote w:id="66">
    <w:p w14:paraId="79624E94" w14:textId="77777777" w:rsidR="00037F92" w:rsidRDefault="00000000">
      <w:pPr>
        <w:pStyle w:val="FootnoteText"/>
        <w:rPr>
          <w:lang w:bidi="he-IL"/>
        </w:rPr>
      </w:pPr>
      <w:r>
        <w:rPr>
          <w:rStyle w:val="FootnoteCharacters"/>
        </w:rPr>
        <w:footnoteRef/>
      </w:r>
      <w:r>
        <w:rPr>
          <w:rtl/>
          <w:lang w:bidi="he-IL"/>
        </w:rPr>
        <w:tab/>
        <w:t>גמ’ מפרש שניכר שבא מא"י ממה שהוא שלם.</w:t>
      </w:r>
    </w:p>
  </w:footnote>
  <w:footnote w:id="67">
    <w:p w14:paraId="4B6D8B0C" w14:textId="77777777" w:rsidR="00037F92" w:rsidRDefault="00000000">
      <w:pPr>
        <w:pStyle w:val="FootnoteText"/>
        <w:rPr>
          <w:lang w:bidi="he-IL"/>
        </w:rPr>
      </w:pPr>
      <w:r>
        <w:rPr>
          <w:rStyle w:val="FootnoteCharacters"/>
        </w:rPr>
        <w:footnoteRef/>
      </w:r>
      <w:r>
        <w:rPr>
          <w:rtl/>
          <w:lang w:bidi="he-IL"/>
        </w:rPr>
        <w:tab/>
        <w:t>גמ’ מפרש שניכר שבא מא"י ממה שהוא לבן.</w:t>
      </w:r>
    </w:p>
  </w:footnote>
  <w:footnote w:id="68">
    <w:p w14:paraId="447C3695" w14:textId="77777777" w:rsidR="00037F92" w:rsidRDefault="00000000">
      <w:pPr>
        <w:pStyle w:val="FootnoteText"/>
        <w:rPr>
          <w:lang w:bidi="he-IL"/>
        </w:rPr>
      </w:pPr>
      <w:r>
        <w:rPr>
          <w:rStyle w:val="FootnoteCharacters"/>
        </w:rPr>
        <w:footnoteRef/>
      </w:r>
      <w:r>
        <w:rPr>
          <w:rtl/>
          <w:lang w:bidi="he-IL"/>
        </w:rPr>
        <w:tab/>
        <w:t>גמ’ מפרש שניכר שבא מא"י ממה שהוא ישר.</w:t>
      </w:r>
    </w:p>
  </w:footnote>
  <w:footnote w:id="69">
    <w:p w14:paraId="6C46C931" w14:textId="77777777" w:rsidR="00037F92" w:rsidRDefault="00000000">
      <w:pPr>
        <w:pStyle w:val="FootnoteText"/>
        <w:rPr>
          <w:lang w:bidi="he-IL"/>
        </w:rPr>
      </w:pPr>
      <w:r>
        <w:rPr>
          <w:rStyle w:val="FootnoteCharacters"/>
        </w:rPr>
        <w:footnoteRef/>
      </w:r>
      <w:r>
        <w:rPr>
          <w:rtl/>
          <w:lang w:bidi="he-IL"/>
        </w:rPr>
        <w:tab/>
        <w:t>חולקים אמוראים בציור של המשנה. רבי אליעזר אומר שהוא רק אם לוקח אות בחו"ל מישראל. אבל, אם לוקח אותו מן הגוי, חייב להפריש ממנו מעשר וודאי. סובר שרוב א"י ביד גויים (גמ’ מצדד שחושש למיעוט גויים שגרים בו, אבל דוחה צד זה; כנראה, חושש אותו כיון שסובר שלא מסתבר לחוש למיעוט; קצת צריך ביאור, שהרבה תנאים ואמורים נראים שסוברים כן בתחילת חולין). אבל, אם לוקח אותו מן ישראל, אף שרוב א"י של גויים, מניח שקנה אותו מן הישראל (כיון שיש לצדד שהוא זרע אותו). רבי יוחנן אומר שרוב א"י ביד ישראל הוא, ואז בין אם מגוי לקח אותו ובין אם מישראל לקח אותו חייב בדמאי, ולא במעשר וודאי.</w:t>
      </w:r>
    </w:p>
  </w:footnote>
  <w:footnote w:id="70">
    <w:p w14:paraId="72A15F8C" w14:textId="77777777" w:rsidR="00037F92" w:rsidRDefault="00000000">
      <w:pPr>
        <w:pStyle w:val="FootnoteText"/>
        <w:rPr>
          <w:lang w:bidi="he-IL"/>
        </w:rPr>
      </w:pPr>
      <w:r>
        <w:rPr>
          <w:rStyle w:val="FootnoteCharacters"/>
        </w:rPr>
        <w:footnoteRef/>
      </w:r>
      <w:r>
        <w:rPr>
          <w:rtl/>
          <w:lang w:bidi="he-IL"/>
        </w:rPr>
        <w:tab/>
        <w:t>יש מין אורז שניכר מאד שבא מחו"ל (שאינו לבן), ואז אף בא"י פטור מן הדמאי.</w:t>
      </w:r>
    </w:p>
  </w:footnote>
  <w:footnote w:id="71">
    <w:p w14:paraId="33DB7CB7" w14:textId="77777777" w:rsidR="00037F92" w:rsidRDefault="00000000">
      <w:pPr>
        <w:pStyle w:val="FootnoteText"/>
        <w:rPr>
          <w:b/>
          <w:bCs/>
          <w:lang w:bidi="he-IL"/>
        </w:rPr>
      </w:pPr>
      <w:r>
        <w:rPr>
          <w:rStyle w:val="FootnoteCharacters"/>
        </w:rPr>
        <w:footnoteRef/>
      </w:r>
      <w:r>
        <w:rPr>
          <w:b/>
          <w:bCs/>
          <w:rtl/>
          <w:lang w:bidi="he-IL"/>
        </w:rPr>
        <w:tab/>
        <w:t>משנה ב</w:t>
      </w:r>
    </w:p>
  </w:footnote>
  <w:footnote w:id="72">
    <w:p w14:paraId="4C5DF72C" w14:textId="1AD6DDA6" w:rsidR="00BA6C2D" w:rsidRDefault="00BA6C2D">
      <w:pPr>
        <w:pStyle w:val="FootnoteText"/>
      </w:pPr>
      <w:r>
        <w:rPr>
          <w:rStyle w:val="FootnoteReference"/>
        </w:rPr>
        <w:footnoteRef/>
      </w:r>
      <w:r>
        <w:rPr>
          <w:rtl/>
          <w:lang w:bidi="he-IL"/>
        </w:rPr>
        <w:t xml:space="preserve"> </w:t>
      </w:r>
      <w:r>
        <w:rPr>
          <w:rtl/>
          <w:lang w:bidi="he-IL"/>
        </w:rPr>
        <w:tab/>
      </w:r>
      <w:r>
        <w:rPr>
          <w:rFonts w:hint="cs"/>
          <w:rtl/>
          <w:lang w:bidi="he-IL"/>
        </w:rPr>
        <w:t>משנה מבאר איך אדם נעשה נאמן למעשרות. יש להעיר שיש שני מיני נאמנות. מין ראשון הוא שיכולים לאכול אצלו, ולא צריכים לחוש לדמאי. גמ' מבאר שזה בא ע"י מה שנשנה במשנה, אבל יש דרך אחר להגיע לזה, והוא שגם בא אם הוא נאמן לטהרות (עיין במשנה הבאה). מין שני הוא שאם אומר שדבר מעושר</w:t>
      </w:r>
      <w:r w:rsidR="00D045C3">
        <w:rPr>
          <w:rFonts w:hint="cs"/>
          <w:rtl/>
          <w:lang w:bidi="he-IL"/>
        </w:rPr>
        <w:t xml:space="preserve"> (או שרואים שהוא אוכל ממנו</w:t>
      </w:r>
      <w:r w:rsidR="002366A5">
        <w:rPr>
          <w:rFonts w:hint="cs"/>
          <w:rtl/>
          <w:lang w:bidi="he-IL"/>
        </w:rPr>
        <w:t xml:space="preserve"> (גמ' אומר שזה עושה נאמנות; הנחתי שזה ממין השני, אבל לא מוכרח)</w:t>
      </w:r>
      <w:r w:rsidR="00D045C3">
        <w:rPr>
          <w:rFonts w:hint="cs"/>
          <w:rtl/>
          <w:lang w:bidi="he-IL"/>
        </w:rPr>
        <w:t>)</w:t>
      </w:r>
      <w:r>
        <w:rPr>
          <w:rFonts w:hint="cs"/>
          <w:rtl/>
          <w:lang w:bidi="he-IL"/>
        </w:rPr>
        <w:t>, לא חוששים לדמאי. זה רק בא ע"י מה שנשנה במשנה.</w:t>
      </w:r>
    </w:p>
  </w:footnote>
  <w:footnote w:id="73">
    <w:p w14:paraId="064C3FE4" w14:textId="77777777" w:rsidR="00037F92" w:rsidRDefault="00000000">
      <w:pPr>
        <w:pStyle w:val="FootnoteText"/>
        <w:rPr>
          <w:lang w:bidi="he-IL"/>
        </w:rPr>
      </w:pPr>
      <w:r>
        <w:rPr>
          <w:rStyle w:val="FootnoteCharacters"/>
        </w:rPr>
        <w:footnoteRef/>
      </w:r>
      <w:r>
        <w:rPr>
          <w:rtl/>
          <w:lang w:bidi="he-IL"/>
        </w:rPr>
        <w:tab/>
        <w:t>משנה מבאר מי נאמן לענין מעשרות – שלוקחים ממנו פירות ולא צריכים לעשר – ואומר שהוא מי שמקבל עליו נאמנות של מעשרות. מבאר מה צריך לקבל עליו; איך צריך להיות נוהג.</w:t>
      </w:r>
    </w:p>
  </w:footnote>
  <w:footnote w:id="74">
    <w:p w14:paraId="363BC547" w14:textId="77777777" w:rsidR="00037F92" w:rsidRDefault="00000000">
      <w:pPr>
        <w:pStyle w:val="FootnoteText"/>
        <w:rPr>
          <w:lang w:bidi="he-IL"/>
        </w:rPr>
      </w:pPr>
      <w:r>
        <w:rPr>
          <w:rStyle w:val="FootnoteCharacters"/>
        </w:rPr>
        <w:footnoteRef/>
      </w:r>
      <w:r>
        <w:rPr>
          <w:rtl/>
          <w:lang w:bidi="he-IL"/>
        </w:rPr>
        <w:tab/>
        <w:t>גמ’ מקשה מהו הציור – לאיזה דבר הוא קונה את הפרי. הרי, אם קונה אותו לאכול, הרי הוא בכלל "את שהוא אוכל,” ואם קונה אותו למכור, הרי הוא בכלל "את שהוא מוכר.” מפרש גמ’ ש"את שהוא מוכר" ו"את שהוא אוכל" רק מרבה מה שזרע ומכוון לאכול ולמכור. קטע זה מרבה מה שהוא לוקח מאחרים ומכוון לאכול או למכור. (עיין בהוספות אות ט.)</w:t>
      </w:r>
    </w:p>
  </w:footnote>
  <w:footnote w:id="75">
    <w:p w14:paraId="43C6B816" w14:textId="6CCD2499" w:rsidR="003C227A" w:rsidRDefault="003C227A">
      <w:pPr>
        <w:pStyle w:val="FootnoteText"/>
      </w:pPr>
      <w:r>
        <w:rPr>
          <w:rStyle w:val="FootnoteReference"/>
        </w:rPr>
        <w:footnoteRef/>
      </w:r>
      <w:r>
        <w:rPr>
          <w:rtl/>
          <w:lang w:bidi="he-IL"/>
        </w:rPr>
        <w:t xml:space="preserve"> </w:t>
      </w:r>
      <w:r>
        <w:rPr>
          <w:rtl/>
          <w:lang w:bidi="he-IL"/>
        </w:rPr>
        <w:tab/>
      </w:r>
      <w:r w:rsidR="0033645F">
        <w:rPr>
          <w:rFonts w:hint="cs"/>
          <w:rtl/>
          <w:lang w:bidi="he-IL"/>
        </w:rPr>
        <w:t>אם נתארח אצל ע"ה, מניחים שאכל דמאי שנתן לו ע"ה, ואז רואים שלא נאמן למעשרות.</w:t>
      </w:r>
      <w:r>
        <w:rPr>
          <w:rFonts w:hint="cs"/>
          <w:rtl/>
          <w:lang w:bidi="he-IL"/>
        </w:rPr>
        <w:t xml:space="preserve"> (עיין בהוספות אות י.)</w:t>
      </w:r>
    </w:p>
  </w:footnote>
  <w:footnote w:id="76">
    <w:p w14:paraId="28630CE1" w14:textId="768A654E" w:rsidR="00EE29EE" w:rsidRDefault="00EE29EE">
      <w:pPr>
        <w:pStyle w:val="FootnoteText"/>
      </w:pPr>
      <w:r>
        <w:rPr>
          <w:rStyle w:val="FootnoteReference"/>
        </w:rPr>
        <w:footnoteRef/>
      </w:r>
      <w:r>
        <w:rPr>
          <w:rtl/>
          <w:lang w:bidi="he-IL"/>
        </w:rPr>
        <w:t xml:space="preserve"> </w:t>
      </w:r>
      <w:r>
        <w:rPr>
          <w:rtl/>
          <w:lang w:bidi="he-IL"/>
        </w:rPr>
        <w:tab/>
      </w:r>
      <w:r>
        <w:rPr>
          <w:rFonts w:hint="cs"/>
          <w:rtl/>
          <w:lang w:bidi="he-IL"/>
        </w:rPr>
        <w:t>גמ' מבאר שזה רק במתארח אצל ע"ה. אבל, אם אשתו ע"ה, עדיין נאמן הוא למעשרות, שמניחים שעישר.</w:t>
      </w:r>
    </w:p>
  </w:footnote>
  <w:footnote w:id="77">
    <w:p w14:paraId="05A8E209" w14:textId="4E555DC6" w:rsidR="00023733" w:rsidRDefault="00023733">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חולקים אמוראים מה מכשיר רבי יהודה:</w:t>
      </w:r>
    </w:p>
    <w:p w14:paraId="31604061" w14:textId="2BBFCC6B" w:rsidR="00023733" w:rsidRDefault="00023733" w:rsidP="00023733">
      <w:pPr>
        <w:pStyle w:val="FootnoteText"/>
        <w:numPr>
          <w:ilvl w:val="0"/>
          <w:numId w:val="7"/>
        </w:numPr>
      </w:pPr>
      <w:r>
        <w:rPr>
          <w:rFonts w:hint="cs"/>
          <w:rtl/>
          <w:lang w:bidi="he-IL"/>
        </w:rPr>
        <w:t>מי שמקבל על מה שמוכר, ולא על שילך לבית ע"ה.</w:t>
      </w:r>
    </w:p>
    <w:p w14:paraId="64B8E58C" w14:textId="7F86DE7E" w:rsidR="00023733" w:rsidRDefault="00023733" w:rsidP="00023733">
      <w:pPr>
        <w:pStyle w:val="FootnoteText"/>
        <w:numPr>
          <w:ilvl w:val="0"/>
          <w:numId w:val="7"/>
        </w:numPr>
      </w:pPr>
      <w:r>
        <w:rPr>
          <w:rFonts w:hint="cs"/>
          <w:rtl/>
          <w:lang w:bidi="he-IL"/>
        </w:rPr>
        <w:t>מי שמקבל על עצמו אף שלא ילך לבית ע"ה, אבל הולך לבית ע"ה.</w:t>
      </w:r>
      <w:r w:rsidR="000545D5">
        <w:rPr>
          <w:rFonts w:hint="cs"/>
          <w:rtl/>
          <w:lang w:bidi="he-IL"/>
        </w:rPr>
        <w:t xml:space="preserve"> (גמ' מניח שזה יותר קל להכשיר; זה מחודש, שרואים שלא עושה כקבלה שלו.)</w:t>
      </w:r>
    </w:p>
  </w:footnote>
  <w:footnote w:id="78">
    <w:p w14:paraId="46A3FD07" w14:textId="25383521" w:rsidR="00EA02E4" w:rsidRPr="00EA02E4" w:rsidRDefault="00EA02E4">
      <w:pPr>
        <w:pStyle w:val="FootnoteText"/>
        <w:rPr>
          <w:b/>
          <w:bCs/>
        </w:rPr>
      </w:pPr>
      <w:r>
        <w:rPr>
          <w:rStyle w:val="FootnoteReference"/>
        </w:rPr>
        <w:footnoteRef/>
      </w:r>
      <w:r>
        <w:rPr>
          <w:rtl/>
          <w:lang w:bidi="he-IL"/>
        </w:rPr>
        <w:t xml:space="preserve"> </w:t>
      </w:r>
      <w:r>
        <w:rPr>
          <w:b/>
          <w:bCs/>
          <w:rtl/>
          <w:lang w:bidi="he-IL"/>
        </w:rPr>
        <w:tab/>
      </w:r>
      <w:r>
        <w:rPr>
          <w:rFonts w:hint="cs"/>
          <w:b/>
          <w:bCs/>
          <w:rtl/>
          <w:lang w:bidi="he-IL"/>
        </w:rPr>
        <w:t>משנה ג</w:t>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r w:rsidR="009C1F9A">
        <w:rPr>
          <w:b/>
          <w:bCs/>
          <w:rtl/>
          <w:lang w:bidi="he-IL"/>
        </w:rPr>
        <w:tab/>
      </w:r>
    </w:p>
  </w:footnote>
  <w:footnote w:id="79">
    <w:p w14:paraId="5B9A5B18" w14:textId="36FDFEA1" w:rsidR="00991197" w:rsidRDefault="00991197">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 xml:space="preserve">משנה יבאר איך אדם נעשה חבר. חבר הוא אדם הנאמן ענין טהרות. (לכאו', גם בזה מצאנו שני מיני טהרה </w:t>
      </w:r>
      <w:r>
        <w:rPr>
          <w:rtl/>
          <w:lang w:bidi="he-IL"/>
        </w:rPr>
        <w:t>–</w:t>
      </w:r>
      <w:r>
        <w:rPr>
          <w:rFonts w:hint="cs"/>
          <w:rtl/>
          <w:lang w:bidi="he-IL"/>
        </w:rPr>
        <w:t xml:space="preserve"> שלא גזרו בו גזירות ע"ה, ושנאמן לומר שדבר טהור.)</w:t>
      </w:r>
      <w:r w:rsidR="00315C29">
        <w:rPr>
          <w:rFonts w:hint="cs"/>
          <w:rtl/>
          <w:lang w:bidi="he-IL"/>
        </w:rPr>
        <w:t xml:space="preserve"> גמ' מפרש עוד שני דרכים להיות חבר:</w:t>
      </w:r>
    </w:p>
    <w:p w14:paraId="298DDD11" w14:textId="115B1C95" w:rsidR="00315C29" w:rsidRDefault="00315C29" w:rsidP="00315C29">
      <w:pPr>
        <w:pStyle w:val="FootnoteText"/>
        <w:numPr>
          <w:ilvl w:val="0"/>
          <w:numId w:val="10"/>
        </w:numPr>
        <w:rPr>
          <w:lang w:bidi="he-IL"/>
        </w:rPr>
      </w:pPr>
      <w:r>
        <w:rPr>
          <w:rFonts w:hint="cs"/>
          <w:rtl/>
          <w:lang w:bidi="he-IL"/>
        </w:rPr>
        <w:t>שהיה תלמיד חכם מתחילת זמן שהיה יכול ללמוד.</w:t>
      </w:r>
    </w:p>
    <w:p w14:paraId="510E08C6" w14:textId="072BFED4" w:rsidR="00315C29" w:rsidRDefault="00315C29" w:rsidP="00315C29">
      <w:pPr>
        <w:pStyle w:val="FootnoteText"/>
        <w:numPr>
          <w:ilvl w:val="0"/>
          <w:numId w:val="10"/>
        </w:numPr>
        <w:rPr>
          <w:rtl/>
          <w:lang w:bidi="he-IL"/>
        </w:rPr>
      </w:pPr>
      <w:r>
        <w:rPr>
          <w:rFonts w:hint="cs"/>
          <w:rtl/>
          <w:lang w:bidi="he-IL"/>
        </w:rPr>
        <w:t>שקיבל להיות חבר משעה שהיה יכול לקבל. (ע' בהוספות אות יג.)</w:t>
      </w:r>
    </w:p>
    <w:p w14:paraId="56F5CB28" w14:textId="0C2278DB" w:rsidR="00315C29" w:rsidRDefault="007763DB" w:rsidP="007763DB">
      <w:pPr>
        <w:pStyle w:val="FootnoteText"/>
        <w:ind w:left="680"/>
        <w:rPr>
          <w:rtl/>
          <w:lang w:bidi="he-IL"/>
        </w:rPr>
      </w:pPr>
      <w:r>
        <w:rPr>
          <w:rFonts w:hint="cs"/>
          <w:rtl/>
          <w:lang w:bidi="he-IL"/>
        </w:rPr>
        <w:t>חולקים אמוראים אם צריך להיות רק אחד או צריך להיות שניהם כדי לעשות אותו חבר.</w:t>
      </w:r>
    </w:p>
    <w:p w14:paraId="6D464EC3" w14:textId="23EF4339" w:rsidR="003C2F7B" w:rsidRDefault="003C2F7B" w:rsidP="007763DB">
      <w:pPr>
        <w:pStyle w:val="FootnoteText"/>
        <w:ind w:left="680"/>
      </w:pPr>
      <w:r>
        <w:rPr>
          <w:rFonts w:hint="cs"/>
          <w:rtl/>
          <w:lang w:bidi="he-IL"/>
        </w:rPr>
        <w:t>גמ' גם מפרש שבנים שסומכים על אב שנעשה חבר גם נעשים חבר.</w:t>
      </w:r>
    </w:p>
  </w:footnote>
  <w:footnote w:id="80">
    <w:p w14:paraId="06647624" w14:textId="4E212A71" w:rsidR="003A211D" w:rsidRDefault="003A211D">
      <w:pPr>
        <w:pStyle w:val="FootnoteText"/>
        <w:rPr>
          <w:rtl/>
        </w:rPr>
      </w:pPr>
      <w:r>
        <w:rPr>
          <w:rStyle w:val="FootnoteReference"/>
        </w:rPr>
        <w:footnoteRef/>
      </w:r>
      <w:r>
        <w:rPr>
          <w:rtl/>
          <w:lang w:bidi="he-IL"/>
        </w:rPr>
        <w:t xml:space="preserve"> </w:t>
      </w:r>
      <w:r>
        <w:rPr>
          <w:lang w:bidi="he-IL"/>
        </w:rPr>
        <w:tab/>
      </w:r>
      <w:r>
        <w:rPr>
          <w:rFonts w:hint="cs"/>
          <w:rtl/>
          <w:lang w:bidi="he-IL"/>
        </w:rPr>
        <w:t xml:space="preserve">אסור לאכול </w:t>
      </w:r>
      <w:r w:rsidR="004565D6">
        <w:rPr>
          <w:rFonts w:hint="cs"/>
          <w:rtl/>
          <w:lang w:bidi="he-IL"/>
        </w:rPr>
        <w:t xml:space="preserve">(עיין בהוספות אות יא.) </w:t>
      </w:r>
      <w:r>
        <w:rPr>
          <w:rFonts w:hint="cs"/>
          <w:rtl/>
          <w:lang w:bidi="he-IL"/>
        </w:rPr>
        <w:t xml:space="preserve">אפילו חולין בטומאה. אז, לא ימכור לו שום </w:t>
      </w:r>
      <w:r w:rsidR="007A5D59">
        <w:rPr>
          <w:rFonts w:hint="cs"/>
          <w:rtl/>
          <w:lang w:bidi="he-IL"/>
        </w:rPr>
        <w:t>אוכל</w:t>
      </w:r>
      <w:r>
        <w:rPr>
          <w:rFonts w:hint="cs"/>
          <w:rtl/>
          <w:lang w:bidi="he-IL"/>
        </w:rPr>
        <w:t xml:space="preserve"> שיוכל לטמא.</w:t>
      </w:r>
    </w:p>
  </w:footnote>
  <w:footnote w:id="81">
    <w:p w14:paraId="6A93FBED" w14:textId="778E1040" w:rsidR="0064261B" w:rsidRDefault="0064261B">
      <w:pPr>
        <w:pStyle w:val="FootnoteText"/>
        <w:rPr>
          <w:rtl/>
        </w:rPr>
      </w:pPr>
      <w:r>
        <w:rPr>
          <w:rStyle w:val="FootnoteReference"/>
        </w:rPr>
        <w:footnoteRef/>
      </w:r>
      <w:r>
        <w:rPr>
          <w:rtl/>
          <w:lang w:bidi="he-IL"/>
        </w:rPr>
        <w:t xml:space="preserve"> </w:t>
      </w:r>
      <w:r>
        <w:rPr>
          <w:lang w:bidi="he-IL"/>
        </w:rPr>
        <w:tab/>
      </w:r>
      <w:r>
        <w:rPr>
          <w:rFonts w:hint="cs"/>
          <w:rtl/>
          <w:lang w:bidi="he-IL"/>
        </w:rPr>
        <w:t>אוכל לא מקבל טומאה עד שנעשה תחילה לח. נאמן ע"ה לומר שדבר לא הוכשר לקבל טומאה (איני יודע למה), ואז קונים ממנו דבר שלא נגע במשקים. אבל, אם נגע במשקים, לא יכול לקנות ממנו, שלא נאמן לומר שלא נטמא.</w:t>
      </w:r>
    </w:p>
  </w:footnote>
  <w:footnote w:id="82">
    <w:p w14:paraId="32C87438" w14:textId="04C88076" w:rsidR="004330FC" w:rsidRDefault="004330FC">
      <w:pPr>
        <w:pStyle w:val="FootnoteText"/>
      </w:pPr>
      <w:r>
        <w:rPr>
          <w:rStyle w:val="FootnoteReference"/>
        </w:rPr>
        <w:footnoteRef/>
      </w:r>
      <w:r>
        <w:rPr>
          <w:rtl/>
          <w:lang w:bidi="he-IL"/>
        </w:rPr>
        <w:t xml:space="preserve"> </w:t>
      </w:r>
      <w:r>
        <w:rPr>
          <w:rtl/>
          <w:lang w:bidi="he-IL"/>
        </w:rPr>
        <w:tab/>
      </w:r>
      <w:r>
        <w:rPr>
          <w:rFonts w:hint="cs"/>
          <w:rtl/>
          <w:lang w:bidi="he-IL"/>
        </w:rPr>
        <w:t>אם נתארח אצל עם הארץ, חוששים שע"</w:t>
      </w:r>
      <w:r w:rsidR="00D8415B">
        <w:rPr>
          <w:rFonts w:hint="cs"/>
          <w:rtl/>
          <w:lang w:bidi="he-IL"/>
        </w:rPr>
        <w:t>ה יטמא אותו. (כ"כ פ"מ; גי"ל שחוששים שע"ה יתן לו לאכול דבר טמא.)</w:t>
      </w:r>
    </w:p>
  </w:footnote>
  <w:footnote w:id="83">
    <w:p w14:paraId="5E8F9ABF" w14:textId="36004A67" w:rsidR="003E0F95" w:rsidRDefault="003E0F95">
      <w:pPr>
        <w:pStyle w:val="FootnoteText"/>
      </w:pPr>
      <w:r>
        <w:rPr>
          <w:rStyle w:val="FootnoteReference"/>
        </w:rPr>
        <w:footnoteRef/>
      </w:r>
      <w:r>
        <w:rPr>
          <w:rtl/>
          <w:lang w:bidi="he-IL"/>
        </w:rPr>
        <w:t xml:space="preserve"> </w:t>
      </w:r>
      <w:r>
        <w:rPr>
          <w:rtl/>
          <w:lang w:bidi="he-IL"/>
        </w:rPr>
        <w:tab/>
      </w:r>
      <w:r>
        <w:rPr>
          <w:rFonts w:hint="cs"/>
          <w:rtl/>
          <w:lang w:bidi="he-IL"/>
        </w:rPr>
        <w:t>בגדי ע"ה טמאים בטומאת משכב (שהוא אב הטומאה). אם בא לו ע"ה בכסותו, חוששים שבגדי ע"ה יטמא אותו.</w:t>
      </w:r>
    </w:p>
  </w:footnote>
  <w:footnote w:id="84">
    <w:p w14:paraId="64A5A64B" w14:textId="05D3B5FE" w:rsidR="008003A3" w:rsidRDefault="008003A3">
      <w:pPr>
        <w:pStyle w:val="FootnoteText"/>
      </w:pPr>
      <w:r>
        <w:rPr>
          <w:rStyle w:val="FootnoteReference"/>
        </w:rPr>
        <w:footnoteRef/>
      </w:r>
      <w:r>
        <w:rPr>
          <w:rtl/>
          <w:lang w:bidi="he-IL"/>
        </w:rPr>
        <w:t xml:space="preserve"> </w:t>
      </w:r>
      <w:r>
        <w:rPr>
          <w:rtl/>
          <w:lang w:bidi="he-IL"/>
        </w:rPr>
        <w:tab/>
      </w:r>
      <w:r>
        <w:rPr>
          <w:rFonts w:hint="cs"/>
          <w:rtl/>
          <w:lang w:bidi="he-IL"/>
        </w:rPr>
        <w:t>כמו שנראה, רבי יהודה מודה שצריך אלו דברים שמנה ת"ק. וא"ת הרי לעיל חלק לומר שלא צריך מה שלא נתארח אצל עם הארץ. ויש לומר שכאן נעשה נאמן לטהרות, שהוא יותר חמור ממעשרות. (מה שהוא יותר חמור, נראה מפני משה, הוא שהאיסור הוא רק דרבנן, ואז לא קל להאמין שאדם יקפיד ויהיה נאמן עליו.)</w:t>
      </w:r>
    </w:p>
  </w:footnote>
  <w:footnote w:id="85">
    <w:p w14:paraId="3018D45D" w14:textId="28D5D691" w:rsidR="00A17B4A" w:rsidRDefault="00A17B4A">
      <w:pPr>
        <w:pStyle w:val="FootnoteText"/>
      </w:pPr>
      <w:r>
        <w:rPr>
          <w:rStyle w:val="FootnoteReference"/>
        </w:rPr>
        <w:footnoteRef/>
      </w:r>
      <w:r>
        <w:rPr>
          <w:rtl/>
          <w:lang w:bidi="he-IL"/>
        </w:rPr>
        <w:t xml:space="preserve"> </w:t>
      </w:r>
      <w:r>
        <w:rPr>
          <w:rtl/>
          <w:lang w:bidi="he-IL"/>
        </w:rPr>
        <w:tab/>
      </w:r>
      <w:r>
        <w:rPr>
          <w:rFonts w:hint="cs"/>
          <w:rtl/>
          <w:lang w:bidi="he-IL"/>
        </w:rPr>
        <w:t>רבי יהודה ירבה דינים שלא תלויים בטומאה; לכאו', סובר שאם לא מקיים דברים אלו, בוודאי לא מקיים דיני טומאה.</w:t>
      </w:r>
    </w:p>
  </w:footnote>
  <w:footnote w:id="86">
    <w:p w14:paraId="683AD3B3" w14:textId="25B9BC37" w:rsidR="00395B52" w:rsidRDefault="00395B52">
      <w:pPr>
        <w:pStyle w:val="FootnoteText"/>
      </w:pPr>
      <w:r>
        <w:rPr>
          <w:rStyle w:val="FootnoteReference"/>
        </w:rPr>
        <w:footnoteRef/>
      </w:r>
      <w:r>
        <w:rPr>
          <w:rtl/>
          <w:lang w:bidi="he-IL"/>
        </w:rPr>
        <w:t xml:space="preserve"> </w:t>
      </w:r>
      <w:r>
        <w:rPr>
          <w:rtl/>
          <w:lang w:bidi="he-IL"/>
        </w:rPr>
        <w:tab/>
      </w:r>
      <w:r>
        <w:rPr>
          <w:rFonts w:hint="cs"/>
          <w:rtl/>
          <w:lang w:bidi="he-IL"/>
        </w:rPr>
        <w:t>גמ' מוכיח מלשון זה שרבי יהודה בא להוסיף על מה שאמר ת"ק; צריכים אלו שהזכיר ת"ק, וגם צריכים אלו שמזכיר רבי יהודה.</w:t>
      </w:r>
    </w:p>
  </w:footnote>
  <w:footnote w:id="87">
    <w:p w14:paraId="3041FF80" w14:textId="2D56C235" w:rsidR="00B638B8" w:rsidRDefault="00B638B8">
      <w:pPr>
        <w:pStyle w:val="FootnoteText"/>
      </w:pPr>
      <w:r>
        <w:rPr>
          <w:rStyle w:val="FootnoteReference"/>
        </w:rPr>
        <w:footnoteRef/>
      </w:r>
      <w:r>
        <w:rPr>
          <w:rtl/>
          <w:lang w:bidi="he-IL"/>
        </w:rPr>
        <w:t xml:space="preserve"> </w:t>
      </w:r>
      <w:r>
        <w:rPr>
          <w:rtl/>
          <w:lang w:bidi="he-IL"/>
        </w:rPr>
        <w:tab/>
      </w:r>
      <w:r>
        <w:rPr>
          <w:rFonts w:hint="cs"/>
          <w:rtl/>
          <w:lang w:bidi="he-IL"/>
        </w:rPr>
        <w:t>גמ' בב"ק אמר שאסור לאדם לגדל בהמה דקה בא"י, כדי שלא ירעה בשדה אחרים. (עיין בהוספות אות יב.)</w:t>
      </w:r>
    </w:p>
  </w:footnote>
  <w:footnote w:id="88">
    <w:p w14:paraId="4EDFFA0A" w14:textId="191F8A1D" w:rsidR="00585242" w:rsidRDefault="00585242">
      <w:pPr>
        <w:pStyle w:val="FootnoteText"/>
      </w:pPr>
      <w:r>
        <w:rPr>
          <w:rStyle w:val="FootnoteReference"/>
        </w:rPr>
        <w:footnoteRef/>
      </w:r>
      <w:r>
        <w:rPr>
          <w:rtl/>
          <w:lang w:bidi="he-IL"/>
        </w:rPr>
        <w:t xml:space="preserve"> </w:t>
      </w:r>
      <w:r>
        <w:rPr>
          <w:rtl/>
          <w:lang w:bidi="he-IL"/>
        </w:rPr>
        <w:tab/>
      </w:r>
      <w:r>
        <w:rPr>
          <w:rFonts w:hint="cs"/>
          <w:rtl/>
          <w:lang w:bidi="he-IL"/>
        </w:rPr>
        <w:t>לא ידור הרבה נדרים, שמא יבוא לחלל אחד מהם.</w:t>
      </w:r>
    </w:p>
  </w:footnote>
  <w:footnote w:id="89">
    <w:p w14:paraId="28E4A2B9" w14:textId="05BC8574" w:rsidR="00A661DA" w:rsidRDefault="00A661DA">
      <w:pPr>
        <w:pStyle w:val="FootnoteText"/>
      </w:pPr>
      <w:r>
        <w:rPr>
          <w:rStyle w:val="FootnoteReference"/>
        </w:rPr>
        <w:footnoteRef/>
      </w:r>
      <w:r>
        <w:rPr>
          <w:rtl/>
          <w:lang w:bidi="he-IL"/>
        </w:rPr>
        <w:t xml:space="preserve"> </w:t>
      </w:r>
      <w:r>
        <w:rPr>
          <w:rtl/>
          <w:lang w:bidi="he-IL"/>
        </w:rPr>
        <w:tab/>
      </w:r>
      <w:r>
        <w:rPr>
          <w:rFonts w:hint="cs"/>
          <w:rtl/>
          <w:lang w:bidi="he-IL"/>
        </w:rPr>
        <w:t>ששחוק מביא את האדם לידי עבירה.</w:t>
      </w:r>
    </w:p>
  </w:footnote>
  <w:footnote w:id="90">
    <w:p w14:paraId="0E204789" w14:textId="0FAB9B3A" w:rsidR="009E2FA9" w:rsidRDefault="009E2FA9">
      <w:pPr>
        <w:pStyle w:val="FootnoteText"/>
      </w:pPr>
      <w:r>
        <w:rPr>
          <w:rStyle w:val="FootnoteReference"/>
        </w:rPr>
        <w:footnoteRef/>
      </w:r>
      <w:r>
        <w:rPr>
          <w:rtl/>
          <w:lang w:bidi="he-IL"/>
        </w:rPr>
        <w:t xml:space="preserve"> </w:t>
      </w:r>
      <w:r>
        <w:rPr>
          <w:rtl/>
          <w:lang w:bidi="he-IL"/>
        </w:rPr>
        <w:tab/>
      </w:r>
      <w:r>
        <w:rPr>
          <w:rFonts w:hint="cs"/>
          <w:rtl/>
          <w:lang w:bidi="he-IL"/>
        </w:rPr>
        <w:t>שלשה דברים אלו שמזכיר בגמ' הם גזירות. אז, יש לדון אם מה שעושה שאינו חבר הוא שעובר על הדין או שעובר על הסיבה (ומראה שלא חושש שמא יגזול או כדומה).</w:t>
      </w:r>
    </w:p>
  </w:footnote>
  <w:footnote w:id="91">
    <w:p w14:paraId="4DE1DB7D" w14:textId="381291EB" w:rsidR="00E16C7E" w:rsidRDefault="00E16C7E">
      <w:pPr>
        <w:pStyle w:val="FootnoteText"/>
      </w:pPr>
      <w:r>
        <w:rPr>
          <w:rStyle w:val="FootnoteReference"/>
        </w:rPr>
        <w:footnoteRef/>
      </w:r>
      <w:r>
        <w:rPr>
          <w:rtl/>
          <w:lang w:bidi="he-IL"/>
        </w:rPr>
        <w:t xml:space="preserve"> </w:t>
      </w:r>
      <w:r>
        <w:rPr>
          <w:rtl/>
          <w:lang w:bidi="he-IL"/>
        </w:rPr>
        <w:tab/>
      </w:r>
      <w:r>
        <w:rPr>
          <w:rFonts w:hint="cs"/>
          <w:rtl/>
          <w:lang w:bidi="he-IL"/>
        </w:rPr>
        <w:t>רוצים שימנע את עצמו מטומאה. אז, אם אפשר לאחר לעסוק במת, לא יכול לעסוק בו ולהיטמא.</w:t>
      </w:r>
    </w:p>
  </w:footnote>
  <w:footnote w:id="92">
    <w:p w14:paraId="48A78170" w14:textId="4D1DB9F4" w:rsidR="00F670BB" w:rsidRDefault="00F670BB">
      <w:pPr>
        <w:pStyle w:val="FootnoteText"/>
      </w:pPr>
      <w:r>
        <w:rPr>
          <w:rStyle w:val="FootnoteReference"/>
        </w:rPr>
        <w:footnoteRef/>
      </w:r>
      <w:r>
        <w:rPr>
          <w:rtl/>
          <w:lang w:bidi="he-IL"/>
        </w:rPr>
        <w:t xml:space="preserve"> </w:t>
      </w:r>
      <w:r>
        <w:rPr>
          <w:rtl/>
          <w:lang w:bidi="he-IL"/>
        </w:rPr>
        <w:tab/>
      </w:r>
      <w:r>
        <w:rPr>
          <w:rFonts w:hint="cs"/>
          <w:rtl/>
          <w:lang w:bidi="he-IL"/>
        </w:rPr>
        <w:t>כדי להיות חבר, צריך להיות משמש תלמידי חכמים. (לכאו', רצה לומר שצריך להיות לומד מן הת"ח שבבית מדרש.)</w:t>
      </w:r>
    </w:p>
  </w:footnote>
  <w:footnote w:id="93">
    <w:p w14:paraId="7338611F" w14:textId="47A647BD" w:rsidR="00E37D7F" w:rsidRPr="00E37D7F" w:rsidRDefault="00E37D7F">
      <w:pPr>
        <w:pStyle w:val="FootnoteText"/>
        <w:rPr>
          <w:b/>
          <w:bCs/>
        </w:rPr>
      </w:pPr>
      <w:r>
        <w:rPr>
          <w:rStyle w:val="FootnoteReference"/>
        </w:rPr>
        <w:footnoteRef/>
      </w:r>
      <w:r>
        <w:rPr>
          <w:rtl/>
          <w:lang w:bidi="he-IL"/>
        </w:rPr>
        <w:t xml:space="preserve"> </w:t>
      </w:r>
      <w:r>
        <w:rPr>
          <w:b/>
          <w:bCs/>
          <w:rtl/>
          <w:lang w:bidi="he-IL"/>
        </w:rPr>
        <w:tab/>
      </w:r>
      <w:r>
        <w:rPr>
          <w:rFonts w:hint="cs"/>
          <w:b/>
          <w:bCs/>
          <w:rtl/>
          <w:lang w:bidi="he-IL"/>
        </w:rPr>
        <w:t>משנה ד</w:t>
      </w:r>
    </w:p>
  </w:footnote>
  <w:footnote w:id="94">
    <w:p w14:paraId="6B91DC25" w14:textId="61961D6E" w:rsidR="00D14160" w:rsidRDefault="00D14160">
      <w:pPr>
        <w:pStyle w:val="FootnoteText"/>
        <w:rPr>
          <w:rtl/>
          <w:lang w:bidi="he-IL"/>
        </w:rPr>
      </w:pPr>
      <w:r>
        <w:rPr>
          <w:rStyle w:val="FootnoteReference"/>
        </w:rPr>
        <w:footnoteRef/>
      </w:r>
      <w:r>
        <w:rPr>
          <w:rtl/>
          <w:lang w:bidi="he-IL"/>
        </w:rPr>
        <w:t xml:space="preserve"> </w:t>
      </w:r>
      <w:r>
        <w:rPr>
          <w:lang w:bidi="he-IL"/>
        </w:rPr>
        <w:tab/>
      </w:r>
      <w:r>
        <w:rPr>
          <w:rFonts w:hint="cs"/>
          <w:rtl/>
          <w:lang w:bidi="he-IL"/>
        </w:rPr>
        <w:t>נראה מן הגמ' שני פי' לזה:</w:t>
      </w:r>
    </w:p>
    <w:p w14:paraId="4F16D92B" w14:textId="77777777" w:rsidR="00D14160" w:rsidRDefault="00D14160" w:rsidP="00D14160">
      <w:pPr>
        <w:pStyle w:val="FootnoteText"/>
        <w:numPr>
          <w:ilvl w:val="0"/>
          <w:numId w:val="11"/>
        </w:numPr>
      </w:pPr>
      <w:r>
        <w:rPr>
          <w:rFonts w:hint="cs"/>
          <w:rtl/>
          <w:lang w:bidi="he-IL"/>
        </w:rPr>
        <w:t xml:space="preserve">רבי יוחנן פי' שמדובר בע"ה. יש עמי הארץ ששומעים לדברי חז"ל, ואמר להם חז"ל להפריש רק תר"מ ותרומה, ולא מע"ש. הסיבה שלא יפרישו מע"ש הוא שצריכים לאכול אותו בטומאה בירושלים, וחוששים שלא יעשה כן. (וא"ת איזה נפק"מ יש מן המשנה, כיון שלא יודעים שע"ה שממנו לוקח נזהר. וי"ל שיש נפק"מ לע"ה המפריש. גי"ל שלפעמים נאמן ע"ה, כמו אם יודעים שנתן אותו לחבר לגבל, שרואים שהוא כבר מקפיד קצת על טומאה.) </w:t>
      </w:r>
    </w:p>
    <w:p w14:paraId="680CE9BC" w14:textId="15635011" w:rsidR="00D14160" w:rsidRDefault="00D14160" w:rsidP="00D14160">
      <w:pPr>
        <w:pStyle w:val="FootnoteText"/>
        <w:numPr>
          <w:ilvl w:val="0"/>
          <w:numId w:val="11"/>
        </w:numPr>
        <w:rPr>
          <w:rtl/>
        </w:rPr>
      </w:pPr>
      <w:r>
        <w:rPr>
          <w:rFonts w:hint="cs"/>
          <w:rtl/>
          <w:lang w:bidi="he-IL"/>
        </w:rPr>
        <w:t>רבי אלעזר פי' שמדובר בחבר. אם מוכר במדה גסה, ולא מרוויח, לא חייב להפריש כלום. אבל, אם מוכר במדה דקה, ומרוויח, חייב להפריש תר"מ ותרומה.</w:t>
      </w:r>
      <w:r w:rsidR="00CF3F91">
        <w:rPr>
          <w:rFonts w:hint="cs"/>
          <w:rtl/>
          <w:lang w:bidi="he-IL"/>
        </w:rPr>
        <w:t xml:space="preserve"> וא"ת</w:t>
      </w:r>
      <w:r w:rsidR="00860B7E">
        <w:rPr>
          <w:rFonts w:hint="cs"/>
          <w:rtl/>
          <w:lang w:bidi="he-IL"/>
        </w:rPr>
        <w:t xml:space="preserve"> למה לא מחייבים אותו בכל דבר, כמו חנוונים. ויש לומר שלפי רבי אלעזר דין שלו שווה לדין חנווני. עיין לקמן בדין חנווני שנבאר מה סובר רבי אלעזר שם.</w:t>
      </w:r>
      <w:r w:rsidR="00CF3F91">
        <w:rPr>
          <w:rFonts w:hint="cs"/>
          <w:rtl/>
          <w:lang w:bidi="he-IL"/>
        </w:rPr>
        <w:t xml:space="preserve"> </w:t>
      </w:r>
      <w:r>
        <w:rPr>
          <w:rFonts w:hint="cs"/>
          <w:rtl/>
          <w:lang w:bidi="he-IL"/>
        </w:rPr>
        <w:t>(עיין בהוספות אות י</w:t>
      </w:r>
      <w:r w:rsidR="00422E85">
        <w:rPr>
          <w:rFonts w:hint="cs"/>
          <w:rtl/>
          <w:lang w:bidi="he-IL"/>
        </w:rPr>
        <w:t>ד</w:t>
      </w:r>
      <w:r>
        <w:rPr>
          <w:rFonts w:hint="cs"/>
          <w:rtl/>
          <w:lang w:bidi="he-IL"/>
        </w:rPr>
        <w:t>.)</w:t>
      </w:r>
      <w:r w:rsidR="006E3B29">
        <w:rPr>
          <w:lang w:bidi="he-IL"/>
        </w:rPr>
        <w:t xml:space="preserve"> </w:t>
      </w:r>
      <w:r w:rsidR="006E3B29">
        <w:rPr>
          <w:rFonts w:hint="cs"/>
          <w:rtl/>
          <w:lang w:bidi="he-IL"/>
        </w:rPr>
        <w:t>(עיין בהוספות אות טז.)</w:t>
      </w:r>
    </w:p>
  </w:footnote>
  <w:footnote w:id="95">
    <w:p w14:paraId="5AD39E18" w14:textId="5BC83A4D" w:rsidR="00211DE1" w:rsidRDefault="00211DE1">
      <w:pPr>
        <w:pStyle w:val="FootnoteText"/>
      </w:pPr>
      <w:r>
        <w:rPr>
          <w:rStyle w:val="FootnoteReference"/>
        </w:rPr>
        <w:footnoteRef/>
      </w:r>
      <w:r>
        <w:rPr>
          <w:rtl/>
          <w:lang w:bidi="he-IL"/>
        </w:rPr>
        <w:t xml:space="preserve"> </w:t>
      </w:r>
      <w:r>
        <w:rPr>
          <w:rtl/>
          <w:lang w:bidi="he-IL"/>
        </w:rPr>
        <w:tab/>
      </w:r>
      <w:r>
        <w:rPr>
          <w:rFonts w:hint="cs"/>
          <w:rtl/>
          <w:lang w:bidi="he-IL"/>
        </w:rPr>
        <w:t>רבי אלעזר אומר שזה מחלקת תנאים, שיש שמחייבים אותו בכל דבר חוץ ממע"ש, ויש שגם מחייבים אותו למעשר שני. (עיין בהוספות אות טו.)</w:t>
      </w:r>
    </w:p>
  </w:footnote>
  <w:footnote w:id="96">
    <w:p w14:paraId="48E883F3" w14:textId="74450761" w:rsidR="00FE4ECC" w:rsidRDefault="00FE4ECC">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חולקים למה חייב להפריש דמאי:</w:t>
      </w:r>
    </w:p>
    <w:p w14:paraId="03D7C48B" w14:textId="0EC61E23" w:rsidR="00FE4ECC" w:rsidRDefault="00FE4ECC" w:rsidP="00FE4ECC">
      <w:pPr>
        <w:pStyle w:val="FootnoteText"/>
        <w:numPr>
          <w:ilvl w:val="0"/>
          <w:numId w:val="12"/>
        </w:numPr>
      </w:pPr>
      <w:r>
        <w:rPr>
          <w:rFonts w:hint="cs"/>
          <w:rtl/>
          <w:lang w:bidi="he-IL"/>
        </w:rPr>
        <w:t>כיון שרגילים ילדים לקנות ממנו, ולא ידעו להפריש מעשרות.</w:t>
      </w:r>
    </w:p>
    <w:p w14:paraId="5A0203EE" w14:textId="4E43BA40" w:rsidR="00FE4ECC" w:rsidRDefault="00FE4ECC" w:rsidP="00FE4ECC">
      <w:pPr>
        <w:pStyle w:val="FootnoteText"/>
        <w:numPr>
          <w:ilvl w:val="0"/>
          <w:numId w:val="12"/>
        </w:numPr>
      </w:pPr>
      <w:r>
        <w:rPr>
          <w:rFonts w:hint="cs"/>
          <w:rtl/>
          <w:lang w:bidi="he-IL"/>
        </w:rPr>
        <w:t>כיון שמרוויח, חייבו אותו רבנן.</w:t>
      </w:r>
    </w:p>
  </w:footnote>
  <w:footnote w:id="97">
    <w:p w14:paraId="376250E1" w14:textId="4A33B752" w:rsidR="00AD4829" w:rsidRDefault="00AD4829">
      <w:pPr>
        <w:pStyle w:val="FootnoteText"/>
      </w:pPr>
      <w:r>
        <w:rPr>
          <w:rStyle w:val="FootnoteReference"/>
        </w:rPr>
        <w:footnoteRef/>
      </w:r>
      <w:r>
        <w:rPr>
          <w:rtl/>
          <w:lang w:bidi="he-IL"/>
        </w:rPr>
        <w:t xml:space="preserve"> </w:t>
      </w:r>
      <w:r>
        <w:rPr>
          <w:rtl/>
          <w:lang w:bidi="he-IL"/>
        </w:rPr>
        <w:tab/>
      </w:r>
      <w:r>
        <w:rPr>
          <w:rFonts w:hint="cs"/>
          <w:rtl/>
          <w:lang w:bidi="he-IL"/>
        </w:rPr>
        <w:t>הם לא מרוויחים, ולכן מותר להם למכור דמאי. (עיין בהוספות אות טז.)</w:t>
      </w:r>
    </w:p>
  </w:footnote>
  <w:footnote w:id="98">
    <w:p w14:paraId="44B866D8" w14:textId="5589642C" w:rsidR="0026419B" w:rsidRPr="0026419B" w:rsidRDefault="0026419B">
      <w:pPr>
        <w:pStyle w:val="FootnoteText"/>
        <w:rPr>
          <w:b/>
          <w:bCs/>
        </w:rPr>
      </w:pPr>
      <w:r>
        <w:rPr>
          <w:rStyle w:val="FootnoteReference"/>
        </w:rPr>
        <w:footnoteRef/>
      </w:r>
      <w:r>
        <w:rPr>
          <w:rtl/>
          <w:lang w:bidi="he-IL"/>
        </w:rPr>
        <w:t xml:space="preserve"> </w:t>
      </w:r>
      <w:r>
        <w:rPr>
          <w:rtl/>
          <w:lang w:bidi="he-IL"/>
        </w:rPr>
        <w:tab/>
      </w:r>
      <w:r>
        <w:rPr>
          <w:rFonts w:hint="cs"/>
          <w:b/>
          <w:bCs/>
          <w:rtl/>
          <w:lang w:bidi="he-IL"/>
        </w:rPr>
        <w:t>משנה ה</w:t>
      </w:r>
    </w:p>
  </w:footnote>
  <w:footnote w:id="99">
    <w:p w14:paraId="7282DC58" w14:textId="6FA15CEF" w:rsidR="003F5BCE" w:rsidRDefault="003F5BCE">
      <w:pPr>
        <w:pStyle w:val="FootnoteText"/>
        <w:rPr>
          <w:rtl/>
        </w:rPr>
      </w:pPr>
      <w:r>
        <w:rPr>
          <w:rStyle w:val="FootnoteReference"/>
        </w:rPr>
        <w:footnoteRef/>
      </w:r>
      <w:r>
        <w:rPr>
          <w:rtl/>
          <w:lang w:bidi="he-IL"/>
        </w:rPr>
        <w:t xml:space="preserve"> </w:t>
      </w:r>
      <w:r>
        <w:rPr>
          <w:rtl/>
          <w:lang w:bidi="he-IL"/>
        </w:rPr>
        <w:tab/>
      </w:r>
      <w:r>
        <w:rPr>
          <w:rFonts w:hint="cs"/>
          <w:rtl/>
          <w:lang w:bidi="he-IL"/>
        </w:rPr>
        <w:t>רבי מאיר אומר שהולכים אחרי מה שרגיל אדם למדוד בו, ולא אחרי מה שמדד בו, לענין פטור מן דמאי.</w:t>
      </w:r>
    </w:p>
  </w:footnote>
  <w:footnote w:id="100">
    <w:p w14:paraId="68357CC8" w14:textId="6485D1EA" w:rsidR="00505525" w:rsidRDefault="00505525">
      <w:pPr>
        <w:pStyle w:val="FootnoteText"/>
      </w:pPr>
      <w:r>
        <w:rPr>
          <w:rStyle w:val="FootnoteReference"/>
        </w:rPr>
        <w:footnoteRef/>
      </w:r>
      <w:r>
        <w:rPr>
          <w:rtl/>
          <w:lang w:bidi="he-IL"/>
        </w:rPr>
        <w:t xml:space="preserve"> </w:t>
      </w:r>
      <w:r>
        <w:rPr>
          <w:rtl/>
          <w:lang w:bidi="he-IL"/>
        </w:rPr>
        <w:tab/>
      </w:r>
      <w:r>
        <w:rPr>
          <w:rFonts w:hint="cs"/>
          <w:rtl/>
          <w:lang w:bidi="he-IL"/>
        </w:rPr>
        <w:t>נמצא שנותן שיעור בגודל. בריי' חולק (יל"ד אם מח' הוא, או תלוי במקום), ונתן שיעור בממון, והוא טמן אחד.</w:t>
      </w:r>
    </w:p>
  </w:footnote>
  <w:footnote w:id="101">
    <w:p w14:paraId="754179C6" w14:textId="5BE1C671" w:rsidR="00AB7EFA" w:rsidRDefault="00AB7EFA">
      <w:pPr>
        <w:pStyle w:val="FootnoteText"/>
      </w:pPr>
      <w:r>
        <w:rPr>
          <w:rStyle w:val="FootnoteReference"/>
        </w:rPr>
        <w:footnoteRef/>
      </w:r>
      <w:r>
        <w:rPr>
          <w:rtl/>
          <w:lang w:bidi="he-IL"/>
        </w:rPr>
        <w:t xml:space="preserve"> </w:t>
      </w:r>
      <w:r>
        <w:rPr>
          <w:rtl/>
          <w:lang w:bidi="he-IL"/>
        </w:rPr>
        <w:tab/>
      </w:r>
      <w:r>
        <w:rPr>
          <w:rFonts w:hint="cs"/>
          <w:rtl/>
          <w:lang w:bidi="he-IL"/>
        </w:rPr>
        <w:t>נמצא שנותן שיעור בממון. בריי' חולק (יל"ד אם מח' הוא, או תלוי במקום), ונתן שיעור בגודל, והוא הין.</w:t>
      </w:r>
    </w:p>
  </w:footnote>
  <w:footnote w:id="102">
    <w:p w14:paraId="6F735B20" w14:textId="4B544405" w:rsidR="00A00134" w:rsidRDefault="00A00134">
      <w:pPr>
        <w:pStyle w:val="FootnoteText"/>
      </w:pPr>
      <w:r>
        <w:rPr>
          <w:rStyle w:val="FootnoteReference"/>
        </w:rPr>
        <w:footnoteRef/>
      </w:r>
      <w:r>
        <w:rPr>
          <w:rtl/>
          <w:lang w:bidi="he-IL"/>
        </w:rPr>
        <w:t xml:space="preserve"> </w:t>
      </w:r>
      <w:r>
        <w:rPr>
          <w:rtl/>
          <w:lang w:bidi="he-IL"/>
        </w:rPr>
        <w:tab/>
      </w:r>
      <w:r>
        <w:rPr>
          <w:rFonts w:hint="cs"/>
          <w:rtl/>
          <w:lang w:bidi="he-IL"/>
        </w:rPr>
        <w:t>יש לדון אם נקט דברים אלו דווקא, אם מכוון לומר אף דברים אלו, או שרק נותן ציור מצוי.</w:t>
      </w:r>
    </w:p>
  </w:footnote>
  <w:footnote w:id="103">
    <w:p w14:paraId="3E9033A8" w14:textId="616BF1D7" w:rsidR="00003F14" w:rsidRDefault="00003F14">
      <w:pPr>
        <w:pStyle w:val="FootnoteText"/>
      </w:pPr>
      <w:r>
        <w:rPr>
          <w:rStyle w:val="FootnoteReference"/>
        </w:rPr>
        <w:footnoteRef/>
      </w:r>
      <w:r>
        <w:rPr>
          <w:rtl/>
          <w:lang w:bidi="he-IL"/>
        </w:rPr>
        <w:t xml:space="preserve"> </w:t>
      </w:r>
      <w:r>
        <w:rPr>
          <w:rtl/>
          <w:lang w:bidi="he-IL"/>
        </w:rPr>
        <w:tab/>
      </w:r>
      <w:r>
        <w:rPr>
          <w:rFonts w:hint="cs"/>
          <w:rtl/>
          <w:lang w:bidi="he-IL"/>
        </w:rPr>
        <w:t xml:space="preserve">רצה לומר, כל דבר שמוכר באומד נחשב דבר גדול. </w:t>
      </w:r>
    </w:p>
  </w:footnote>
  <w:footnote w:id="104">
    <w:p w14:paraId="1403E146" w14:textId="0DC1339B" w:rsidR="00D87066" w:rsidRDefault="00D87066">
      <w:pPr>
        <w:pStyle w:val="FootnoteText"/>
        <w:rPr>
          <w:rFonts w:hint="cs"/>
        </w:rPr>
      </w:pPr>
      <w:r>
        <w:rPr>
          <w:rStyle w:val="FootnoteReference"/>
        </w:rPr>
        <w:footnoteRef/>
      </w:r>
      <w:r>
        <w:rPr>
          <w:rtl/>
          <w:lang w:bidi="he-IL"/>
        </w:rPr>
        <w:t xml:space="preserve"> </w:t>
      </w:r>
      <w:r>
        <w:rPr>
          <w:rtl/>
          <w:lang w:bidi="he-IL"/>
        </w:rPr>
        <w:tab/>
      </w:r>
      <w:r>
        <w:rPr>
          <w:rFonts w:hint="cs"/>
          <w:rtl/>
          <w:lang w:bidi="he-IL"/>
        </w:rPr>
        <w:t>יש לדון אם זה רק מתיר לתת בלי הפרשת דמאי או אף מתיר לעני לאכול בלי הפרשת דמאי. בבבלי מבואר כצד שני.</w:t>
      </w:r>
    </w:p>
  </w:footnote>
  <w:footnote w:id="105">
    <w:p w14:paraId="30A5D903" w14:textId="1F7D7386" w:rsidR="002D3139" w:rsidRDefault="002D3139">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חולקים אמוראים מתי נוהג דין זה:</w:t>
      </w:r>
    </w:p>
    <w:p w14:paraId="779BE881" w14:textId="685FAE96" w:rsidR="002D3139" w:rsidRDefault="002D3139" w:rsidP="002D3139">
      <w:pPr>
        <w:pStyle w:val="FootnoteText"/>
        <w:numPr>
          <w:ilvl w:val="0"/>
          <w:numId w:val="13"/>
        </w:numPr>
      </w:pPr>
      <w:r>
        <w:rPr>
          <w:rFonts w:hint="cs"/>
          <w:rtl/>
          <w:lang w:bidi="he-IL"/>
        </w:rPr>
        <w:t>רבי יונה אומר שעני רק פטור אם לא לן שם. (כמו שלינה קובעת את המאכל למעשר, כך קובעת את האדם לענין מאכל.)</w:t>
      </w:r>
      <w:r w:rsidR="00C649D6">
        <w:rPr>
          <w:rFonts w:hint="cs"/>
          <w:rtl/>
          <w:lang w:bidi="he-IL"/>
        </w:rPr>
        <w:t xml:space="preserve"> לכן, רק יכול לתת לדמאי אם שני תנאים נתקיימו:</w:t>
      </w:r>
    </w:p>
    <w:p w14:paraId="21BCC55C" w14:textId="6911D291" w:rsidR="00C649D6" w:rsidRDefault="00C649D6" w:rsidP="00C649D6">
      <w:pPr>
        <w:pStyle w:val="FootnoteText"/>
        <w:numPr>
          <w:ilvl w:val="1"/>
          <w:numId w:val="13"/>
        </w:numPr>
      </w:pPr>
      <w:r>
        <w:rPr>
          <w:rFonts w:hint="cs"/>
          <w:rtl/>
          <w:lang w:bidi="he-IL"/>
        </w:rPr>
        <w:t>לא לן שם.</w:t>
      </w:r>
    </w:p>
    <w:p w14:paraId="729B5271" w14:textId="227FEC47" w:rsidR="00C649D6" w:rsidRDefault="00C649D6" w:rsidP="00C649D6">
      <w:pPr>
        <w:pStyle w:val="FootnoteText"/>
        <w:numPr>
          <w:ilvl w:val="1"/>
          <w:numId w:val="13"/>
        </w:numPr>
      </w:pPr>
      <w:r>
        <w:rPr>
          <w:rFonts w:hint="cs"/>
          <w:rtl/>
          <w:lang w:bidi="he-IL"/>
        </w:rPr>
        <w:t>חבר הוא, ולא ע"ה. אם ע"ה הוא, חוששים שיטעה בין לן שם ללא לן שם.</w:t>
      </w:r>
      <w:r w:rsidR="00CD7CD2">
        <w:rPr>
          <w:rFonts w:hint="cs"/>
          <w:rtl/>
          <w:lang w:bidi="he-IL"/>
        </w:rPr>
        <w:t xml:space="preserve"> (עיין בהוספות אות </w:t>
      </w:r>
      <w:r w:rsidR="00D87066">
        <w:rPr>
          <w:rFonts w:hint="cs"/>
          <w:rtl/>
          <w:lang w:bidi="he-IL"/>
        </w:rPr>
        <w:t>יז.)</w:t>
      </w:r>
    </w:p>
    <w:p w14:paraId="07A63308" w14:textId="387D8232" w:rsidR="00D87066" w:rsidRDefault="00D87066" w:rsidP="00D87066">
      <w:pPr>
        <w:pStyle w:val="FootnoteText"/>
        <w:numPr>
          <w:ilvl w:val="0"/>
          <w:numId w:val="13"/>
        </w:numPr>
        <w:rPr>
          <w:rFonts w:hint="cs"/>
        </w:rPr>
      </w:pPr>
      <w:r>
        <w:rPr>
          <w:rFonts w:hint="cs"/>
          <w:rtl/>
          <w:lang w:bidi="he-IL"/>
        </w:rPr>
        <w:t>רבי יוסי אומר שעני תמיד פטור מן הדמאי.</w:t>
      </w:r>
      <w:r w:rsidR="00BB391F">
        <w:rPr>
          <w:rFonts w:hint="cs"/>
          <w:rtl/>
          <w:lang w:bidi="he-IL"/>
        </w:rPr>
        <w:t xml:space="preserve"> (ההוכחה לזה (ואולי אף הסיבה לזה) הוא שאל"כ, רק לעניים חברים יתנו ךבני אדם את פירותיהם.)</w:t>
      </w:r>
    </w:p>
  </w:footnote>
  <w:footnote w:id="106">
    <w:p w14:paraId="71B84F28" w14:textId="42C2C8F9" w:rsidR="004B3F72" w:rsidRDefault="004B3F72">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חולקים בזה אמוראים כמו שחלקו בתחילת המשנה:</w:t>
      </w:r>
    </w:p>
    <w:p w14:paraId="5C44A063" w14:textId="5586EF66" w:rsidR="004B3F72" w:rsidRDefault="004B3F72" w:rsidP="004B3F72">
      <w:pPr>
        <w:pStyle w:val="FootnoteText"/>
        <w:numPr>
          <w:ilvl w:val="0"/>
          <w:numId w:val="14"/>
        </w:numPr>
      </w:pPr>
      <w:r>
        <w:rPr>
          <w:rFonts w:hint="cs"/>
          <w:rtl/>
          <w:lang w:bidi="he-IL"/>
        </w:rPr>
        <w:t>רבי יונה אומר שדין זה שווה לדין עני, ורק פטור אם האכסניא הוא חבר ולא לן. (אומר שני הדינים כדי שדין זה ילמד על דין עני.)</w:t>
      </w:r>
    </w:p>
    <w:p w14:paraId="3BD775D3" w14:textId="05D40B9F" w:rsidR="004B3F72" w:rsidRDefault="004B3F72" w:rsidP="004B3F72">
      <w:pPr>
        <w:pStyle w:val="FootnoteText"/>
        <w:numPr>
          <w:ilvl w:val="0"/>
          <w:numId w:val="14"/>
        </w:numPr>
        <w:rPr>
          <w:rFonts w:hint="cs"/>
        </w:rPr>
      </w:pPr>
      <w:r>
        <w:rPr>
          <w:rFonts w:hint="cs"/>
          <w:rtl/>
          <w:lang w:bidi="he-IL"/>
        </w:rPr>
        <w:t>רבי יוסי אומר שאכסניא תמיד פטור מן הדמאי. וא"ת מה מוסיף על דין ראשון. וי"ל שמדובר באכסניא עכו"ם. כיון שחייב לתת לו מזון, יש סברה לומר שנחשב כפורע חוב, ולא יכול לתת דמאי. המשנה משמיע שאינו כן, ויכול לתת דמאי.</w:t>
      </w:r>
    </w:p>
  </w:footnote>
  <w:footnote w:id="107">
    <w:p w14:paraId="06322668" w14:textId="7282759F" w:rsidR="00C25148" w:rsidRDefault="00C25148">
      <w:pPr>
        <w:pStyle w:val="FootnoteText"/>
        <w:rPr>
          <w:rFonts w:hint="cs"/>
        </w:rPr>
      </w:pPr>
      <w:r>
        <w:rPr>
          <w:rStyle w:val="FootnoteReference"/>
        </w:rPr>
        <w:footnoteRef/>
      </w:r>
      <w:r>
        <w:rPr>
          <w:rtl/>
          <w:lang w:bidi="he-IL"/>
        </w:rPr>
        <w:t xml:space="preserve"> </w:t>
      </w:r>
      <w:r>
        <w:rPr>
          <w:rtl/>
          <w:lang w:bidi="he-IL"/>
        </w:rPr>
        <w:tab/>
      </w:r>
      <w:r>
        <w:rPr>
          <w:rFonts w:hint="cs"/>
          <w:rtl/>
          <w:lang w:bidi="he-IL"/>
        </w:rPr>
        <w:t>גמ' מוסיף שצריך להודיע להם שדמאי הוא.</w:t>
      </w:r>
      <w:r w:rsidR="006C36B0">
        <w:rPr>
          <w:rFonts w:hint="cs"/>
          <w:rtl/>
          <w:lang w:bidi="he-IL"/>
        </w:rPr>
        <w:t xml:space="preserve"> אף אם ע"ה הוא (כמו שסובר רבי יוסי), חוששים לחבר שיראה את הנתינה.</w:t>
      </w:r>
    </w:p>
  </w:footnote>
  <w:footnote w:id="108">
    <w:p w14:paraId="28140B5A" w14:textId="1D56EAC9" w:rsidR="00A42824" w:rsidRDefault="00A42824">
      <w:pPr>
        <w:pStyle w:val="FootnoteText"/>
        <w:rPr>
          <w:rFonts w:hint="cs"/>
        </w:rPr>
      </w:pPr>
      <w:r>
        <w:rPr>
          <w:rStyle w:val="FootnoteReference"/>
        </w:rPr>
        <w:footnoteRef/>
      </w:r>
      <w:r>
        <w:rPr>
          <w:rtl/>
          <w:lang w:bidi="he-IL"/>
        </w:rPr>
        <w:t xml:space="preserve"> </w:t>
      </w:r>
      <w:r>
        <w:rPr>
          <w:rtl/>
          <w:lang w:bidi="he-IL"/>
        </w:rPr>
        <w:tab/>
      </w:r>
      <w:r>
        <w:rPr>
          <w:rFonts w:hint="cs"/>
          <w:rtl/>
          <w:lang w:bidi="he-IL"/>
        </w:rPr>
        <w:t xml:space="preserve">כנראה, פועלים שלו היו בכלל אכסניא או עני. (יש להסתפק אם </w:t>
      </w:r>
      <w:r w:rsidR="00293508">
        <w:rPr>
          <w:rFonts w:hint="cs"/>
          <w:rtl/>
          <w:lang w:bidi="he-IL"/>
        </w:rPr>
        <w:t>כל פועלים בכלל זה או שאלו היו עננים או אכסנאים.)</w:t>
      </w:r>
    </w:p>
  </w:footnote>
  <w:footnote w:id="109">
    <w:p w14:paraId="13B8865C" w14:textId="4A6898AC" w:rsidR="00E90B5C" w:rsidRDefault="00E90B5C">
      <w:pPr>
        <w:pStyle w:val="FootnoteText"/>
        <w:rPr>
          <w:rFonts w:hint="cs"/>
        </w:rPr>
      </w:pPr>
      <w:r>
        <w:rPr>
          <w:rStyle w:val="FootnoteReference"/>
        </w:rPr>
        <w:footnoteRef/>
      </w:r>
      <w:r>
        <w:rPr>
          <w:rtl/>
          <w:lang w:bidi="he-IL"/>
        </w:rPr>
        <w:t xml:space="preserve"> </w:t>
      </w:r>
      <w:r>
        <w:rPr>
          <w:rtl/>
          <w:lang w:bidi="he-IL"/>
        </w:rPr>
        <w:tab/>
      </w:r>
      <w:r>
        <w:rPr>
          <w:rFonts w:hint="cs"/>
          <w:rtl/>
          <w:lang w:bidi="he-IL"/>
        </w:rPr>
        <w:t>גמ' מפרש ש</w:t>
      </w:r>
      <w:r w:rsidR="009B6B38">
        <w:rPr>
          <w:rFonts w:hint="cs"/>
          <w:rtl/>
          <w:lang w:bidi="he-IL"/>
        </w:rPr>
        <w:t>הפועל חייב להפריש דמאי.</w:t>
      </w:r>
    </w:p>
  </w:footnote>
  <w:footnote w:id="110">
    <w:p w14:paraId="3F1CD68F" w14:textId="669BB1BF" w:rsidR="009B22D1" w:rsidRDefault="009B22D1">
      <w:pPr>
        <w:pStyle w:val="FootnoteText"/>
        <w:rPr>
          <w:rFonts w:hint="cs"/>
        </w:rPr>
      </w:pPr>
      <w:r>
        <w:rPr>
          <w:rStyle w:val="FootnoteReference"/>
        </w:rPr>
        <w:footnoteRef/>
      </w:r>
      <w:r>
        <w:rPr>
          <w:rtl/>
          <w:lang w:bidi="he-IL"/>
        </w:rPr>
        <w:t xml:space="preserve"> </w:t>
      </w:r>
      <w:r>
        <w:rPr>
          <w:rtl/>
          <w:lang w:bidi="he-IL"/>
        </w:rPr>
        <w:tab/>
      </w:r>
      <w:r>
        <w:rPr>
          <w:rFonts w:hint="cs"/>
          <w:rtl/>
          <w:lang w:bidi="he-IL"/>
        </w:rPr>
        <w:t xml:space="preserve"> לא תמיד פטור מלהפריש קודם שנותן. עיקר החיוב של הפרשה נופל על הפועל, אבל לפעמים לא יכול לקיים אותו. היה נהוג, לפעמים, שבעל הבית יתן את כל האכל לפני כל הפועלים. כיון שלא יודע כמה יבוא לחלקו, לא יכול הפועל להפריש, ואז בע"ה חייב להפריש.</w:t>
      </w:r>
    </w:p>
  </w:footnote>
  <w:footnote w:id="111">
    <w:p w14:paraId="6C7EA6D9" w14:textId="3A8B4B38" w:rsidR="00A55A33" w:rsidRDefault="00A55A33">
      <w:pPr>
        <w:pStyle w:val="FootnoteText"/>
        <w:rPr>
          <w:rFonts w:hint="cs"/>
        </w:rPr>
      </w:pPr>
      <w:r>
        <w:rPr>
          <w:rStyle w:val="FootnoteReference"/>
        </w:rPr>
        <w:footnoteRef/>
      </w:r>
      <w:r>
        <w:rPr>
          <w:rtl/>
          <w:lang w:bidi="he-IL"/>
        </w:rPr>
        <w:t xml:space="preserve"> </w:t>
      </w:r>
      <w:r>
        <w:rPr>
          <w:rtl/>
          <w:lang w:bidi="he-IL"/>
        </w:rPr>
        <w:tab/>
      </w:r>
      <w:r>
        <w:rPr>
          <w:rFonts w:hint="cs"/>
          <w:rtl/>
          <w:lang w:bidi="he-IL"/>
        </w:rPr>
        <w:t>פני משה מבאר שחכמים חולקים על זה (ושהלכה כחכמים) כיון ש</w:t>
      </w:r>
      <w:r w:rsidR="00E60EB1">
        <w:rPr>
          <w:rFonts w:hint="cs"/>
          <w:rtl/>
          <w:lang w:bidi="he-IL"/>
        </w:rPr>
        <w:t>נחשב ש</w:t>
      </w:r>
      <w:r>
        <w:rPr>
          <w:rFonts w:hint="cs"/>
          <w:rtl/>
          <w:lang w:bidi="he-IL"/>
        </w:rPr>
        <w:t>פורע חוב.</w:t>
      </w:r>
    </w:p>
  </w:footnote>
  <w:footnote w:id="112">
    <w:p w14:paraId="431B6E13" w14:textId="0E333633" w:rsidR="00710A68" w:rsidRDefault="00710A68">
      <w:pPr>
        <w:pStyle w:val="FootnoteText"/>
        <w:rPr>
          <w:rFonts w:hint="cs"/>
        </w:rPr>
      </w:pPr>
      <w:r>
        <w:rPr>
          <w:rStyle w:val="FootnoteReference"/>
        </w:rPr>
        <w:footnoteRef/>
      </w:r>
      <w:r>
        <w:rPr>
          <w:rtl/>
          <w:lang w:bidi="he-IL"/>
        </w:rPr>
        <w:t xml:space="preserve"> </w:t>
      </w:r>
      <w:r>
        <w:rPr>
          <w:rtl/>
          <w:lang w:bidi="he-IL"/>
        </w:rPr>
        <w:tab/>
      </w:r>
      <w:r w:rsidR="00166F48">
        <w:rPr>
          <w:rFonts w:hint="cs"/>
          <w:rtl/>
          <w:lang w:bidi="he-IL"/>
        </w:rPr>
        <w:t>פני משה פי' ש</w:t>
      </w:r>
      <w:r>
        <w:rPr>
          <w:rFonts w:hint="cs"/>
          <w:rtl/>
          <w:lang w:bidi="he-IL"/>
        </w:rPr>
        <w:t>בית שמאי כאן הולכים לשיטתם, שסוברים שעניים לא אוכלים דמאי.</w:t>
      </w:r>
      <w:r w:rsidR="00166F48">
        <w:rPr>
          <w:rFonts w:hint="cs"/>
          <w:rtl/>
          <w:lang w:bidi="he-IL"/>
        </w:rPr>
        <w:t xml:space="preserve"> נמצא ש"לא מעושר" אינו טבל גמור, אלא דמאי.</w:t>
      </w:r>
    </w:p>
  </w:footnote>
  <w:footnote w:id="113">
    <w:p w14:paraId="3DD45A70" w14:textId="322E206B" w:rsidR="00275310" w:rsidRDefault="00275310">
      <w:pPr>
        <w:pStyle w:val="FootnoteText"/>
        <w:rPr>
          <w:rFonts w:hint="cs"/>
        </w:rPr>
      </w:pPr>
      <w:r>
        <w:rPr>
          <w:rStyle w:val="FootnoteReference"/>
        </w:rPr>
        <w:footnoteRef/>
      </w:r>
      <w:r>
        <w:rPr>
          <w:rtl/>
          <w:lang w:bidi="he-IL"/>
        </w:rPr>
        <w:t xml:space="preserve"> </w:t>
      </w:r>
      <w:r>
        <w:rPr>
          <w:rtl/>
          <w:lang w:bidi="he-IL"/>
        </w:rPr>
        <w:tab/>
      </w:r>
      <w:r>
        <w:rPr>
          <w:rFonts w:hint="cs"/>
          <w:rtl/>
          <w:lang w:bidi="he-IL"/>
        </w:rPr>
        <w:t>רבנן חולקים כיון שלא קל לבדוק אם אדם ע"ה או חבר, ויבוא למנוע מנתינת צדקה. (ע' בהוספות אות יח.)</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1322"/>
    <w:multiLevelType w:val="hybridMultilevel"/>
    <w:tmpl w:val="5FB05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B4DD7"/>
    <w:multiLevelType w:val="hybridMultilevel"/>
    <w:tmpl w:val="E0387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433C7"/>
    <w:multiLevelType w:val="hybridMultilevel"/>
    <w:tmpl w:val="18F00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9D4B14"/>
    <w:multiLevelType w:val="hybridMultilevel"/>
    <w:tmpl w:val="ECB0C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FF211A4"/>
    <w:multiLevelType w:val="hybridMultilevel"/>
    <w:tmpl w:val="FBEE80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F36655"/>
    <w:multiLevelType w:val="hybridMultilevel"/>
    <w:tmpl w:val="1A720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41AFB"/>
    <w:multiLevelType w:val="multilevel"/>
    <w:tmpl w:val="6840D9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41180350"/>
    <w:multiLevelType w:val="multilevel"/>
    <w:tmpl w:val="667408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1C44EC7"/>
    <w:multiLevelType w:val="hybridMultilevel"/>
    <w:tmpl w:val="FB92C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7B5AE5"/>
    <w:multiLevelType w:val="multilevel"/>
    <w:tmpl w:val="9FCCF0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562058F9"/>
    <w:multiLevelType w:val="multilevel"/>
    <w:tmpl w:val="361085D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5DA558CB"/>
    <w:multiLevelType w:val="multilevel"/>
    <w:tmpl w:val="556801A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B0B4619"/>
    <w:multiLevelType w:val="multilevel"/>
    <w:tmpl w:val="FD9631C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79230AB9"/>
    <w:multiLevelType w:val="hybridMultilevel"/>
    <w:tmpl w:val="15445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253099">
    <w:abstractNumId w:val="7"/>
  </w:num>
  <w:num w:numId="2" w16cid:durableId="334497021">
    <w:abstractNumId w:val="11"/>
  </w:num>
  <w:num w:numId="3" w16cid:durableId="1077091418">
    <w:abstractNumId w:val="10"/>
  </w:num>
  <w:num w:numId="4" w16cid:durableId="2086681610">
    <w:abstractNumId w:val="9"/>
  </w:num>
  <w:num w:numId="5" w16cid:durableId="168644491">
    <w:abstractNumId w:val="6"/>
  </w:num>
  <w:num w:numId="6" w16cid:durableId="516188536">
    <w:abstractNumId w:val="12"/>
  </w:num>
  <w:num w:numId="7" w16cid:durableId="1135954765">
    <w:abstractNumId w:val="0"/>
  </w:num>
  <w:num w:numId="8" w16cid:durableId="2034577590">
    <w:abstractNumId w:val="13"/>
  </w:num>
  <w:num w:numId="9" w16cid:durableId="1953971288">
    <w:abstractNumId w:val="3"/>
  </w:num>
  <w:num w:numId="10" w16cid:durableId="1465000122">
    <w:abstractNumId w:val="1"/>
  </w:num>
  <w:num w:numId="11" w16cid:durableId="378211686">
    <w:abstractNumId w:val="8"/>
  </w:num>
  <w:num w:numId="12" w16cid:durableId="1338651041">
    <w:abstractNumId w:val="2"/>
  </w:num>
  <w:num w:numId="13" w16cid:durableId="368799328">
    <w:abstractNumId w:val="4"/>
  </w:num>
  <w:num w:numId="14" w16cid:durableId="2074965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7F92"/>
    <w:rsid w:val="00003F14"/>
    <w:rsid w:val="00023733"/>
    <w:rsid w:val="00023E10"/>
    <w:rsid w:val="00037F92"/>
    <w:rsid w:val="000545D5"/>
    <w:rsid w:val="000D6B2A"/>
    <w:rsid w:val="0014673E"/>
    <w:rsid w:val="00166F48"/>
    <w:rsid w:val="00174994"/>
    <w:rsid w:val="001A14CE"/>
    <w:rsid w:val="00211DE1"/>
    <w:rsid w:val="002366A5"/>
    <w:rsid w:val="00263E6C"/>
    <w:rsid w:val="0026419B"/>
    <w:rsid w:val="00275310"/>
    <w:rsid w:val="00290E91"/>
    <w:rsid w:val="00293508"/>
    <w:rsid w:val="002D17C8"/>
    <w:rsid w:val="002D3139"/>
    <w:rsid w:val="00315C29"/>
    <w:rsid w:val="0033645F"/>
    <w:rsid w:val="003920DE"/>
    <w:rsid w:val="00395B52"/>
    <w:rsid w:val="003A211D"/>
    <w:rsid w:val="003C227A"/>
    <w:rsid w:val="003C2F7B"/>
    <w:rsid w:val="003E0F95"/>
    <w:rsid w:val="003F5BCE"/>
    <w:rsid w:val="00422E85"/>
    <w:rsid w:val="004330FC"/>
    <w:rsid w:val="0045287F"/>
    <w:rsid w:val="004565D6"/>
    <w:rsid w:val="004A790A"/>
    <w:rsid w:val="004B3F72"/>
    <w:rsid w:val="00505525"/>
    <w:rsid w:val="005772FD"/>
    <w:rsid w:val="00585242"/>
    <w:rsid w:val="005B62D7"/>
    <w:rsid w:val="0064261B"/>
    <w:rsid w:val="00674812"/>
    <w:rsid w:val="006B159F"/>
    <w:rsid w:val="006C36B0"/>
    <w:rsid w:val="006E3B29"/>
    <w:rsid w:val="00710A68"/>
    <w:rsid w:val="007763DB"/>
    <w:rsid w:val="007A5D59"/>
    <w:rsid w:val="008003A3"/>
    <w:rsid w:val="00860B7E"/>
    <w:rsid w:val="00991197"/>
    <w:rsid w:val="009B22D1"/>
    <w:rsid w:val="009B6B38"/>
    <w:rsid w:val="009C1F9A"/>
    <w:rsid w:val="009E2FA9"/>
    <w:rsid w:val="00A00134"/>
    <w:rsid w:val="00A17B4A"/>
    <w:rsid w:val="00A301F7"/>
    <w:rsid w:val="00A411B4"/>
    <w:rsid w:val="00A42824"/>
    <w:rsid w:val="00A5579E"/>
    <w:rsid w:val="00A55A33"/>
    <w:rsid w:val="00A661DA"/>
    <w:rsid w:val="00AB7EFA"/>
    <w:rsid w:val="00AD4829"/>
    <w:rsid w:val="00B01DFD"/>
    <w:rsid w:val="00B41833"/>
    <w:rsid w:val="00B638B8"/>
    <w:rsid w:val="00B90EBC"/>
    <w:rsid w:val="00BA6C2D"/>
    <w:rsid w:val="00BB391F"/>
    <w:rsid w:val="00C14F1E"/>
    <w:rsid w:val="00C25148"/>
    <w:rsid w:val="00C649D6"/>
    <w:rsid w:val="00C82524"/>
    <w:rsid w:val="00CD7CD2"/>
    <w:rsid w:val="00CF3F91"/>
    <w:rsid w:val="00D045C3"/>
    <w:rsid w:val="00D14160"/>
    <w:rsid w:val="00D8415B"/>
    <w:rsid w:val="00D87066"/>
    <w:rsid w:val="00DB6DF0"/>
    <w:rsid w:val="00E13497"/>
    <w:rsid w:val="00E16C7E"/>
    <w:rsid w:val="00E37D7F"/>
    <w:rsid w:val="00E60EB1"/>
    <w:rsid w:val="00E90B5C"/>
    <w:rsid w:val="00EA02E4"/>
    <w:rsid w:val="00EE29EE"/>
    <w:rsid w:val="00EF391F"/>
    <w:rsid w:val="00F15131"/>
    <w:rsid w:val="00F670BB"/>
    <w:rsid w:val="00FA7156"/>
    <w:rsid w:val="00FC3E2C"/>
    <w:rsid w:val="00FE4EC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8CDF"/>
  <w15:docId w15:val="{A030F393-93A7-4024-9F54-CF9060B9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NSimSun" w:hAnsi="Aptos" w:cs="Times New Roman"/>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Heading"/>
    <w:next w:val="Normal"/>
    <w:uiPriority w:val="9"/>
    <w:qFormat/>
    <w:pPr>
      <w:numPr>
        <w:numId w:val="2"/>
      </w:numPr>
      <w:spacing w:before="0" w:after="0"/>
      <w:jc w:val="center"/>
      <w:outlineLvl w:val="0"/>
    </w:pPr>
    <w:rPr>
      <w:b/>
      <w:bCs/>
      <w:sz w:val="36"/>
      <w:szCs w:val="24"/>
      <w:u w:val="single"/>
      <w:lang w:bidi="he-IL"/>
    </w:rPr>
  </w:style>
  <w:style w:type="paragraph" w:styleId="Heading2">
    <w:name w:val="heading 2"/>
    <w:basedOn w:val="Heading"/>
    <w:next w:val="Normal"/>
    <w:uiPriority w:val="9"/>
    <w:unhideWhenUsed/>
    <w:qFormat/>
    <w:pPr>
      <w:numPr>
        <w:ilvl w:val="1"/>
        <w:numId w:val="2"/>
      </w:numPr>
      <w:spacing w:before="0" w:after="0"/>
      <w:outlineLvl w:val="1"/>
    </w:pPr>
    <w:rPr>
      <w:b/>
      <w:bCs/>
      <w:sz w:val="32"/>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jc w:val="center"/>
    </w:pPr>
    <w:rPr>
      <w:rFonts w:ascii="Arial" w:eastAsia="Arial" w:hAnsi="Arial" w:cs="Courier New"/>
      <w:vanish/>
      <w:sz w:val="16"/>
    </w:rPr>
  </w:style>
  <w:style w:type="paragraph" w:styleId="z-TopofForm">
    <w:name w:val="HTML Top of Form"/>
    <w:next w:val="Normal"/>
    <w:qFormat/>
    <w:pPr>
      <w:pBdr>
        <w:bottom w:val="double" w:sz="2" w:space="0" w:color="000000"/>
      </w:pBdr>
      <w:jc w:val="center"/>
    </w:pPr>
    <w:rPr>
      <w:rFonts w:ascii="Arial" w:eastAsia="Arial" w:hAnsi="Arial" w:cs="Courier New"/>
      <w:vanish/>
      <w:sz w:val="16"/>
    </w:rPr>
  </w:style>
  <w:style w:type="paragraph" w:styleId="FootnoteText">
    <w:name w:val="footnote text"/>
    <w:basedOn w:val="Normal"/>
    <w:pPr>
      <w:suppressLineNumbers/>
      <w:ind w:left="340" w:hanging="340"/>
    </w:pPr>
    <w:rPr>
      <w:sz w:val="20"/>
      <w:szCs w:val="20"/>
    </w:rPr>
  </w:style>
  <w:style w:type="paragraph" w:styleId="EndnoteText">
    <w:name w:val="endnote text"/>
    <w:basedOn w:val="Normal"/>
    <w:link w:val="EndnoteTextChar"/>
    <w:uiPriority w:val="99"/>
    <w:semiHidden/>
    <w:unhideWhenUsed/>
    <w:rsid w:val="00EA02E4"/>
    <w:rPr>
      <w:rFonts w:cs="Mangal"/>
      <w:sz w:val="20"/>
      <w:szCs w:val="18"/>
    </w:rPr>
  </w:style>
  <w:style w:type="character" w:customStyle="1" w:styleId="EndnoteTextChar">
    <w:name w:val="Endnote Text Char"/>
    <w:basedOn w:val="DefaultParagraphFont"/>
    <w:link w:val="EndnoteText"/>
    <w:uiPriority w:val="99"/>
    <w:semiHidden/>
    <w:rsid w:val="00EA02E4"/>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B352E-F518-4D4A-A9A1-6B0F0D40D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8</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86</cp:revision>
  <dcterms:created xsi:type="dcterms:W3CDTF">2025-01-21T18:31:00Z</dcterms:created>
  <dcterms:modified xsi:type="dcterms:W3CDTF">2025-01-30T15:36:00Z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2024-12-22T10:12:24Z</dcterms:created>
  <dc:creator>שאול חייט</dc:creator>
  <dc:description/>
  <dc:language>en-US</dc:language>
  <cp:lastModifiedBy>שאול חייט</cp:lastModifiedBy>
  <dcterms:modified xsi:type="dcterms:W3CDTF">2025-01-21T08:34:25Z</dcterms:modified>
  <cp:revision>143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