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before="58" w:after="58"/>
        <w:jc w:val="left"/>
        <w:rPr>
          <w:rFonts w:ascii="Shofar" w:hAnsi="Shofar" w:cs="Shofar"/>
          <w:b/>
          <w:b/>
          <w:bCs/>
        </w:rPr>
      </w:pPr>
      <w:r>
        <w:rPr>
          <w:rFonts w:ascii="Shofar" w:hAnsi="Shofar"/>
          <w:b/>
          <w:b/>
          <w:bCs/>
          <w:rtl w:val="true"/>
        </w:rPr>
        <w:t>פרק שני</w:t>
      </w:r>
      <w:r>
        <w:rPr>
          <w:rStyle w:val="FootnoteAnchor"/>
          <w:rFonts w:ascii="Shofar" w:hAnsi="Shofar"/>
          <w:b/>
          <w:b/>
          <w:bCs/>
          <w:rtl w:val="true"/>
        </w:rPr>
        <w:footnoteReference w:customMarkFollows="1" w:id="2"/>
        <w:t xml:space="preserve"> </w:t>
      </w:r>
    </w:p>
    <w:p>
      <w:pPr>
        <w:pStyle w:val="Normal"/>
        <w:bidi w:val="1"/>
        <w:jc w:val="left"/>
        <w:rPr>
          <w:rFonts w:ascii="Shofar" w:hAnsi="Shofar" w:cs="Shofar"/>
          <w:b/>
          <w:b/>
          <w:bCs/>
        </w:rPr>
      </w:pPr>
      <w:r>
        <w:rPr>
          <w:rFonts w:ascii="Shofar" w:hAnsi="Shofar"/>
          <w:b/>
          <w:b/>
          <w:bCs/>
          <w:rtl w:val="true"/>
        </w:rPr>
        <w:t xml:space="preserve">משנה  </w:t>
      </w:r>
      <w:r>
        <w:rPr>
          <w:rStyle w:val="FootnoteAnchor"/>
          <w:rFonts w:ascii="Shofar" w:hAnsi="Shofar"/>
          <w:b/>
          <w:b/>
          <w:bCs/>
          <w:rtl w:val="true"/>
        </w:rPr>
        <w:footnoteReference w:customMarkFollows="1" w:id="3"/>
        <w:t xml:space="preserve">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הַבְּצָלִים הַסָּרִיסִים</w:t>
      </w:r>
      <w:r>
        <w:rPr>
          <w:rStyle w:val="FootnoteAnchor"/>
          <w:rFonts w:ascii="Shofar" w:hAnsi="Shofar"/>
          <w:rtl w:val="true"/>
        </w:rPr>
        <w:footnoteReference w:id="4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וּפוֹל הַמִּצְרִי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שֶׁמָּנַע מֵהֶם מַיִם שְׁלֹשִׁים יוֹם לִפְנֵי רֹאשׁ הַשָּׁנָה</w:t>
      </w:r>
      <w:r>
        <w:rPr>
          <w:rStyle w:val="FootnoteAnchor"/>
          <w:rFonts w:ascii="Shofar" w:hAnsi="Shofar"/>
          <w:rtl w:val="true"/>
        </w:rPr>
        <w:footnoteReference w:id="5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מִתְעַשְּׂרִין לְשֶׁעָבַר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וּמֻתָּרִים בַּשְּׁבִיעִית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וְאִם לָאו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אֲסוּרִים בַּשְּׁבִיעִית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וּמִתְעַשְּׂרִין לְשָׁנָה הַבָּאָה</w:t>
      </w:r>
      <w:r>
        <w:rPr>
          <w:rFonts w:cs="Shofar" w:ascii="Shofar" w:hAnsi="Shofar"/>
          <w:rtl w:val="true"/>
        </w:rPr>
        <w:t>.</w:t>
      </w:r>
      <w:r>
        <w:rPr>
          <w:rStyle w:val="FootnoteCharacters"/>
          <w:rFonts w:cs="Shofar" w:ascii="Shofar" w:hAnsi="Shofar"/>
          <w:rtl w:val="true"/>
        </w:rPr>
        <w:t xml:space="preserve"> </w:t>
      </w:r>
      <w:r>
        <w:rPr>
          <w:rStyle w:val="FootnoteAnchor"/>
          <w:rFonts w:cs="Shofar" w:ascii="Shofar" w:hAnsi="Shofar"/>
          <w:rtl w:val="true"/>
        </w:rPr>
        <w:footnoteReference w:id="6"/>
      </w:r>
      <w:r>
        <w:rPr>
          <w:rFonts w:cs="Shofar" w:ascii="Shofar" w:hAnsi="Shofar"/>
          <w:rtl w:val="true"/>
        </w:rPr>
        <w:t xml:space="preserve">  </w:t>
      </w:r>
      <w:r>
        <w:rPr>
          <w:rFonts w:ascii="Shofar" w:hAnsi="Shofar"/>
          <w:rtl w:val="true"/>
        </w:rPr>
        <w:t>וְשֶׁל בַּעַל שֶׁמָּנַע מֵהֶם מַיִם שְׁתֵּי עוֹנוֹת</w:t>
      </w:r>
      <w:r>
        <w:rPr>
          <w:rStyle w:val="FootnoteAnchor"/>
          <w:rFonts w:ascii="Shofar" w:hAnsi="Shofar"/>
          <w:rtl w:val="true"/>
        </w:rPr>
        <w:footnoteReference w:id="7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דִּבְרֵי רַבִּי מֵאִיר</w:t>
      </w:r>
      <w:r>
        <w:rPr>
          <w:rFonts w:cs="Shofar" w:ascii="Shofar" w:hAnsi="Shofar"/>
          <w:rtl w:val="true"/>
        </w:rPr>
        <w:t>.</w:t>
      </w:r>
      <w:r>
        <w:rPr>
          <w:rStyle w:val="FootnoteAnchor"/>
          <w:rFonts w:cs="Shofar" w:ascii="Shofar" w:hAnsi="Shofar"/>
          <w:rtl w:val="true"/>
        </w:rPr>
        <w:footnoteReference w:id="8"/>
      </w:r>
      <w:r>
        <w:rPr>
          <w:rFonts w:cs="Shofar" w:ascii="Shofar" w:hAnsi="Shofar"/>
          <w:rtl w:val="true"/>
        </w:rPr>
        <w:t xml:space="preserve"> </w:t>
      </w:r>
      <w:r>
        <w:rPr>
          <w:rFonts w:ascii="Shofar" w:hAnsi="Shofar"/>
          <w:rtl w:val="true"/>
        </w:rPr>
        <w:t>וַחֲכָמִים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שָׁלֹשׁ</w:t>
      </w:r>
      <w:r>
        <w:rPr>
          <w:rStyle w:val="FootnoteAnchor"/>
          <w:rFonts w:ascii="Shofar" w:hAnsi="Shofar"/>
          <w:rtl w:val="true"/>
        </w:rPr>
        <w:footnoteReference w:id="9"/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  <w:b/>
          <w:b/>
          <w:bCs/>
        </w:rPr>
      </w:pPr>
      <w:r>
        <w:rPr>
          <w:rFonts w:ascii="Shofar" w:hAnsi="Shofar"/>
          <w:b/>
          <w:b/>
          <w:bCs/>
          <w:rtl w:val="true"/>
        </w:rPr>
        <w:t xml:space="preserve">משנה  </w:t>
      </w:r>
      <w:r>
        <w:rPr>
          <w:rStyle w:val="FootnoteAnchor"/>
          <w:rFonts w:ascii="Shofar" w:hAnsi="Shofar"/>
          <w:b/>
          <w:b/>
          <w:bCs/>
          <w:rtl w:val="true"/>
        </w:rPr>
        <w:footnoteReference w:customMarkFollows="1" w:id="10"/>
        <w:t xml:space="preserve"> </w:t>
      </w:r>
    </w:p>
    <w:p>
      <w:pPr>
        <w:pStyle w:val="Normal"/>
        <w:bidi w:val="1"/>
        <w:jc w:val="left"/>
        <w:rPr>
          <w:rFonts w:ascii="Shofar" w:hAnsi="Shofar" w:cs="Shofar"/>
          <w:b/>
          <w:b/>
          <w:bCs/>
        </w:rPr>
      </w:pPr>
      <w:r>
        <w:rPr>
          <w:rFonts w:ascii="Shofar" w:hAnsi="Shofar"/>
          <w:rtl w:val="true"/>
        </w:rPr>
        <w:t>הַדְּלוּעִין שֶׁקִּיְּמָן לְזֶרַע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אִם הִקְשׁוּ לִפְנֵי רֹאשׁ הַשָּׁנָה </w:t>
      </w:r>
      <w:r>
        <w:rPr>
          <w:rStyle w:val="FootnoteAnchor"/>
          <w:rFonts w:ascii="Shofar" w:hAnsi="Shofar"/>
          <w:rtl w:val="true"/>
        </w:rPr>
        <w:footnoteReference w:id="11"/>
      </w:r>
      <w:r>
        <w:rPr>
          <w:rFonts w:ascii="Shofar" w:hAnsi="Shofar"/>
          <w:rtl w:val="true"/>
        </w:rPr>
        <w:t>ונִפְסְלוּ מֵאֹכֶל אָדָם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מֻתָּר לְקַיְּמָן בַּשְּׁבִיעִית</w:t>
      </w:r>
      <w:r>
        <w:rPr>
          <w:rStyle w:val="FootnoteAnchor"/>
          <w:rFonts w:ascii="Shofar" w:hAnsi="Shofar"/>
          <w:rtl w:val="true"/>
        </w:rPr>
        <w:footnoteReference w:id="12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וְאִם לָאו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אָסוּר לְקַיְּמָן בַּשְּׁבִיעִית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הַתְּמָרוֹת שֶׁלָּהֶם</w:t>
      </w:r>
      <w:r>
        <w:rPr>
          <w:rStyle w:val="FootnoteAnchor"/>
          <w:rFonts w:ascii="Shofar" w:hAnsi="Shofar"/>
          <w:rtl w:val="true"/>
        </w:rPr>
        <w:footnoteReference w:id="13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אֲסוּרוֹת בַּשְּׁבִיעִית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וּמַרְבִּיצִין</w:t>
      </w:r>
      <w:r>
        <w:rPr>
          <w:rStyle w:val="FootnoteAnchor"/>
          <w:rFonts w:ascii="Shofar" w:hAnsi="Shofar"/>
          <w:rtl w:val="true"/>
        </w:rPr>
        <w:footnoteReference w:id="14"/>
      </w:r>
      <w:r>
        <w:rPr>
          <w:rFonts w:ascii="Shofar" w:hAnsi="Shofar"/>
          <w:rtl w:val="true"/>
        </w:rPr>
        <w:t xml:space="preserve"> בְּעָפָר לָבָן</w:t>
      </w:r>
      <w:r>
        <w:rPr>
          <w:rStyle w:val="FootnoteAnchor"/>
          <w:rFonts w:ascii="Shofar" w:hAnsi="Shofar"/>
          <w:rtl w:val="true"/>
        </w:rPr>
        <w:footnoteReference w:id="15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דִּבְרֵי רַבִּי שִׁמְעוֹן</w:t>
      </w:r>
      <w:r>
        <w:rPr>
          <w:rStyle w:val="FootnoteAnchor"/>
          <w:rFonts w:ascii="Shofar" w:hAnsi="Shofar"/>
          <w:rtl w:val="true"/>
        </w:rPr>
        <w:footnoteReference w:id="16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רַבִּי אֱלִיעֶזֶר בֶּן יַעֲקֹב אוֹסֵר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מְמָרְסִין</w:t>
      </w:r>
      <w:r>
        <w:rPr>
          <w:rStyle w:val="FootnoteAnchor"/>
          <w:rFonts w:ascii="Shofar" w:hAnsi="Shofar"/>
          <w:rtl w:val="true"/>
        </w:rPr>
        <w:footnoteReference w:id="17"/>
      </w:r>
      <w:r>
        <w:rPr>
          <w:rFonts w:ascii="Shofar" w:hAnsi="Shofar"/>
          <w:rtl w:val="true"/>
        </w:rPr>
        <w:t xml:space="preserve"> בָּאֹרֶז בַּשְּׁבִיעִית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רַבִּי שִׁמְעוֹן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אֲבָל אֵין מְכַסְּחִין</w:t>
      </w:r>
      <w:r>
        <w:rPr>
          <w:rStyle w:val="FootnoteAnchor"/>
          <w:rFonts w:ascii="Shofar" w:hAnsi="Shofar"/>
          <w:rtl w:val="true"/>
        </w:rPr>
        <w:footnoteReference w:id="18"/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  <w:b/>
          <w:b/>
          <w:bCs/>
        </w:rPr>
      </w:pPr>
      <w:r>
        <w:rPr>
          <w:rFonts w:ascii="Shofar" w:hAnsi="Shofar"/>
          <w:b/>
          <w:b/>
          <w:bCs/>
          <w:rtl w:val="true"/>
        </w:rPr>
        <w:t>פרק שלישי</w:t>
      </w:r>
      <w:r>
        <w:rPr>
          <w:rStyle w:val="FootnoteAnchor"/>
          <w:rFonts w:ascii="Shofar" w:hAnsi="Shofar"/>
          <w:b/>
          <w:b/>
          <w:bCs/>
          <w:rtl w:val="true"/>
        </w:rPr>
        <w:footnoteReference w:customMarkFollows="1" w:id="19"/>
        <w:t xml:space="preserve"> </w:t>
      </w:r>
    </w:p>
    <w:p>
      <w:pPr>
        <w:pStyle w:val="Normal"/>
        <w:bidi w:val="1"/>
        <w:jc w:val="left"/>
        <w:rPr/>
      </w:pPr>
      <w:r>
        <w:rPr>
          <w:rFonts w:ascii="Shofar" w:hAnsi="Shofar"/>
          <w:b/>
          <w:b/>
          <w:bCs/>
          <w:rtl w:val="true"/>
        </w:rPr>
        <w:t>משנה א</w:t>
      </w:r>
      <w:r>
        <w:rPr>
          <w:rStyle w:val="FootnoteAnchor"/>
          <w:rFonts w:ascii="Shofar" w:hAnsi="Shofar"/>
          <w:b/>
          <w:b/>
          <w:bCs/>
          <w:rtl w:val="true"/>
        </w:rPr>
        <w:footnoteReference w:customMarkFollows="1" w:id="20"/>
        <w:t xml:space="preserve"> </w:t>
      </w:r>
    </w:p>
    <w:p>
      <w:pPr>
        <w:pStyle w:val="Normal"/>
        <w:bidi w:val="1"/>
        <w:jc w:val="left"/>
        <w:rPr/>
      </w:pPr>
      <w:r>
        <w:rPr>
          <w:rStyle w:val="FootnoteAnchor"/>
          <w:rFonts w:cs="Shofar" w:ascii="Shofar" w:hAnsi="Shofar"/>
          <w:rtl w:val="true"/>
        </w:rPr>
        <w:footnoteReference w:id="21"/>
      </w:r>
      <w:r>
        <w:rPr>
          <w:rFonts w:ascii="Shofar" w:hAnsi="Shofar"/>
          <w:rtl w:val="true"/>
        </w:rPr>
        <w:t>מֵאֵימָתַי מוֹצִיאִין זְבָלִים לְאַשְׁפַּתּוֹת</w:t>
      </w:r>
      <w:r>
        <w:rPr>
          <w:rStyle w:val="FootnoteAnchor"/>
          <w:rFonts w:ascii="Shofar" w:hAnsi="Shofar"/>
          <w:rtl w:val="true"/>
        </w:rPr>
        <w:footnoteReference w:id="22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מִשֶּׁיִּפְסְקוּ עוֹבְדֵי עֲבוֹדָה</w:t>
      </w:r>
      <w:r>
        <w:rPr>
          <w:rStyle w:val="FootnoteAnchor"/>
          <w:rFonts w:ascii="Shofar" w:hAnsi="Shofar"/>
          <w:rtl w:val="true"/>
        </w:rPr>
        <w:footnoteReference w:id="23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דִּבְרֵי רַבִּי מֵאִיר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יְהוּדָה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מִשֶּׁיִּבַשׁ הַמָּתוֹק</w:t>
      </w:r>
      <w:r>
        <w:rPr>
          <w:rStyle w:val="FootnoteAnchor"/>
          <w:rFonts w:ascii="Shofar" w:hAnsi="Shofar"/>
          <w:rtl w:val="true"/>
        </w:rPr>
        <w:footnoteReference w:id="24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יוֹסֵי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מִשֶּׁיִּקְשֹׁר</w:t>
      </w:r>
      <w:r>
        <w:rPr>
          <w:rStyle w:val="FootnoteAnchor"/>
          <w:rFonts w:ascii="Shofar" w:hAnsi="Shofar"/>
          <w:rtl w:val="true"/>
        </w:rPr>
        <w:footnoteReference w:id="25"/>
      </w:r>
      <w:r>
        <w:rPr>
          <w:rStyle w:val="FootnoteAnchor"/>
          <w:rFonts w:ascii="Shofar" w:hAnsi="Shofar"/>
          <w:rtl w:val="true"/>
        </w:rPr>
        <w:footnoteReference w:id="26"/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/>
      </w:pPr>
      <w:r>
        <w:rPr>
          <w:rFonts w:ascii="Shofar" w:hAnsi="Shofar"/>
          <w:b/>
          <w:b/>
          <w:bCs/>
          <w:rtl w:val="true"/>
        </w:rPr>
        <w:t>משנה ב</w:t>
      </w:r>
      <w:r>
        <w:rPr>
          <w:rStyle w:val="FootnoteAnchor"/>
          <w:rFonts w:ascii="Shofar" w:hAnsi="Shofar"/>
          <w:b/>
          <w:b/>
          <w:bCs/>
          <w:rtl w:val="true"/>
        </w:rPr>
        <w:footnoteReference w:customMarkFollows="1" w:id="27"/>
        <w:t xml:space="preserve"> </w:t>
      </w:r>
    </w:p>
    <w:p>
      <w:pPr>
        <w:pStyle w:val="Normal"/>
        <w:bidi w:val="1"/>
        <w:jc w:val="left"/>
        <w:rPr/>
      </w:pPr>
      <w:r>
        <w:rPr>
          <w:rFonts w:ascii="Shofar" w:hAnsi="Shofar"/>
          <w:rtl w:val="true"/>
        </w:rPr>
        <w:t>עַד כַּמָּה</w:t>
      </w:r>
      <w:r>
        <w:rPr>
          <w:rStyle w:val="FootnoteAnchor"/>
          <w:rFonts w:ascii="Shofar" w:hAnsi="Shofar"/>
          <w:rtl w:val="true"/>
        </w:rPr>
        <w:footnoteReference w:id="28"/>
      </w:r>
      <w:r>
        <w:rPr>
          <w:rFonts w:ascii="Shofar" w:hAnsi="Shofar"/>
          <w:rtl w:val="true"/>
        </w:rPr>
        <w:t xml:space="preserve"> מְזַבְּלִין</w:t>
      </w:r>
      <w:r>
        <w:rPr>
          <w:rStyle w:val="FootnoteAnchor"/>
          <w:rFonts w:ascii="Shofar" w:hAnsi="Shofar"/>
          <w:rtl w:val="true"/>
        </w:rPr>
        <w:footnoteReference w:id="29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עַד שָׁלֹשׁ שָׁלֹשׁ אַשְׁפַּתּוֹת לְבֵית סְאָה שֶׁל עֶשֶׂר עֶשֶׂר מַשְׁפֵּלוֹת שֶׁל לֶתֶךְ לֶתֶךְ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מוֹסִיפִין עַל הַמַּשְׁפֵּלוֹת</w:t>
      </w:r>
      <w:r>
        <w:rPr>
          <w:rStyle w:val="FootnoteAnchor"/>
          <w:rFonts w:ascii="Shofar" w:hAnsi="Shofar"/>
          <w:rtl w:val="true"/>
        </w:rPr>
        <w:footnoteReference w:id="30"/>
      </w:r>
      <w:r>
        <w:rPr>
          <w:rStyle w:val="FootnoteAnchor"/>
          <w:rFonts w:ascii="Shofar" w:hAnsi="Shofar"/>
          <w:rtl w:val="true"/>
        </w:rPr>
        <w:footnoteReference w:id="31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וְאֵין מוֹסִיפִין עַל הָאַשְׁפַּתּוֹת</w:t>
      </w:r>
      <w:r>
        <w:rPr>
          <w:rStyle w:val="FootnoteAnchor"/>
          <w:rFonts w:ascii="Shofar" w:hAnsi="Shofar"/>
          <w:rtl w:val="true"/>
        </w:rPr>
        <w:footnoteReference w:id="32"/>
      </w:r>
      <w:r>
        <w:rPr>
          <w:rStyle w:val="FootnoteAnchor"/>
          <w:rFonts w:ascii="Shofar" w:hAnsi="Shofar"/>
          <w:rtl w:val="true"/>
        </w:rPr>
        <w:footnoteReference w:id="33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שִׁמְעוֹן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אַף עַל הָאַשְׁפַּתּוֹת</w:t>
      </w:r>
      <w:r>
        <w:rPr>
          <w:rStyle w:val="FootnoteAnchor"/>
          <w:rFonts w:ascii="Shofar" w:hAnsi="Shofar"/>
          <w:rtl w:val="true"/>
        </w:rPr>
        <w:footnoteReference w:id="34"/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rFonts w:ascii="Shofar" w:hAnsi="Shofar"/>
          <w:b/>
          <w:b/>
          <w:bCs/>
          <w:rtl w:val="true"/>
        </w:rPr>
        <w:t>משנה ג</w:t>
      </w:r>
      <w:r>
        <w:rPr>
          <w:rStyle w:val="FootnoteAnchor"/>
          <w:rFonts w:ascii="Shofar" w:hAnsi="Shofar"/>
          <w:b/>
          <w:b/>
          <w:bCs/>
          <w:rtl w:val="true"/>
        </w:rPr>
        <w:footnoteReference w:customMarkFollows="1" w:id="35"/>
        <w:t xml:space="preserve">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עוֹשֶׂה אָדָם אֶת שָׂדֵהוּ שָׁלֹשׁ שָׁלֹשׁ אַשְׁפַּתּוֹת לְבֵית סְאָה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יָתֵר מִכָּאן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מַחֲצִיב</w:t>
      </w:r>
      <w:r>
        <w:rPr>
          <w:rStyle w:val="FootnoteAnchor"/>
          <w:rFonts w:ascii="Shofar" w:hAnsi="Shofar"/>
          <w:rtl w:val="true"/>
        </w:rPr>
        <w:footnoteReference w:id="36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דִּבְרֵי רַבִּי שִׁמְעוֹן</w:t>
      </w:r>
      <w:r>
        <w:rPr>
          <w:rStyle w:val="FootnoteAnchor"/>
          <w:rFonts w:ascii="Shofar" w:hAnsi="Shofar"/>
          <w:rtl w:val="true"/>
        </w:rPr>
        <w:footnoteReference w:id="37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וַחֲכָמִים אוֹסְרִין</w:t>
      </w:r>
      <w:r>
        <w:rPr>
          <w:rStyle w:val="FootnoteAnchor"/>
          <w:rFonts w:ascii="Shofar" w:hAnsi="Shofar"/>
          <w:rtl w:val="true"/>
        </w:rPr>
        <w:footnoteReference w:id="38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עַד שֶׁיַּעֲמִיק שְׁלֹשָׁה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אוֹ עַד שֶׁיַּגְבִּיהַּ שְׁלֹשָׁה</w:t>
      </w:r>
      <w:r>
        <w:rPr>
          <w:rStyle w:val="FootnoteAnchor"/>
          <w:rFonts w:ascii="Shofar" w:hAnsi="Shofar"/>
          <w:rtl w:val="true"/>
        </w:rPr>
        <w:footnoteReference w:id="39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עוֹשֶׂה אָדָם אֶת זִבְלוֹ אוֹצָר</w:t>
      </w:r>
      <w:r>
        <w:rPr>
          <w:rStyle w:val="FootnoteAnchor"/>
          <w:rFonts w:ascii="Shofar" w:hAnsi="Shofar"/>
          <w:rtl w:val="true"/>
        </w:rPr>
        <w:footnoteReference w:id="40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מֵאִיר אוֹסֵר</w:t>
      </w:r>
      <w:r>
        <w:rPr>
          <w:rStyle w:val="FootnoteAnchor"/>
          <w:rFonts w:ascii="Shofar" w:hAnsi="Shofar"/>
          <w:rtl w:val="true"/>
        </w:rPr>
        <w:footnoteReference w:id="41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עַד שֶׁיַּעֲמִיק שְׁלֹשָׁה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אוֹ עַד שֶׁיַּגְבִּיהַּ שְׁלֹשָׁה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הָיָה לוֹ דָבָר מֻעָט</w:t>
      </w:r>
      <w:r>
        <w:rPr>
          <w:rStyle w:val="FootnoteAnchor"/>
          <w:rFonts w:ascii="Shofar" w:hAnsi="Shofar"/>
          <w:rtl w:val="true"/>
        </w:rPr>
        <w:footnoteReference w:id="42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מוֹסִיף עָלָיו וְהוֹלֵךְ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אֶלְעָזָר בֶּן עֲזַרְיָה אוֹסֵר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עַד שֶׁיַּעֲמִיק שְׁלֹשָׁה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אוֹ עַד שֶׁיַּגְבִּיהַּ שְׁלֹשָׁה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אוֹ עַד שֶׁיִּתֵּן עַל הַסָּלַע</w:t>
      </w:r>
      <w:r>
        <w:rPr>
          <w:rStyle w:val="FootnoteAnchor"/>
          <w:rFonts w:ascii="Shofar" w:hAnsi="Shofar"/>
          <w:rtl w:val="true"/>
        </w:rPr>
        <w:footnoteReference w:id="43"/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  <w:b/>
          <w:b/>
          <w:bCs/>
        </w:rPr>
      </w:pPr>
      <w:r>
        <w:rPr>
          <w:rFonts w:ascii="Shofar" w:hAnsi="Shofar"/>
          <w:b/>
          <w:b/>
          <w:bCs/>
          <w:rtl w:val="true"/>
        </w:rPr>
        <w:t>משנה ד</w:t>
      </w:r>
      <w:r>
        <w:rPr>
          <w:rStyle w:val="FootnoteAnchor"/>
          <w:rFonts w:ascii="Shofar" w:hAnsi="Shofar"/>
          <w:b/>
          <w:b/>
          <w:bCs/>
          <w:rtl w:val="true"/>
        </w:rPr>
        <w:footnoteReference w:customMarkFollows="1" w:id="44"/>
        <w:t xml:space="preserve">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הַמְדַיֵּר</w:t>
      </w:r>
      <w:r>
        <w:rPr>
          <w:rStyle w:val="FootnoteAnchor"/>
          <w:rFonts w:ascii="Shofar" w:hAnsi="Shofar"/>
          <w:rtl w:val="true"/>
        </w:rPr>
        <w:footnoteReference w:id="45"/>
      </w:r>
      <w:r>
        <w:rPr>
          <w:rFonts w:ascii="Shofar" w:hAnsi="Shofar"/>
          <w:rtl w:val="true"/>
        </w:rPr>
        <w:t xml:space="preserve"> אֶת שָׂדֵהוּ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עוֹשֶׂה סַהַר לְבֵית סָאתַיִם</w:t>
      </w:r>
      <w:r>
        <w:rPr>
          <w:rStyle w:val="FootnoteAnchor"/>
          <w:rFonts w:ascii="Shofar" w:hAnsi="Shofar"/>
          <w:rtl w:val="true"/>
        </w:rPr>
        <w:footnoteReference w:id="46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עוֹקֵר שָׁלֹשׁ רוּחוֹת וּמַנִּיחַ אֶת הָאֶמְצָעִית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נִמְצָא מְדַיֵּר בֵּית אַרְבַּעַת סְאִין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רַבָּן שִׁמְעוֹן בֶּן גַּמְלִיאֵל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בֵּית שְׁמוֹנַת סְאִין</w:t>
      </w:r>
      <w:r>
        <w:rPr>
          <w:rStyle w:val="FootnoteAnchor"/>
          <w:rFonts w:ascii="Shofar" w:hAnsi="Shofar"/>
          <w:rtl w:val="true"/>
        </w:rPr>
        <w:footnoteReference w:id="47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הָיְתָה כָל שָׂדֵהוּ בֵּית אַרְבַּעַת סְאִין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מְשַׁיֵּר מִמֶּנָּה מִקְצָת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מִפְּנֵי מַרְאִית הָעַיִן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וּמוֹצִיא מִן הַסַּהַר</w:t>
      </w:r>
      <w:r>
        <w:rPr>
          <w:rStyle w:val="FootnoteAnchor"/>
          <w:rFonts w:ascii="Shofar" w:hAnsi="Shofar"/>
          <w:rtl w:val="true"/>
        </w:rPr>
        <w:footnoteReference w:id="48"/>
      </w:r>
      <w:r>
        <w:rPr>
          <w:rFonts w:ascii="Shofar" w:hAnsi="Shofar"/>
          <w:rtl w:val="true"/>
        </w:rPr>
        <w:t xml:space="preserve"> וְנוֹתֵן לְתוֹךְ שָׂדֵהוּ</w:t>
      </w:r>
      <w:r>
        <w:rPr>
          <w:rStyle w:val="FootnoteAnchor"/>
          <w:rFonts w:ascii="Shofar" w:hAnsi="Shofar"/>
          <w:rtl w:val="true"/>
        </w:rPr>
        <w:footnoteReference w:id="49"/>
      </w:r>
      <w:r>
        <w:rPr>
          <w:rFonts w:ascii="Shofar" w:hAnsi="Shofar"/>
          <w:rtl w:val="true"/>
        </w:rPr>
        <w:t xml:space="preserve"> כְּדֶרֶךְ הַמְזַבְּלִין</w:t>
      </w:r>
      <w:r>
        <w:rPr>
          <w:rStyle w:val="FootnoteAnchor"/>
          <w:rFonts w:ascii="Shofar" w:hAnsi="Shofar"/>
          <w:rtl w:val="true"/>
        </w:rPr>
        <w:footnoteReference w:id="50"/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b/>
          <w:b/>
          <w:bCs/>
          <w:rtl w:val="true"/>
        </w:rPr>
        <w:t>משנה ה</w:t>
      </w:r>
      <w:r>
        <w:rPr>
          <w:rStyle w:val="FootnoteAnchor"/>
          <w:rFonts w:ascii="Shofar" w:hAnsi="Shofar"/>
          <w:b/>
          <w:b/>
          <w:bCs/>
          <w:rtl w:val="true"/>
        </w:rPr>
        <w:footnoteReference w:customMarkFollows="1" w:id="51"/>
        <w:t xml:space="preserve">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לֹא יִפְתַּח</w:t>
      </w:r>
      <w:r>
        <w:rPr>
          <w:rStyle w:val="FootnoteAnchor"/>
          <w:rFonts w:ascii="Shofar" w:hAnsi="Shofar"/>
          <w:rtl w:val="true"/>
        </w:rPr>
        <w:footnoteReference w:id="52"/>
      </w:r>
      <w:r>
        <w:rPr>
          <w:rFonts w:ascii="Shofar" w:hAnsi="Shofar"/>
          <w:rtl w:val="true"/>
        </w:rPr>
        <w:t xml:space="preserve"> אָדָם מַחְצֵב</w:t>
      </w:r>
      <w:r>
        <w:rPr>
          <w:rStyle w:val="FootnoteAnchor"/>
          <w:rFonts w:ascii="Shofar" w:hAnsi="Shofar"/>
          <w:rtl w:val="true"/>
        </w:rPr>
        <w:footnoteReference w:id="53"/>
      </w:r>
      <w:r>
        <w:rPr>
          <w:rFonts w:ascii="Shofar" w:hAnsi="Shofar"/>
          <w:rtl w:val="true"/>
        </w:rPr>
        <w:t xml:space="preserve"> בַּתְּחִלָּה לְתוֹךְ שָׂדֵהוּ</w:t>
      </w:r>
      <w:r>
        <w:rPr>
          <w:rStyle w:val="FootnoteAnchor"/>
          <w:rFonts w:ascii="Shofar" w:hAnsi="Shofar"/>
          <w:rtl w:val="true"/>
        </w:rPr>
        <w:footnoteReference w:id="54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עַד שֶׁיִּהְיוּ בוֹ שָׁלֹשׁ מוּרְבִּיּוֹת</w:t>
      </w:r>
      <w:r>
        <w:rPr>
          <w:rStyle w:val="FootnoteAnchor"/>
          <w:rFonts w:ascii="Shofar" w:hAnsi="Shofar"/>
          <w:rtl w:val="true"/>
        </w:rPr>
        <w:footnoteReference w:id="55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שֶׁהֵם שָׁלֹשׁ עַל שָׁלֹשׁ עַל רוּם שָׁלֹשׁ</w:t>
      </w:r>
      <w:r>
        <w:rPr>
          <w:rStyle w:val="FootnoteAnchor"/>
          <w:rFonts w:ascii="Shofar" w:hAnsi="Shofar"/>
          <w:rtl w:val="true"/>
        </w:rPr>
        <w:footnoteReference w:id="56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שִׁעוּרָן עֶשְׂרִים וְשֶׁבַע אֲבָנִים</w:t>
      </w:r>
      <w:r>
        <w:rPr>
          <w:rStyle w:val="FootnoteAnchor"/>
          <w:rFonts w:ascii="Shofar" w:hAnsi="Shofar"/>
          <w:rtl w:val="true"/>
        </w:rPr>
        <w:footnoteReference w:id="57"/>
      </w:r>
      <w:r>
        <w:rPr>
          <w:rStyle w:val="FootnoteAnchor"/>
          <w:rFonts w:ascii="Shofar" w:hAnsi="Shofar"/>
          <w:rtl w:val="true"/>
        </w:rPr>
        <w:footnoteReference w:id="58"/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b/>
          <w:b/>
          <w:bCs/>
          <w:rtl w:val="true"/>
        </w:rPr>
        <w:t>משנה ו</w:t>
      </w:r>
      <w:r>
        <w:rPr>
          <w:rStyle w:val="FootnoteAnchor"/>
          <w:rFonts w:ascii="Shofar" w:hAnsi="Shofar"/>
          <w:b/>
          <w:b/>
          <w:bCs/>
          <w:rtl w:val="true"/>
        </w:rPr>
        <w:footnoteReference w:customMarkFollows="1" w:id="59"/>
        <w:t xml:space="preserve">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גָּדֵר שֶׁיֶּשׁ בּוֹ עֶשֶׂר אֲבָנִים</w:t>
      </w:r>
      <w:r>
        <w:rPr>
          <w:rStyle w:val="FootnoteAnchor"/>
          <w:rFonts w:ascii="Shofar" w:hAnsi="Shofar"/>
          <w:rtl w:val="true"/>
        </w:rPr>
        <w:footnoteReference w:id="60"/>
      </w:r>
      <w:r>
        <w:rPr>
          <w:rFonts w:ascii="Shofar" w:hAnsi="Shofar"/>
          <w:rtl w:val="true"/>
        </w:rPr>
        <w:t xml:space="preserve"> שֶׁל מַשְּׂאוֹי שְׁנַיִם שְׁנַיִם</w:t>
      </w:r>
      <w:r>
        <w:rPr>
          <w:rStyle w:val="FootnoteAnchor"/>
          <w:rFonts w:ascii="Shofar" w:hAnsi="Shofar"/>
          <w:rtl w:val="true"/>
        </w:rPr>
        <w:footnoteReference w:id="61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הֲרֵי אֵלּוּ יִנָּטֵלוּ</w:t>
      </w:r>
      <w:r>
        <w:rPr>
          <w:rStyle w:val="FootnoteAnchor"/>
          <w:rFonts w:ascii="Shofar" w:hAnsi="Shofar"/>
          <w:rtl w:val="true"/>
        </w:rPr>
        <w:footnoteReference w:id="62"/>
      </w:r>
      <w:r>
        <w:rPr>
          <w:rStyle w:val="FootnoteAnchor"/>
          <w:rFonts w:ascii="Shofar" w:hAnsi="Shofar"/>
          <w:rtl w:val="true"/>
        </w:rPr>
        <w:footnoteReference w:id="63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שִׁעוּר גָּדֵר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עֲשָׂרָה טְפָחִים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פָּחוֹת מִיכַּן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מְחַצֵּב וְגוֹמְמוֹ עַד פָּחוֹת מֵהָאָרֶץ טֶפַח</w:t>
      </w:r>
      <w:r>
        <w:rPr>
          <w:rStyle w:val="FootnoteAnchor"/>
          <w:rFonts w:ascii="Shofar" w:hAnsi="Shofar"/>
          <w:rtl w:val="true"/>
        </w:rPr>
        <w:footnoteReference w:id="64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בַּמֶּה דְבָרִים אֲמוּרִים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מִתּוֹךְ שֶׁלּוֹ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אֲבָל מִתּוֹךְ שֶׁל חֲבֵרוֹ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מַה שֶּׁהוּא רוֹצֶה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יִטֹּל</w:t>
      </w:r>
      <w:r>
        <w:rPr>
          <w:rStyle w:val="FootnoteAnchor"/>
          <w:rFonts w:ascii="Shofar" w:hAnsi="Shofar"/>
          <w:rtl w:val="true"/>
        </w:rPr>
        <w:footnoteReference w:id="65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בַּמֶּה דְבָרִים אֲמוּרִים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בִּזְמַן שֶׁלֹא הִתְחִיל בּוֹ מֵעֶרֶב שְׁבִיעִית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אֲבָל אִם הִתְחִיל בּוֹ מֵעֶרֶב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מַה שֶּׁהוּא רוֹצֶה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נוֹטֵל</w:t>
      </w:r>
      <w:r>
        <w:rPr>
          <w:rStyle w:val="FootnoteAnchor"/>
          <w:rFonts w:ascii="Shofar" w:hAnsi="Shofar"/>
          <w:rtl w:val="true"/>
        </w:rPr>
        <w:footnoteReference w:id="66"/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b/>
          <w:b/>
          <w:bCs/>
          <w:rtl w:val="true"/>
        </w:rPr>
        <w:t>משנה ז</w:t>
      </w:r>
      <w:r>
        <w:rPr>
          <w:rStyle w:val="FootnoteAnchor"/>
          <w:rFonts w:ascii="Shofar" w:hAnsi="Shofar"/>
          <w:b/>
          <w:b/>
          <w:bCs/>
          <w:rtl w:val="true"/>
        </w:rPr>
        <w:footnoteReference w:customMarkFollows="1" w:id="67"/>
        <w:t xml:space="preserve">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אֲבָנִים שֶׁזִּעְזְעָתַן הַמַּחֲרֵשָׁה</w:t>
      </w:r>
      <w:r>
        <w:rPr>
          <w:rStyle w:val="FootnoteAnchor"/>
          <w:rFonts w:ascii="Shofar" w:hAnsi="Shofar"/>
          <w:rtl w:val="true"/>
        </w:rPr>
        <w:footnoteReference w:id="68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אוֹ שֶׁהָיוּ מְכֻסּוֹת וְנִתְגַּלּוּ</w:t>
      </w:r>
      <w:r>
        <w:rPr>
          <w:rStyle w:val="FootnoteAnchor"/>
          <w:rFonts w:ascii="Shofar" w:hAnsi="Shofar"/>
          <w:rtl w:val="true"/>
        </w:rPr>
        <w:footnoteReference w:id="69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אִם יֵשׁ בָּהֶם שְׁתַּיִם שֶׁל מַשְּׂאוֹי שְׁנַיִם שְׁנַיִם</w:t>
      </w:r>
      <w:r>
        <w:rPr>
          <w:rStyle w:val="FootnoteAnchor"/>
          <w:rFonts w:ascii="Shofar" w:hAnsi="Shofar"/>
          <w:rtl w:val="true"/>
        </w:rPr>
        <w:footnoteReference w:id="70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הֲרֵי אֵלּוּ יִנָּטֵלוּ</w:t>
      </w:r>
      <w:r>
        <w:rPr>
          <w:rStyle w:val="FootnoteAnchor"/>
          <w:rFonts w:ascii="Shofar" w:hAnsi="Shofar"/>
          <w:rtl w:val="true"/>
        </w:rPr>
        <w:footnoteReference w:id="71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הַמְסַקֵּל אֶת שָׂדֵהוּ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נוֹטֵל אֶת הָעֶלְיוֹנוֹת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וּמַנִּיחַ אֶת הַנּוֹגְעוֹת בָּאָרֶץ</w:t>
      </w:r>
      <w:r>
        <w:rPr>
          <w:rStyle w:val="FootnoteAnchor"/>
          <w:rFonts w:ascii="Shofar" w:hAnsi="Shofar"/>
          <w:rtl w:val="true"/>
        </w:rPr>
        <w:footnoteReference w:id="72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וְכֵן גַּרְגֵּר שֶׁל צְרוֹרוֹת</w:t>
      </w:r>
      <w:r>
        <w:rPr>
          <w:rStyle w:val="FootnoteAnchor"/>
          <w:rFonts w:ascii="Shofar" w:hAnsi="Shofar"/>
          <w:rtl w:val="true"/>
        </w:rPr>
        <w:footnoteReference w:id="73"/>
      </w:r>
      <w:r>
        <w:rPr>
          <w:rFonts w:ascii="Shofar" w:hAnsi="Shofar"/>
          <w:rtl w:val="true"/>
        </w:rPr>
        <w:t xml:space="preserve"> אוֹ גַל שֶׁל אֲבָנִים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נוֹטֵל אֶת הָעֶלְיוֹנוֹת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וּמַנִּיחַ אֶת הַנּוֹגְעוֹת בָּאָרֶץ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אִם יֶשׁ תַּחְתֵּיהֶן סֶלַע אוֹ קַשׁ</w:t>
      </w:r>
      <w:r>
        <w:rPr>
          <w:rStyle w:val="FootnoteAnchor"/>
          <w:rFonts w:ascii="Shofar" w:hAnsi="Shofar"/>
          <w:rtl w:val="true"/>
        </w:rPr>
        <w:footnoteReference w:id="74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הֲרֵי אֵלּוּ יִנָּטֵלוּ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b/>
          <w:b/>
          <w:bCs/>
          <w:rtl w:val="true"/>
        </w:rPr>
        <w:t>משנה ח</w:t>
      </w:r>
      <w:r>
        <w:rPr>
          <w:rStyle w:val="FootnoteAnchor"/>
          <w:rFonts w:ascii="Shofar" w:hAnsi="Shofar"/>
          <w:b/>
          <w:b/>
          <w:bCs/>
          <w:rtl w:val="true"/>
        </w:rPr>
        <w:footnoteReference w:customMarkFollows="1" w:id="75"/>
        <w:t xml:space="preserve">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אֵין בּוֹנִין מַדְרֵגוֹת</w:t>
      </w:r>
      <w:r>
        <w:rPr>
          <w:rStyle w:val="FootnoteAnchor"/>
          <w:rFonts w:ascii="Shofar" w:hAnsi="Shofar"/>
          <w:rtl w:val="true"/>
        </w:rPr>
        <w:footnoteReference w:id="76"/>
      </w:r>
      <w:r>
        <w:rPr>
          <w:rFonts w:ascii="Shofar" w:hAnsi="Shofar"/>
          <w:rtl w:val="true"/>
        </w:rPr>
        <w:t xml:space="preserve"> עַל פִּי הַגֵּאָיוֹת עֶרֶב שְׁבִיעִית מִשֶּׁפָּסְקוּ הַגְּשָׁמִים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מִפְּנֵי שֶׁהוּא מְתַקְּנָן לַשְּׁבִיעִית</w:t>
      </w:r>
      <w:r>
        <w:rPr>
          <w:rStyle w:val="FootnoteAnchor"/>
          <w:rFonts w:ascii="Shofar" w:hAnsi="Shofar"/>
          <w:rtl w:val="true"/>
        </w:rPr>
        <w:footnoteReference w:id="77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אֲבָל בּוֹנֶה הוּא בַּשְּׁבִיעִית מִשֶּׁפָּסְקוּ גְּשָׁמִים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מִפְּנֵי שֶׁהוּא מְתַקְּנָן לְמוֹצָאֵי שְׁבִיעִית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וְלֹא יִסְמֹךְ בְּעָפָר</w:t>
      </w:r>
      <w:r>
        <w:rPr>
          <w:rStyle w:val="FootnoteAnchor"/>
          <w:rFonts w:ascii="Shofar" w:hAnsi="Shofar"/>
          <w:rtl w:val="true"/>
        </w:rPr>
        <w:footnoteReference w:id="78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אֲבָל עוֹשֶׂה הוּא חַיִץ</w:t>
      </w:r>
      <w:r>
        <w:rPr>
          <w:rStyle w:val="FootnoteAnchor"/>
          <w:rFonts w:ascii="Shofar" w:hAnsi="Shofar"/>
          <w:rtl w:val="true"/>
        </w:rPr>
        <w:footnoteReference w:id="79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כָּל אֶבֶן שֶׁהוּא יָכוֹל לִפְשֹׁט אֶת יָדוֹ וְלִטְּלָהּ</w:t>
      </w:r>
      <w:r>
        <w:rPr>
          <w:rStyle w:val="FootnoteAnchor"/>
          <w:rFonts w:ascii="Shofar" w:hAnsi="Shofar"/>
          <w:rtl w:val="true"/>
        </w:rPr>
        <w:footnoteReference w:id="80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הֲרֵי זוֹ תִּנָּטֵל</w:t>
      </w:r>
      <w:r>
        <w:rPr>
          <w:rStyle w:val="FootnoteAnchor"/>
          <w:rFonts w:ascii="Shofar" w:hAnsi="Shofar"/>
          <w:rtl w:val="true"/>
        </w:rPr>
        <w:footnoteReference w:id="81"/>
      </w:r>
      <w:r>
        <w:rPr>
          <w:rFonts w:cs="Shofar" w:ascii="Shofar" w:hAnsi="Shofar"/>
          <w:rtl w:val="true"/>
        </w:rPr>
        <w:t>: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b/>
          <w:b/>
          <w:bCs/>
          <w:rtl w:val="true"/>
        </w:rPr>
        <w:t>משנה ט</w:t>
      </w:r>
      <w:r>
        <w:rPr>
          <w:rStyle w:val="FootnoteAnchor"/>
          <w:rFonts w:ascii="Shofar" w:hAnsi="Shofar"/>
          <w:b/>
          <w:b/>
          <w:bCs/>
          <w:rtl w:val="true"/>
        </w:rPr>
        <w:footnoteReference w:customMarkFollows="1" w:id="82"/>
        <w:t xml:space="preserve">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אַבְנֵי כָתֵף</w:t>
      </w:r>
      <w:r>
        <w:rPr>
          <w:rStyle w:val="FootnoteAnchor"/>
          <w:rFonts w:ascii="Shofar" w:hAnsi="Shofar"/>
          <w:rtl w:val="true"/>
        </w:rPr>
        <w:footnoteReference w:id="83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בָּאוֹת מִכָּל מָקוֹם</w:t>
      </w:r>
      <w:r>
        <w:rPr>
          <w:rStyle w:val="FootnoteAnchor"/>
          <w:rFonts w:ascii="Shofar" w:hAnsi="Shofar"/>
          <w:rtl w:val="true"/>
        </w:rPr>
        <w:footnoteReference w:id="84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וְהַקַּבְּלָן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מֵבִיא מִכָּל מָקוֹם</w:t>
      </w:r>
      <w:r>
        <w:rPr>
          <w:rStyle w:val="FootnoteAnchor"/>
          <w:rFonts w:ascii="Shofar" w:hAnsi="Shofar"/>
          <w:rtl w:val="true"/>
        </w:rPr>
        <w:footnoteReference w:id="85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וְאֵלּוּ הֵם אַבְנֵי כָתֵף</w:t>
      </w:r>
      <w:r>
        <w:rPr>
          <w:rStyle w:val="FootnoteAnchor"/>
          <w:rFonts w:ascii="Shofar" w:hAnsi="Shofar"/>
          <w:rtl w:val="true"/>
        </w:rPr>
        <w:footnoteReference w:id="86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כָּל שֶׁאֵינָהּ יְכוֹלָה לְהִנָּטֵל בְּאַחַת יָד</w:t>
      </w:r>
      <w:r>
        <w:rPr>
          <w:rStyle w:val="FootnoteAnchor"/>
          <w:rFonts w:ascii="Shofar" w:hAnsi="Shofar"/>
          <w:rtl w:val="true"/>
        </w:rPr>
        <w:footnoteReference w:id="87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דִּבְרֵי רַבִּי מֵאִיר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יוֹסֵי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אַבְנֵי כָתֵף כִּשְׁמָן</w:t>
      </w:r>
      <w:r>
        <w:rPr>
          <w:rStyle w:val="FootnoteAnchor"/>
          <w:rFonts w:ascii="Shofar" w:hAnsi="Shofar"/>
          <w:rtl w:val="true"/>
        </w:rPr>
        <w:footnoteReference w:id="88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כָּל שֶׁהֵן נִטָּלוֹת שְׁתַּיִם שָׁלֹשׁ עַל הַכָּתֵף</w:t>
      </w:r>
      <w:r>
        <w:rPr>
          <w:rStyle w:val="FootnoteAnchor"/>
          <w:rFonts w:ascii="Shofar" w:hAnsi="Shofar"/>
          <w:rtl w:val="true"/>
        </w:rPr>
        <w:footnoteReference w:id="89"/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b/>
          <w:b/>
          <w:bCs/>
          <w:rtl w:val="true"/>
        </w:rPr>
        <w:t>מ</w:t>
      </w:r>
      <w:r>
        <w:rPr>
          <w:rFonts w:ascii="Shofar" w:hAnsi="Shofar"/>
          <w:b/>
          <w:b/>
          <w:bCs/>
          <w:rtl w:val="true"/>
        </w:rPr>
        <w:t>שנה י</w:t>
      </w:r>
      <w:r>
        <w:rPr>
          <w:rStyle w:val="FootnoteAnchor"/>
          <w:rFonts w:ascii="Shofar" w:hAnsi="Shofar"/>
          <w:b/>
          <w:b/>
          <w:bCs/>
          <w:rtl w:val="true"/>
        </w:rPr>
        <w:footnoteReference w:customMarkFollows="1" w:id="90"/>
        <w:t xml:space="preserve">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הַבּוֹנֶה גָדֵר בֵּינוֹ וּבֵין רְשׁוּת הָרַבִּים</w:t>
      </w:r>
      <w:r>
        <w:rPr>
          <w:rStyle w:val="FootnoteAnchor"/>
          <w:rFonts w:ascii="Shofar" w:hAnsi="Shofar"/>
          <w:rtl w:val="true"/>
        </w:rPr>
        <w:footnoteReference w:id="91"/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מֻתָּר לְהַעֲמִיק עַד הַסֶּלַע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מַה יַּעֲשֶׂה בֶּעָפָר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צוֹבְרוֹ בִּרְשׁוּת הָרַבִּים וּמְתַקְּנוֹ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דִּבְרֵי רַבִּי יְהוֹשֻׁעַ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עֲקִיבָא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כְּדֶרֶךְ שֶׁאֵין מְקַלְקְלִין בִּרְשׁוּת הָרַבִּים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כָּךְ לֹא יְתַקֵּנוּ</w:t>
      </w:r>
      <w:r>
        <w:rPr>
          <w:rStyle w:val="FootnoteAnchor"/>
          <w:rFonts w:ascii="Shofar" w:hAnsi="Shofar"/>
          <w:rtl w:val="true"/>
        </w:rPr>
        <w:footnoteReference w:id="92"/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מַה יַּעֲשֶׂה בֶּעָפָר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צוֹבְרוֹ בְּתוֹךְ שָׂדֵהוּ כְּדֶרֶךְ הַמְזַבְּלִין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וְכֵן הַחוֹפֵר בּוֹר וְשִׁיחַ וּמְעָרָה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פרק ד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ד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א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בָּרִאשׁוֹנָה הָיוּ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מְלַקֵּט אָדָם עֵצִים וַאֲבָנִים וַעֲשָׂבִים מִתּוֹךְ שֶׁלּוֹ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כְּדֶרֶךְ שֶׁהוּא מְלַקֵּט מִתּוֹךְ שֶׁל חֲבֵרוֹ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אֶת הַגַּס הַגָּס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מִשֶּׁרַבּוּ עוֹבְרֵי עֲבֵרָה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הִתְקִינוּ שֶׁיְּהֵא זֶה מְלַקֵּט מִתּוֹךְ שֶׁל זֶה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וְזֶה מְלַקֵּט מִתּוֹךְ שֶׁל זֶה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שֶׁלֹּא בְטוֹבָה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וְאֵין צָרִיךְ לוֹמַר שֶׁיְּקַצֵּץ לָהֶם מְזוֹנוֹת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ד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ב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שָׂדֶה שֶׁנִּתְקַוְּצָה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תִּזָּרַע בְּמוֹצָאֵי שְׁבִיעִית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שֶׁנִּטַּיְּבָה אוֹ שֶׁנִּדַּיְּרָה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לֹא תִזָּרַע בְּמוֹצָאֵי שְׁבִיעִית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שָׂדֶה שֶׁנִּטַּיְּבָה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בֵּית שַׁמַּאי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אֵין אוֹכְלִין פֵּרוֹתֶיהָ בַּשְּׁבִיעִית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וּבֵית הִלֵּל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אוֹכְלִין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בֵּית שַׁמַּאי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אֵין אוֹכְלִין פֵּרוֹת שְׁבִיעִית בְּטוֹבָה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וּבֵית הִלֵּל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אוֹכְלִין בְּטוֹבָה וְשֶׁלֹּא בְטוֹבָה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יְהוּדָה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חִלּוּף הַדְּבָרִים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זוֹ מִקֻּלֵּי בֵית שַׁמַּאי וּמֵחֻמְרֵי בֵית הִלֵּל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ד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ג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חוֹכְרִין נִירִין מִן הַנָּכְרִים בַּשְּׁבִיעִית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אֲבָל לֹא מִיִּשְׂרָאֵל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וּמַחֲזִיקִין יְדֵי נָכְרִים בַּשְּׁבִיעִית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אֲבָל לֹא יְדֵי יִשְׂרָאֵל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וְשׁוֹאֲלִין בִּשְׁלוֹמָן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מִפְּנֵי דַרְכֵי שָׁלוֹם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ד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ד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הַמֵּדֵל בַּזֵּיתִים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בֵּית שַׁמַּאי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יָגוֹם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וּבֵית הִלֵּל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יְשָׁרֵשׁ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וּמוֹדִים בְּמַחֲלִיק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עַד שֶׁיָּגוֹם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אֵיזֶה הוּא הַמֵּדֵל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אֶחָד אוֹ שְׁנַיִם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הַמַּחֲלִיק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שְׁלֹשָׁה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זֶה בְצַד זֶה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בַּמֶּה דְבָרִים אֲמוּרִים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מִתּוֹךְ שֶׁלּוֹ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אֲבָל מִתּוֹךְ שֶׁל חֲבֵרוֹ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אַף הַמַּחֲלִיק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יְשָׁרֵשׁ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ד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ה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הַמַּבְקִיעַ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ה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בַּזַּיִת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לֹא יְחַפֵּהוּ בְעָפָר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אֲבָל מְכַסֶּה הוּא בַּאֲבָנִים אוֹ בְקַשׁ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הַקּוֹצֵץ קוֹרוֹת שִׁקְמָה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לֹא יְחַפֵּהוּ בְעָפָר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אֲבָל מְכַסֶּה הוּא בַּאֲבָנִים אוֹ בְקַשׁ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אֵין קוֹצְצִין בְּתוּלַת שִׁקְמָה בַּשְּׁבִיעִית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מִפְּנֵי שֶׁהִיא עֲבוֹדָה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רַבִּי יְהוּדָה אוֹמֵר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ו</w:t>
      </w:r>
      <w:r>
        <w:rPr>
          <w:rFonts w:cs="Shofar" w:ascii="Shofar" w:hAnsi="Shofar"/>
          <w:rtl w:val="true"/>
        </w:rPr>
        <w:t xml:space="preserve">}, </w:t>
      </w:r>
      <w:r>
        <w:rPr>
          <w:rFonts w:ascii="Shofar" w:hAnsi="Shofar"/>
          <w:rtl w:val="true"/>
        </w:rPr>
        <w:t>כְּדַרְכָּהּ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אָסוּר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אֶלָּא אוֹ מַגְבִּיהַּ עֲשָׂרָה טְפָחִים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אוֹ גוֹמֵם מֵעַל הָאָרֶץ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ד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ו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הַמְזַנֵּב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ז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בִּגְפָנִים וְהַקּוֹצֵץ קָנִים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רַבִּי יוֹסֵי הַגְּלִילִי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יַרְחִיק טֶפַח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עֲקִיבָא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קוֹצֵץ כְּדַרְכּוֹ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בַּקַּרְדֹּם אוֹ בַמַּגָּל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וּבַמְּגֵרָה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וּבְכָל מַה שֶׁיִּרְצֶה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אִילָן שֶׁנִּפְשַׁח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קוֹשְׁרִין אוֹתוֹ בַּשְּׁבִיעִית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לֹא שֶׁיַּעֲלֶה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אֶלָּא שֶׁלֹּא יוֹסִיף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ד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ז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מֵאֵימָתַי אוֹכְלִין פֵּרוֹת הָאִילָן בַּשְּׁבִיעִית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הַפַּגִּים מִשֶּׁיַּזְרִיחוּ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אוֹכֵל בָּהֶם פִּתּוֹ בַּשָּׂדֶה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בִּחֲלוּ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כּוֹנֵס לְתוֹךְ בֵּיתוֹ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וְכֵן כַּיּוֹצֵא בָהֶם בִּשְׁאָר שְׁנֵי שָׁבוּעַ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חַיָּב בַּמַּעַשְׂרוֹת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ט</w:t>
      </w:r>
      <w:r>
        <w:rPr>
          <w:rFonts w:cs="Shofar" w:ascii="Shofar" w:hAnsi="Shofar"/>
          <w:rtl w:val="true"/>
        </w:rPr>
        <w:t xml:space="preserve">}: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ד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ח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הַבֹּסֶר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מִשֶּׁהֵבִיא מַיִם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אוֹכֵל בּוֹ פִּתּוֹ בַּשָּׂדֶה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הִבְאִישׁ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כּוֹנֵס לְתוֹךְ בֵּיתוֹ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וְכֵן כַּיּוֹצֵא בוֹ בִּשְׁאָר שְׁנֵי שָׁבוּעַ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חַיָּב בְּמַעַשְׂרוֹת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ד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ט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זֵיתִים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מִשֶּׁיַּכְנִיסוּ רְבִיעִית לִסְאָה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פּוֹצֵעַ וְאוֹכֵל בַּשָּׂדֶה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הִכְנִיסוּ חֲצִי לֹג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כּוֹתֵשׁ וְסָךְ בַּשָּׂדֶה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הִכְנִיסוּ שְׁלִישׁ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כּוֹתֵשׁ בַּשָּׂדֶה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יא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וְכוֹנֵס לְתוֹךְ בֵּיתוֹ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וְכֵן כַּיּוֹצֵא בָהֶם בִּשְׁאָר שְׁנֵי שָׁבוּעַ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חַיָּבִים בְּמַעַשְׂרוֹת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וּשְׁאָר כָּל פֵּרוֹת הָאִילָן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כְּעוֹנָתָן לַמַּעַשְׂרוֹת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כֵּן עוֹנָתָן לַשְּׁבִיעִית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ד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י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מֵאֵימָתַי אֵין קוֹצְצִין אֶת הָאִילָן בַּשְּׁבִיעִית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בֵּית שַׁמַּאי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כָּל הָאִילָן מִשֶּׁיּוֹצִיא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וּבֵית הִלֵּל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הֶחָרוּבִין מִשֶּׁיְּשַׁלְשֵׁלוּ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וְהַגְּפָנִים מִשֶּׁיְּגָרְעוּ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וְהַזֵּיתִים מִשֶּׁיָּנֵצוּ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וּשְׁאָר כָּל אִילָן מִשֶּׁיּוֹצִיא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וְכָל הָאִילָן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כֵּיוָן שֶׁבָּא לְעוֹנַת הַמַּעַשְׂרוֹת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מֻתָּר לְקָצְצוֹ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יג</w:t>
      </w:r>
      <w:r>
        <w:rPr>
          <w:rFonts w:cs="Shofar" w:ascii="Shofar" w:hAnsi="Shofar"/>
          <w:rtl w:val="true"/>
        </w:rPr>
        <w:t xml:space="preserve">}. </w:t>
      </w:r>
      <w:r>
        <w:rPr>
          <w:rFonts w:ascii="Shofar" w:hAnsi="Shofar"/>
          <w:rtl w:val="true"/>
        </w:rPr>
        <w:t>כַּמָּה יְהֵא בַזַּיִת וְלֹא יְקֻצֶּנּוּ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רֹבַע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רַבָּן שִׁמְעוֹן בֶּן גַּמְלִיאֵל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הַכֹּל לְפִי הַזַּיִת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פרק ה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ה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א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בְּנוֹת שׁוּחַ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שְׁבִיעִית שֶׁלָּהֶן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שְׁנִיָּה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שֶׁהֵן עוֹשׂוֹת לְשָׁלֹשׁ שָׁנִים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יְהוּדָה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הַפַּרְסָאוֹת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שְׁבִיעִית שֶׁלָּהֶן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מוֹצָאֵי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שֶׁהֵן עוֹשׂוֹת לִשְׁתֵּי שָׁנִים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אָמְרוּ לוֹ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לֹא אָמְרוּ אֶלָּא בְנוֹת שׁוּחַ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}: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ה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ב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הַטּוֹמֵן אֶת הַלּוּף בַּשְּׁבִיעִית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רַבִּי מֵאִיר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לֹא יִפְחֹת מִסָּאתַיִם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עַד גֹּבַהּ שְׁלֹשָׁה טְפָחִים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וְטֶפַח עָפָר עַל גַּבָּיו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וַחֲכָמִים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לֹא יִפְחֹת מֵאַרְבַּעַת קַבִּים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עַד גֹּבַהּ טֶפַח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וְטֶפַח עָפָר עַל גַּבָּיו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וְטוֹמְנוֹ בִמְקוֹם דְּרִיסַת אָדָם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ה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ג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לוּף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ב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שֶׁעָבְרָה עָלָיו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רַבִּי אֱלִיעֶזֶר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אִם לָקְטוּ הָעֲנִיִּים אֶת עָלָיו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לָקָטוּ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וְאִם לָאו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יַעֲשֶׂה חֶשְׁבּוֹן עִם הָעֲנִיִּים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יְהוֹשֻׁעַ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אִם לָקְטוּ הָעֲנִיִּים אֶת עָלָיו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לָקָטוּ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וְאִם לָאו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אֵין לָעֲנִיִּים עָלָיו חֶשְׁבּוֹן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ה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ד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לוּף שֶׁל עֶרֶב שְׁבִיעִית שֶׁנִכְנַס לַשְּׁבִיעִית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וְכֵן בְּצָלִים הַקֵּיצוֹנִים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וְכֵן פּוּאָה שֶׁל עִדִּית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בֵּית שַׁמַּאי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עוֹקְרִין אוֹתָן בְּמַאֲרוּפוֹת שֶׁל עֵץ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וּבֵית הִלֵּל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בְּקַרְדֻּמּוֹת שֶׁל מַתָּכוֹת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וּמוֹדִים בְּפוּאָה שֶׁל צְלָעוֹת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שֶׁעוֹקְרִין אוֹתָהּ בְּקַרְדֻּמּוֹת שֶׁל מַתָּכוֹת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ה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ה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מֵאֵימָתַי מֻתָּר אָדָם לִקַּח לוּף בְּמוֹצָאֵי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רַבִּי יְהוּדָה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מִיָּד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וַחֲכָמִים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מִשֶּׁיִּרְבֶּה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ה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הֶחָדָשׁ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ה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ו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אֵלּוּ כֵלִים שֶׁאֵין הָאֻמָּן רַשַּׁאי לְמָכְרָם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ו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בַּשְּׁבִיעִית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מַחֲרֵשָׁה וְכָל כֵּלֶיהָ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הָעוֹל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וְהַמִּזְרֶה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וְהַדָּקָר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אֲבָל מוֹכֵר הוּא מַגַּל יָד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ח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וּמַגַּל קָצִיר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וַעֲגָלָה וְכָל כֵּלֶיהָ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זֶה הַכְּלָל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כָּל שֶׁמְּלַאכְתּוֹ מְיֻחֶדֶת לַעֲבֵרָה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אָסוּר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לְאִסּוּר וּלְהֶתֵּר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מֻתָּר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ה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ז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הַיּוֹצֵר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מוֹכֵר חֲמִשָּׁה כַּדֵּי שֶׁמֶן וַחֲמִשָּׁה עָשָׂר כַּדֵּי יַיִן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שֶׁכֵּן דַּרְכּוֹ לְהָבִיא מִן הַהֶפְקֵר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וְאִם הֵבִיא יוֹתֵר מִכָּאן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מֻתָּר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}. </w:t>
      </w:r>
      <w:r>
        <w:rPr>
          <w:rFonts w:ascii="Shofar" w:hAnsi="Shofar"/>
          <w:rtl w:val="true"/>
        </w:rPr>
        <w:t xml:space="preserve">וּמוֹכֵר לְנָכְרִים בָּאָרֶץ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יא</w:t>
      </w:r>
      <w:r>
        <w:rPr>
          <w:rFonts w:cs="Shofar" w:ascii="Shofar" w:hAnsi="Shofar"/>
          <w:rtl w:val="true"/>
        </w:rPr>
        <w:t xml:space="preserve">}, </w:t>
      </w:r>
      <w:r>
        <w:rPr>
          <w:rFonts w:ascii="Shofar" w:hAnsi="Shofar"/>
          <w:rtl w:val="true"/>
        </w:rPr>
        <w:t>וּלְיִּשְׂרָאֵל בְּחוּצָה לָאָרֶץ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ה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ח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בֵּית שַׁמַּאי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לֹא יִמְכֹּר לוֹ פָרָה חוֹרֶשֶׁת בַּשְּׁבִיעִית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וּבֵית הִלֵּל מַתִּירִין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מִפְּנֵי שֶׁהוּא יָכוֹל לְשָׁחֲטָהּ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מוֹכֵר לוֹ פֵּרוֹת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יג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אֲפִלּוּ בִּשְׁעַת הַזֶּרַע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וּמַשְׁאִיל לוֹ סְאָתוֹ אַף עַל פִּי שֶׁהוּא יוֹדֵעַ שֶׁיֶּשׁ לוֹ גֹּרֶן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וּפוֹרֵט לוֹ מָעוֹת אַף עַל פִּי שֶׁהוּא יוֹדֵעַ שֶׁיֶּשׁ לוֹ פּוֹעֲלִים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וְכֻלָּן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בְּפֵרוּשׁ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אֲסוּרִין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ה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ט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מַשְׁאֶלֶת אִשָּׁה לַחֲבֶרְתָּהּ הַחֲשׁוּדָה עַל הַשְּׁבִיעִית נָפָה וּכְבָרָה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יד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וְרֵחַיִם וְתַנּוּר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אֲבָל לֹא תָבוֹר וְלֹא תִטְחַן עִמָּהּ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אֵשֶׁת חָבֵר מַשְׁאֶלֶת לְאֵשֶׁת עַם הָאָרֶץ נָפָה וּכְבָרָה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וּבוֹרֶרֶת וְטוֹחֶנֶת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טו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 xml:space="preserve">וּמַרְקֶדֶת עִמָּהּ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טז</w:t>
      </w:r>
      <w:r>
        <w:rPr>
          <w:rFonts w:cs="Shofar" w:ascii="Shofar" w:hAnsi="Shofar"/>
          <w:rtl w:val="true"/>
        </w:rPr>
        <w:t xml:space="preserve">}. </w:t>
      </w:r>
      <w:r>
        <w:rPr>
          <w:rFonts w:ascii="Shofar" w:hAnsi="Shofar"/>
          <w:rtl w:val="true"/>
        </w:rPr>
        <w:t>אֲבָל מִשֶּׁתַּטִּיל הַמַּיִם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לֹא תִגַּע אֶצְלָהּ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שֶׁאֵין מַחְזִיקִין יְדֵי עוֹבְרֵי עֲבֵרָה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וְכֻלָּן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יח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לֹא אָמְרוּ אֶלָּא מִפְּנֵי דַרְכֵי שָׁלוֹם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וּמַחֲזִיקִין יְדֵי נָכְרִים בַּשְּׁבִיעִית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אֲבָל לֹא יְדֵי יִשְׂרָאֵל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וְשׁוֹאֲלִין בִּשְׁלוֹמָן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מִפְּנֵי דַרְכֵי שָׁלוֹם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פרק ו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ו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א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שָׁלֹשׁ אֲרָצוֹת לַשְּׁבִיעִית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כָּל שֶׁהֶחֱזִיקוּ עוֹלֵי בָבֶל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מֵאֶרֶץ יִשְׂרָאֵל וְעַד כְּזִיב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לֹא נֶאֱכָל וְלֹא נֶעֱבָד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וְכָל שֶׁהֶחֱזִיקוּ עוֹלֵי מִצְרַיִם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מִכְּזִיב וְעַד הַנָּהָר וְעַד אֲמָנָה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נֶאֱכָל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אֲבָל לֹא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ב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נֶעֱבָד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מִן הַנָּהָר וּמֵאֲמָנָה וְלִפְנִים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נֶאֱכָל וְנֶעֱבָד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ו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ב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עוֹשִׂין בְּתָלוּשׁ בְּסוּרְיָא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אֲבָל לֹא בִמְחֻבָּר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דָּשִׁים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ג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וְזוֹרִין וְדוֹרְכִין וּמְעַמְּרִין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אֲבָל לֹא קוֹצְרִין וְלֹא בוֹצְרִין וְלֹא מוֹסְקִים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כְּלָל אָמַר רַבִּי עֲקִיבָא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כָּל שֶׁכַּיּוֹצֵא בוֹ מֻתָּר בְּאֶרֶץ יִשְׂרָאֵל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עוֹשִׂין אוֹתוֹ בְּסוּרְיָא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ו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ג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בְּצָלִים שֶׁיָּרְדוּ עֲלֵיהֶם גְּשָׁמִים וְצִמֵּחוּ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אִם הָיוּ הֶעָלִין שֶׁלָּהֶם שְׁחוֹרִין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אֲסוּרִין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ד</w:t>
      </w:r>
      <w:r>
        <w:rPr>
          <w:rFonts w:cs="Shofar" w:ascii="Shofar" w:hAnsi="Shofar"/>
          <w:rtl w:val="true"/>
        </w:rPr>
        <w:t xml:space="preserve">}. </w:t>
      </w:r>
      <w:r>
        <w:rPr>
          <w:rFonts w:ascii="Shofar" w:hAnsi="Shofar"/>
          <w:rtl w:val="true"/>
        </w:rPr>
        <w:t>הוֹרִיקוּ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הֲרֵי אֵלּוּ מֻתָּרִין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חֲנִינָא בֶן אַנְטִיגְנוֹס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אִם יְכוֹלִין לְהִתָּלֵשׁ בֶּעָלִין שֶׁלָּהֶן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אֲסוּרִין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וּכְנֶגֶד כֵּן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מוֹצָאֵי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מֻתָּרִין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ו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ד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מֵאֵימָתַי מֻתָּר אָדָם לִקַּח יָרָק בְּמוֹצָאֵי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מִשֶּׁיַּעֲשֶׂה כַיּוֹצֵא בוֹ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עָשָׁה הַבַּכִּיר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הֻתַּר הָאָפִיל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ו</w:t>
      </w:r>
      <w:r>
        <w:rPr>
          <w:rFonts w:cs="Shofar" w:ascii="Shofar" w:hAnsi="Shofar"/>
          <w:rtl w:val="true"/>
        </w:rPr>
        <w:t xml:space="preserve">}. </w:t>
      </w:r>
      <w:r>
        <w:rPr>
          <w:rFonts w:ascii="Shofar" w:hAnsi="Shofar"/>
          <w:rtl w:val="true"/>
        </w:rPr>
        <w:t>רַבִּי הִתִּיר לִקַּח יָרָק בְּמוֹצָאֵי שְׁבִיעִית מִיָּד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ו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ה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אֵין מוֹצִיאִין שֶׁמֶן שְׂרֵפָה וּפֵרוֹת שְׁבִיעִית מֵהָאָרֶץ לְחוּץ לָאָרֶץ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אָמַר רַבִּי שִׁמְעוֹן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שָׁמַעְתִּי בְפֵרוּשׁ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שֶׁמּוֹצִיאִין לְסוּרְיָא וְאֵין מוֹצִיאִין לְחוּץ לָאָרֶץ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ו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ו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אֵין מְבִיאִין תְּרוּמָה מֵחוּצָה לָאָרֶץ לָאָרֶץ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אָמַר רַבִּי שִׁמְעוֹן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שָׁמַעְתִּי בְּפֵרוּשׁ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שֶׁמְּבִיאִין מִסּוּרְיָא וְאֵין מְבִיאִין מִחוּצָה לָאָרֶץ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פרק ז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ז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א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כְּלָל גָּדוֹל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אָמְרוּ בַּשְּׁבִיעִית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כָּל שֶׁהוּא מַאֲכַל אָדָם וּמַאֲכַל בְּהֵמָה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וּמִמִּין הַצּוֹבְעִים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וְאֵינוֹ מִתְקַיֵּם בָּאָרֶץ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יֶשׁ לוֹ שְׁבִיעִית וּלְדָמָיו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יֶשׁ לוֹ בִּעוּר וּלְדָמָיו בִּעוּר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וְאֵיזֶה זֶה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עֲלֵה הַלּוּף הַשּׁוֹטֶה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וַעֲלֵה הַדַּנְדַּנָּה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הָעֻלְשִׁין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וְהַכְּרֵשִׁין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וְהָרְגִילָה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וְנֵץ הֶחָלָב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וּמַאֲכַל בְּהֵמָה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הַחוֹחִים וְהַדַּרְדָּרִים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ב</w:t>
      </w:r>
      <w:r>
        <w:rPr>
          <w:rFonts w:cs="Shofar" w:ascii="Shofar" w:hAnsi="Shofar"/>
          <w:rtl w:val="true"/>
        </w:rPr>
        <w:t xml:space="preserve">}. </w:t>
      </w:r>
      <w:r>
        <w:rPr>
          <w:rFonts w:ascii="Shofar" w:hAnsi="Shofar"/>
          <w:rtl w:val="true"/>
        </w:rPr>
        <w:t xml:space="preserve">וּמִמִּין הַצּוֹבְעִים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ג</w:t>
      </w:r>
      <w:r>
        <w:rPr>
          <w:rFonts w:cs="Shofar" w:ascii="Shofar" w:hAnsi="Shofar"/>
          <w:rtl w:val="true"/>
        </w:rPr>
        <w:t xml:space="preserve">}, </w:t>
      </w:r>
      <w:r>
        <w:rPr>
          <w:rFonts w:ascii="Shofar" w:hAnsi="Shofar"/>
          <w:rtl w:val="true"/>
        </w:rPr>
        <w:t>סְפִיחֵי אִסְטִיס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וְקוֹצָה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יֶשׁ לָהֶם שְׁבִיעִית וְלִדְמֵיהֶן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יֶשׁ לָהֶם בִּעוּר וְלִדְמֵיהֶן בִּעוּר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ז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ב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וְעוֹד כְּלָל אַחֵר אָמְרוּ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כָּל שֶׁאֵינוֹ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ד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מַאֲכַל אָדָם וּמַאֲכַל בְּהֵמָה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וּמִמִּין הַצּוֹבְעִין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וּמִתְקַיֵּם בָּאָרֶץ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יֶשׁ לוֹ שְׁבִיעִית וּלְדָמָיו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אֵין לוֹ בִּעוּר וְאֵין לְדָמָיו בִּעוּר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אֵי זֶהוּ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עִקַּר הַלּוּף הַשּׁוֹטֶה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וְעִקַּר הַדַּנְדַּנָּה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וְהָעַרְקַבְנִין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וְהַחַלְבְּצִין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וְהַבֻּכְרִיָּה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וּמִמִּין הַצּוֹבְעִין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הַפּוּאָה וְהָרִכְפָּא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יֵשׁ לָהֶם שְׁבִיעִית וְלִדְמֵיהֶן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אֵין לָהֶם בִּעוּר וְלֹא לִדְמֵיהֶן בִּעוּר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מֵאִיר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דְּמֵיהֶם מִתְבַּעֲרִין עַד רֹאשׁ הַשָּׁנָה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אָמְרוּ לוֹ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לָהֶן אֵין בִּעוּר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קַל וָחֹמֶר לִדְמֵיהֶן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ז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ג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קְלִפֵּי רִמּוֹן וְהַנֵּץ שֶׁלּוֹ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קְלִפֵּי אֱגוֹזִים וְהַגַּלְעִינִין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יֵשׁ לָהֶם שְׁבִיעִית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ה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וְלִדְמֵיהֶן שְׁבִיעִית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הַצַּבָּע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צוֹבֵעַ לְעַצְמוֹ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וְלֹא יִצְבַּע בְּשָׂכָר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שֶׁאֵין עוֹשִׂין סְחוֹרָה בְּפֵרוֹת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וְלֹא בִבְכוֹרוֹת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וְלֹא בִתְרוּמוֹת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וְלֹא בִנְבֵלוֹת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וְלֹא בִטְרֵפוֹת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וְלֹא בִשְׁקָצִים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וְלֹא בִרְמָשִׂים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וְלֹא יִהְיֶה לוֹקֵחַ יַרְקוֹת שָׂדֶה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ז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וּמוֹכֵר בַּשּׁוּק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אֲבָל הוּא לוֹקֵט וּבְנוֹ מוֹכֵר עַל יָדוֹ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לָקַח לְעַצְמוֹ וְהוֹתִיר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מֻתָּר לְמָכְרָן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ז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ד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לָקַח בְּכוֹר לְמִשְׁתֵּה בְנוֹ אוֹ לָרֶגֶל וְלֹא צָרִיךְ לוֹ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מֻתָּר לְמָכְרוֹ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צָדֵי חַיָּה עוֹפוֹת וְדָגִים שֶׁנִּזְדַּמְּנוּ לָהֶם מִינִים טְמֵאִין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מֻתָּרִים לְמָכְרָן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יְהוּדָה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אַף מִי שֶׁנִּתְמַנָּה לוֹ לְפִי דַרְכּוֹ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לוֹקֵחַ וּמוֹכֵר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וּבִלְבַד שֶׁלֹּא תְהֵא אֻמָּנוּתוֹ בְכָךְ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וַחֲכָמִים אוֹסְרִין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ט</w:t>
      </w:r>
      <w:r>
        <w:rPr>
          <w:rFonts w:cs="Shofar" w:ascii="Shofar" w:hAnsi="Shofar"/>
          <w:rtl w:val="true"/>
        </w:rPr>
        <w:t xml:space="preserve">}: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ז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ה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לוּלְבֵי זְרָדִים וְהֶחָרוּבִין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יֵשׁ לָהֶם שְׁבִיעִית וְלִדְמֵיהֶן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יֵשׁ לָהֶן בִּעוּר וְלִדְמֵיהֶן בִּעוּר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לוּלְבֵי הָאֵלָה וְהַבָּטְנָה וְהָאֲטָדִין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יֵשׁ לָהֶם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וְלִדְמֵיהֶן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אֵין לָהֶם בִּעוּר וְלֹא לִדְמֵיהֶן בִּעוּר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אֲבָל לֶעָלִין יֵשׁ בִּעוּר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מִפְּנֵי שֶׁנּוֹשְׁרִין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יא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מֵאֲבִיהֶן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ז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ו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הַוֶּרֶד וְהַכֹּפֶר וְהַקְּטָף וְהַלֹּטֶם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יֵשׁ לָהֶם שְׁבִיעִית וְלִדְמֵיהֶן שְׁבִיעִית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שִׁמְעוֹן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אֵין לַקְּטָף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מִפְּנֵי שֶׁאֵינוֹ פֶרִי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ז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ז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וֶרֶד חָדָשׁ שֶׁכְּבָשׁוֹ בְּשֶׁמֶן יָשָׁן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יְלַקֵּט אֶת הַוֶּרֶד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וְיָשָׁן בְּחָדָשׁ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חַיָּב בַּבִּעוּר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חָרוּבִין חֲדָשִׁים שֶׁכְּבָשָׁן בְּיַיִן יָשָׁן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וִישָׁנִים בְּחָדָשׁ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חַיָּבִין בַּבִּעוּר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זֶה הַכְּלָל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כָּל שֶׁהוּא בְנוֹתֵן טַעַם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חַיָּב לְבַעֵר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מִין בְּשֶׁאֵינוֹ מִינוֹ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וּמִין בְּמִינוֹ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כָּל שֶׁהוּא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שְׁבִיעִית אוֹסֶרֶת כָּל שֶׁהוּא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יח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בְּמִינָהּ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וְשֶׁלֹּא בְמִינָהּ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בְּנוֹתֵן טָעַם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פרק ח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ח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א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כְּלָל גָּדוֹל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א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אָמְרוּ בַּשְּׁבִיעִית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כָּל הַמְיֻחָד לְמַאֲכַל אָדָם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אֵין עוֹשִׂין מִמֶּנּוּ מְלוּגְמָא לָאָדָם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וְאֵין צָרִיךְ לוֹמַר לַבְּהֵמָה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וְכָל שֶׁאֵינוֹ מְיֻחָד לְמַאֲכַל אָדָם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עוֹשִׂין מִמֶּנּוּ מְלוּגְמָא לְאָדָם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אֲבָל לֹא לִבְהֵמָה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וְכָל שֶׁאֵינוֹ מְיֻחָד לֹא לְמַאֲכַל אָדָם וְלֹא לְמַאֲכַל בְּהֵמָה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חָשַׁב עָלָיו לְמַאֲכַל אָדָם וּלְמַאֲכַל בְּהֵמָה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נוֹתְנִין עָלָיו חֻמְרֵי אָדָם וְחֻמְרֵי בְהֵמָה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חָשַׁב עָלָיו לְעֵצִים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הֲרֵי הוּא כְעֵצִים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כְּגוֹן הַסִּיאָה וְהָאֵזוֹב וְהַקּוֹרָנִית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ח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ב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נִתְּנָה לַאֲכִילָה וְלִשְׁתִיָּה וּלְסִיכָה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לֶאֱכֹל דָּבָר שֶׁדַּרְכּוֹ לֶאֱכֹל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וְלָסוּךְ דָּבָר שֶׁדַּרְכּוֹ לָסוּךְ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לֹא יָסוּךְ יַיִן וָחֹמֶץ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אֲבָל סָךְ הוּא אֶת הַשָּׁמֶן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וְכֵן בִּתְרוּמָה וּבְמַעֲשֵׂר שֵׁנִי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קַל מֵהֶם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שֶׁנִּתְּנָה לְהַדְלָקַת הַנֵּר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ג</w:t>
      </w:r>
      <w:r>
        <w:rPr>
          <w:rFonts w:cs="Shofar" w:ascii="Shofar" w:hAnsi="Shofar"/>
          <w:rtl w:val="true"/>
        </w:rPr>
        <w:t xml:space="preserve">}: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ח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ג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אֵין מוֹכְרִין פֵּרוֹת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לֹא בְמִדָּה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ד</w:t>
      </w:r>
      <w:r>
        <w:rPr>
          <w:rFonts w:cs="Shofar" w:ascii="Shofar" w:hAnsi="Shofar"/>
          <w:rtl w:val="true"/>
        </w:rPr>
        <w:t xml:space="preserve">}, </w:t>
      </w:r>
      <w:r>
        <w:rPr>
          <w:rFonts w:ascii="Shofar" w:hAnsi="Shofar"/>
          <w:rtl w:val="true"/>
        </w:rPr>
        <w:t>וְלֹא בְמִשְׁקָל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וְלֹא בְמִנְיָן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וְלֹא תְאֵנִים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ה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בְּמִנְיָן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וְלֹא יָרָק בְּמִשְׁקָל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בֵּית שַׁמַּאי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אַף לֹא אֲגֻדּוֹת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ו</w:t>
      </w:r>
      <w:r>
        <w:rPr>
          <w:rFonts w:cs="Shofar" w:ascii="Shofar" w:hAnsi="Shofar"/>
          <w:rtl w:val="true"/>
        </w:rPr>
        <w:t xml:space="preserve">}. </w:t>
      </w:r>
      <w:r>
        <w:rPr>
          <w:rFonts w:ascii="Shofar" w:hAnsi="Shofar"/>
          <w:rtl w:val="true"/>
        </w:rPr>
        <w:t>וּבֵית הִלֵּל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אֶת שֶׁדַּרְכּוֹ לֶאֱגֹד בַּבַּיִת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ז</w:t>
      </w:r>
      <w:r>
        <w:rPr>
          <w:rFonts w:cs="Shofar" w:ascii="Shofar" w:hAnsi="Shofar"/>
          <w:rtl w:val="true"/>
        </w:rPr>
        <w:t xml:space="preserve">}, </w:t>
      </w:r>
      <w:r>
        <w:rPr>
          <w:rFonts w:ascii="Shofar" w:hAnsi="Shofar"/>
          <w:rtl w:val="true"/>
        </w:rPr>
        <w:t>אוֹגְדִין אוֹתוֹ בַּשּׁוּק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כְּגוֹן הַכְּרֵשִׁין וְנֵץ הֶחָלָב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ח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ד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הָאוֹמֵר לַפּוֹעֵל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הֵא לָךְ אִסָּר זֶה וּלְקֹט לִי יָרָק הַיּוֹם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שְׂכָרוֹ מֻתָּר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ח</w:t>
      </w:r>
      <w:r>
        <w:rPr>
          <w:rFonts w:cs="Shofar" w:ascii="Shofar" w:hAnsi="Shofar"/>
          <w:rtl w:val="true"/>
        </w:rPr>
        <w:t xml:space="preserve">}. </w:t>
      </w:r>
      <w:r>
        <w:rPr>
          <w:rFonts w:ascii="Shofar" w:hAnsi="Shofar"/>
          <w:rtl w:val="true"/>
        </w:rPr>
        <w:t>לְקֹט לִי בּוֹ יָרָק הַיּוֹם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שְׂכָרוֹ אָסוּר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ט</w:t>
      </w:r>
      <w:r>
        <w:rPr>
          <w:rFonts w:cs="Shofar" w:ascii="Shofar" w:hAnsi="Shofar"/>
          <w:rtl w:val="true"/>
        </w:rPr>
        <w:t xml:space="preserve">}. </w:t>
      </w:r>
      <w:r>
        <w:rPr>
          <w:rFonts w:ascii="Shofar" w:hAnsi="Shofar"/>
          <w:rtl w:val="true"/>
        </w:rPr>
        <w:t>לָקַח מִן הַנַּחְתּוֹם כִּכָּר בְּפוּנְדְּיוֹן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כְּשֶׁאֶלְקֹט יַרְקוֹת שָׂדֶה אָבִיא לָךְ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מֻתָּר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לָקַח מִמֶּנּוּ סְתָם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לֹא יְשַׁלֵּם לוֹ מִדְּמֵי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שֶׁאֵין פּוֹרְעִין חוֹב מִדְּמֵי שְׁבִיעִית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ח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ה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אֵין נוֹתְנִים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לֹא לְבַיָּר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וְלֹא לְבַלָּן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}, </w:t>
      </w:r>
      <w:r>
        <w:rPr>
          <w:rFonts w:ascii="Shofar" w:hAnsi="Shofar"/>
          <w:rtl w:val="true"/>
        </w:rPr>
        <w:t>וְלֹא לְסַפָּר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וְלֹא לְסַפָּן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אֲבָל נוֹתֵן הוּא לְבַיָּר לִשְׁתּוֹת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וּלְכֻלָּן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הוּא נוֹתֵן מַתְּנַת חִנָּם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ח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ו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תְּאֵנִים שֶׁל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אֵין קוֹצִין אוֹתָן בְּמֻקְצֶה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אֲבָל קוֹצֶה אוֹתָם בַּחַרְבָּה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אֵין דּוֹרְכִין עֲנָבִים בַּגַּת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אֲבָל דּוֹרֵךְ הוּא בָּעֲרֵבָה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וְאֵין עוֹשִׂין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יב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זֵיתִים בַּבַּד וּבַקֹּטֶב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אֲבָל כּוֹתֵשׁ הוּא וּמַכְנִיס לַבּוֹדִידָה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שִׁמְעוֹן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אַף טוֹחֵן הוּא בְּבֵית הַבַּד וּמַכְנִיס לַבּוֹדִידָה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ח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ז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אֵין מְבַשְּׁלִין יָרָק שֶׁל שְׁבִיעִית בְּשֶׁמֶן שֶׁל תְּרוּמָה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שֶׁלֹּא יְבִיאֶנּוּ לִידֵי פְסוּל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שִׁמְעוֹן מַתִּיר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וְאַחֲרוֹן אַחֲרוֹן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נִתְפָּשׂ בַּשְּׁבִיעִית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וְהַפְּרִי עַצְמוֹ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אָסוּר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ח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ח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אֵין לוֹקְחִים עֲבָדִים וְקַרְקָעוֹת וּבְהֵמָה טְמֵאָה מִדְּמֵי שְׁבִיעִית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וְאִם לָקַח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יֹאכַל כְּנֶגְדָּן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אֵין מְבִיאִין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טו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קִנֵּי זָבִים וְקִנֵּי זָבוֹת וְקִנֵּי יוֹלְדוֹת מִדְּמֵי שְׁבִיעִית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וְאִם הֵבִיא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יֹאכַל כְּנֶגְדָּן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אֵין סָכִין כֵּלִים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טז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בְּשֶׁמֶן שֶׁל שְׁבִיעִית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וְאִם סָךְ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יֹאכַל כְּנֶגְדּוֹ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ח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ט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עוֹר שֶׁסָּכוֹ בְּשֶׁמֶן שֶׁל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רַבִּי אֱלִיעֶזֶר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יִדָּלֵק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יז</w:t>
      </w:r>
      <w:r>
        <w:rPr>
          <w:rFonts w:cs="Shofar" w:ascii="Shofar" w:hAnsi="Shofar"/>
          <w:rtl w:val="true"/>
        </w:rPr>
        <w:t xml:space="preserve">}. </w:t>
      </w:r>
      <w:r>
        <w:rPr>
          <w:rFonts w:ascii="Shofar" w:hAnsi="Shofar"/>
          <w:rtl w:val="true"/>
        </w:rPr>
        <w:t>וַחֲכָמִים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יֹאכַל כְּנֶגְדּוֹ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יח</w:t>
      </w:r>
      <w:r>
        <w:rPr>
          <w:rFonts w:cs="Shofar" w:ascii="Shofar" w:hAnsi="Shofar"/>
          <w:rtl w:val="true"/>
        </w:rPr>
        <w:t xml:space="preserve">}. </w:t>
      </w:r>
      <w:r>
        <w:rPr>
          <w:rFonts w:ascii="Shofar" w:hAnsi="Shofar"/>
          <w:rtl w:val="true"/>
        </w:rPr>
        <w:t>אָמְרוּ לִפְנֵי רַבִּי עֲקִיבָא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אוֹמֵר הָיָה רַבִּי אֱלִיעֶזֶר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עוֹר שֶׁסָּכוֹ בְשֶׁמֶן שֶׁל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יִדָּלֵק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אָמַר לָהֶם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שְׁתֹקוּ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לֹא אוֹמַר לָכֶם מַה שֶּׁרַבִּי אֱלִיעֶזֶר אוֹמֵר בּוֹ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ח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י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וְעוֹד אָמְרוּ לְפָנָיו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אוֹמֵר הָיָה רַבִּי אֱלִיעֶזֶר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הָאוֹכֵל פַּת כּוּתִים כְּאוֹכֵל בְּשַׂר חֲזִיר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אָמַר לָהֶם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שְׁתֹקוּ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לֹא אוֹמַר לָכֶם מַה שֶּׁרַבִּי אֱלִיעֶזֶר אוֹמֵר בּוֹ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ח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יא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מֶרְחָץ שֶׁהֻסְּקָה בְּתֶבֶן אוֹ בְקַשׁ שֶׁל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מֻתָּר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כ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לִרְחֹץ בָּהּ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וְאִם מִתְחַשֵּׁב הוּא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הֲרֵי זֶה לֹא יִרְחֹץ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פרק ט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ט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א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הַפֵּגָם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וְהַיַּרְבּוּזִין הַשּׁוֹטִים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וְהַחֲלַגְלוֹגִית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כֻּסְבָּר שֶׁבֶּהָרִים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וְהַכַּרְפַּס שֶׁבַּנְּהָרוֹת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וְהַגַּרְגֵּר שֶׁל אֲפָר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פְּטוּרִין מִן הַמַּעַשְׂרוֹת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וְנִלְקָחִין מִכָּל אָדָם בַּשְּׁבִיעִית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שֶׁאֵין כַּיּוֹצֵא בָהֶם נִשְׁמָר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יְהוּדָה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סְפִיחֵי חַרְדָּל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מֻתָּרִין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שֶׁלֹּא נֶחְשְׁדוּ עֲלֵיהֶן עוֹבְרֵי עֲבֵרָה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שִׁמְעוֹן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כָּל הַסְּפִיחִין מֻתָּרִין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חוּץ מִסְּפִיחֵי כְרוּב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שֶׁאֵין כַּיּוֹצֵא בָהֶם בְּיַרְקוֹת שָׂדֶה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וַחֲכָמִים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כָּל הַסְּפִיחִין אֲסוּרִין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ט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ב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שָׁלֹשׁ אֲרָצוֹת לַבִּעוּר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יְהוּדָה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וְעֵבֶר הַיַּרְדֵּן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וְהַגָּלִיל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וְשָׁלֹשׁ שָׁלֹשׁ אֲרָצוֹת לְכָל אַחַת וְאַחַת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גָּלִיל הָעֶלְיוֹן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וְגָלִיל הַתַּחְתּוֹן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וְהָעֵמֶק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מִכְּפַר חֲנַנְיָה וּלְמַעְלָן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כָּל שֶׁאֵינוֹ מְגַדֵּל שִׁקְמִין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גָּלִיל הָעֶלְיוֹן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וּמִכְּפַר חֲנַנְיָה וּלְמַטָּן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כָּל שֶׁהוּא מְגַדֵּל שִׁקְמִין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גָּלִיל הַתַּחְתּוֹן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וּתְחוּם טְבֶרְיָא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הָעֵמֶק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וּבִיהוּדָה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הָהָר וְהַשְּׁפֵלָה וְהָעֵמֶק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וּשְׁפֵלַת לוּד כִּשְׁפֵלַת הַדָּרוֹם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וְהָהָר שֶׁלָּהּ כְּהַר הַמֶּלֶךְ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מִבֵּית חוֹרוֹן וְעַד הַיָּם מְדִינָה אֶחָת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ט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ג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וְלָמָּה אָמְרוּ שָׁלֹשׁ אֲרָצוֹת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שֶׁיִּהְיוּ אוֹכְלִין בְּכָל אַחַת וְאַחַת עַד שֶׁיִּכְלֶה הָאַחֲרוֹן שֶׁבָּהּ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שִׁמְעוֹן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לֹא אָמְרוּ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ה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שָׁלֹשׁ אֲרָצוֹת אֶלָּא בִיהוּדָה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וּשְׁאָר כָּל הָאֲרָצוֹת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כְּהַר הַמֶּלֶךְ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וְכָל הָאֲרָצוֹת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ו</w:t>
      </w:r>
      <w:r>
        <w:rPr>
          <w:rFonts w:cs="Shofar" w:ascii="Shofar" w:hAnsi="Shofar"/>
          <w:rtl w:val="true"/>
        </w:rPr>
        <w:t xml:space="preserve">}, </w:t>
      </w:r>
      <w:r>
        <w:rPr>
          <w:rFonts w:ascii="Shofar" w:hAnsi="Shofar"/>
          <w:rtl w:val="true"/>
        </w:rPr>
        <w:t>כְּאַחַת לַזֵּיתִים וְלַתְּמָרִים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ט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ד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אוֹכְלִין עַל הַמֻּפְקָר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אֲבָל לֹא עַל הַשָּׁמוּר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רַבִּי יוֹסֵי מַתִּיר אַף עַל הַשָּׁמוּר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ז</w:t>
      </w:r>
      <w:r>
        <w:rPr>
          <w:rFonts w:cs="Shofar" w:ascii="Shofar" w:hAnsi="Shofar"/>
          <w:rtl w:val="true"/>
        </w:rPr>
        <w:t xml:space="preserve">}. </w:t>
      </w:r>
      <w:r>
        <w:rPr>
          <w:rFonts w:ascii="Shofar" w:hAnsi="Shofar"/>
          <w:rtl w:val="true"/>
        </w:rPr>
        <w:t>אוֹכְלִין עַל הַטְּפִיחִין וְעַל הַדּוּפְרָא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אֲבָל לֹא עַל הַסִּתְוָנִיּוֹת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יְהוּדָה מַתִּיר כָּל זְמַן שֶׁבִּכְּרוּ עַד שֶׁלֹּא יִכְלֶה הַקָּיִץ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ט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ה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הַכּוֹבֵשׁ שְׁלֹשָׁה כְבָשִׁים בְּחָבִית אַחַת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רַבִּי אֱלִיעֶזֶר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אוֹכְלִין עַל הָרִאשׁוֹן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יְהוֹשֻׁעַ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אַף עַל הָאַחֲרוֹן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רַבָּן גַּמְלִיאֵל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כָּל שֶׁכָּלָה מִינוֹ מִן הַשָּׂדֶה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יְבַעֵר מִינוֹ מִן הֶחָבִית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ט</w:t>
      </w:r>
      <w:r>
        <w:rPr>
          <w:rFonts w:cs="Shofar" w:ascii="Shofar" w:hAnsi="Shofar"/>
          <w:rtl w:val="true"/>
        </w:rPr>
        <w:t xml:space="preserve">}, </w:t>
      </w:r>
      <w:r>
        <w:rPr>
          <w:rFonts w:ascii="Shofar" w:hAnsi="Shofar"/>
          <w:rtl w:val="true"/>
        </w:rPr>
        <w:t>וַהֲלָכָה כִדְבָרָיו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שִׁמְעוֹן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כָּל יָרָק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אֶחָד לַבִּעוּר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אוֹכְלִין בָּרְגִילָה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י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עַד שֶׁיִּכְלוּ סִגָּרִיּוֹת מִבִּקְעַת בֵּית נְטוֹפָה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ט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ו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הַמְלַקֵּט עֲשָׂבִים לַחִים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עַד שֶׁיִּיבַשׁ הַמָּתוֹק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וְהַמְגַבֵּב בַּיָּבֵשׁ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יא</w:t>
      </w:r>
      <w:r>
        <w:rPr>
          <w:rFonts w:cs="Shofar" w:ascii="Shofar" w:hAnsi="Shofar"/>
          <w:rtl w:val="true"/>
        </w:rPr>
        <w:t xml:space="preserve">}, </w:t>
      </w:r>
      <w:r>
        <w:rPr>
          <w:rFonts w:ascii="Shofar" w:hAnsi="Shofar"/>
          <w:rtl w:val="true"/>
        </w:rPr>
        <w:t>עַד שֶׁתֵּרֵד רְבִיעָה שְׁנִיָּה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עֲלֵי קָנִים וַעֲלֵי גְפָנִים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עַד שֶׁיִּשְּׁרוּ מֵאֲבִיהֶן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וְהַמְגַבֵּב בַּיָּבֵשׁ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עַד שֶׁתֵּרֵד רְבִיעָה שְׁנִיָּה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עֲקִיבָא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בְּכֻלָּן עַד שֶׁתֵּרֵד רְבִיעָה שְׁנִיָּה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ט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ז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כַּיּוֹצֵא בוֹ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הַמַּשְׂכִּיר בַּיִת לַחֲבֵרוֹ עַד הַגְּשָׁמִים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עַד שֶׁתֵּרֵד רְבִיעָה שְׁנִיָּה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הַמֻּדַּר הֲנָאָה מֵחֲבֵרוֹ עַד הַגְּשָׁמִים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עַד שֶׁתֵּרֵד רְבִיעָה שְׁנִיָּה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עַד אֵימָתַי עֲנִיִּים נִכְנָסִים לַפַּרְדֵּסוֹת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יג</w:t>
      </w:r>
      <w:r>
        <w:rPr>
          <w:rFonts w:cs="Shofar" w:ascii="Shofar" w:hAnsi="Shofar"/>
          <w:rtl w:val="true"/>
        </w:rPr>
        <w:t xml:space="preserve">}, </w:t>
      </w:r>
      <w:r>
        <w:rPr>
          <w:rFonts w:ascii="Shofar" w:hAnsi="Shofar"/>
          <w:rtl w:val="true"/>
        </w:rPr>
        <w:t>עַד שֶׁתֵּרֵד רְבִיעָה שְׁנִיָּה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מֵאֵימָתַי נֶהֱנִין וְשׂוֹרְפִין בַּתֶּבֶן וּבַקַּשׁ שֶׁל 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מִשֶׁתֵּרֵד רְבִיעָה שְׁנִיָּה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ט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ח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מִי שֶׁהָיוּ לוֹ פֵּרוֹת שְׁבִיעִית וְהִגִּיעַ שְׁעַת הַבִּעוּר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מְחַלֵּק מְזוֹן שָׁלֹשׁ סְעֻדּוֹת לְכָל אֶחָד וְאֶחָד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וַעֲנִיִּים אוֹכְלִין אַחַר הַבִּעוּר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אֲבָל לֹא עֲשִׁירִים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דִּבְרֵי רַבִּי יְהוּדָה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יוֹסֵי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אֶחָד עֲנִיִּים וְאֶחָד עֲשִׁירִים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טו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אוֹכְלִין אַחַר הַבִּעוּר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ט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ט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מִי שֶׁהָיוּ לוֹ פֵּרוֹת שְׁבִיעִית שֶׁנָּפְלוּ לוֹ בִירֻשָּׁה אוֹ שֶׁנִּתְּנוּ לוֹ בְּמַתָּנָה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רַבִּי אֱלִיעֶזֶר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יִנָּתְנוּ לְאוֹכְלֵיהֶן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וַחֲכָמִים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אֵין הַחוֹטֵא נִשְׂכָּר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אֶלָּא יִמָּכְרוּ לְאוֹכְלֵיהֶן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וּדְמֵיהֶם יִתְחַלְּקוּ לְכָל אָדָם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הָאוֹכֵל מֵעִסַּת שְׁבִיעִית עַד שֶׁלֹּא הוּרְמָה חַלָּתָהּ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חַיָּב מִיתָה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פרק י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י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א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שְׁבִיעִית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מְשַׁמֶּטֶת אֶת הַמִּלְוָה בִּשְׁטָר וְשֶׁלֹּא בִשְׁטָר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הַקָּפַת הַחֲנוּת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אֵינָהּ מְשַׁמֶּטֶת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וְאִם עֲשָׂאָהּ מִלְוָה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הֲרֵי זֶה מְשַׁמֵּט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יְהוּדָה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הָרִאשׁוֹן הָרִאשׁוֹן מְשַׁמֵּט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שְׂכַר שָׂכִיר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אֵינוֹ מְשַׁמֵּט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וְאִם עֲשָׂאוֹ מִלְוָה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הֲרֵי זֶה מְשַׁמֵּט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יוֹסֵי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כָּל מְלָאכָה שֶׁפּוֹסֶקֶת בַּשְּׁבִיעִית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מְשַׁמֶּטֶת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וְשֶׁאֵינָהּ פּוֹסֶקֶת בַּשְּׁבִיעִית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אֵינָהּ מְשַׁמֶּטֶת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י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ב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הַשּׁוֹחֵט אֶת הַפָּרָה וְחִלְּקָהּ בְּרֹאשׁ הַשָּׁנָה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אִם הָיָה הַחֹדֶשׁ מְעֻבָּר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מְשַׁמֵּט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ב</w:t>
      </w:r>
      <w:r>
        <w:rPr>
          <w:rFonts w:cs="Shofar" w:ascii="Shofar" w:hAnsi="Shofar"/>
          <w:rtl w:val="true"/>
        </w:rPr>
        <w:t xml:space="preserve">}. </w:t>
      </w:r>
      <w:r>
        <w:rPr>
          <w:rFonts w:ascii="Shofar" w:hAnsi="Shofar"/>
          <w:rtl w:val="true"/>
        </w:rPr>
        <w:t>וְאִם לָאו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אֵינוֹ מְשַׁמֵּט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הָאוֹנֵס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וְהַמְפַתֶּה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וְהַמּוֹצִיא שֵׁם רָע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וְכָל מַעֲשֵׂה בֵית דִּין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אֵין מְשַׁמְּטִין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הַמַּלְוֶה עַל הַמַּשְׁכּוֹן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וְהַמּוֹסֵר שְׁטָרוֹתָיו לְבֵית דִּין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אֵינָן מְשַׁמְּטִין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י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ג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פְּרוֹזְבּוּל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אֵינוֹ מְשַׁמֵּט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זֶה אֶחָד מִן הַדְּבָרִים שֶׁהִתְקִין הִלֵּל הַזָּקֵן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כְּשֶׁרָאָה שֶׁנִּמְנְעוּ הָעָם מִלְּהַלְווֹת זֶה אֶת זֶה וְעוֹבְרִין עַל מַה שֶּׁכָּתוּב בַּתּוֹרָה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דברים טו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הִשָּׁמֶר לְךָ פֶּן יִהְיֶה דָבָר עִם לְבָבְךָ בְּלִיַּעַל וְגוֹ</w:t>
      </w:r>
      <w:r>
        <w:rPr>
          <w:rFonts w:cs="Shofar" w:ascii="Shofar" w:hAnsi="Shofar"/>
          <w:rtl w:val="true"/>
        </w:rPr>
        <w:t xml:space="preserve">', </w:t>
      </w:r>
      <w:r>
        <w:rPr>
          <w:rFonts w:ascii="Shofar" w:hAnsi="Shofar"/>
          <w:rtl w:val="true"/>
        </w:rPr>
        <w:t>הִתְקִין הִלֵּל לַפְּרוֹזְבּוּל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י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ד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זֶהוּ גוּפוֹ שֶׁל פְּרוֹזְבּוּל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 xml:space="preserve">מוֹסֵר אֲנִי לָכֶם אִישׁ פְּלוֹנִי וּפְלוֹנִי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ה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הַדַּיָּנִים שֶׁבְּמָקוֹם פְּלוֹנִי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שֶׁכָּל חוֹב שֶׁיֶּשׁ לִי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ו</w:t>
      </w:r>
      <w:r>
        <w:rPr>
          <w:rFonts w:cs="Shofar" w:ascii="Shofar" w:hAnsi="Shofar"/>
          <w:rtl w:val="true"/>
        </w:rPr>
        <w:t xml:space="preserve">}, </w:t>
      </w:r>
      <w:r>
        <w:rPr>
          <w:rFonts w:ascii="Shofar" w:hAnsi="Shofar"/>
          <w:rtl w:val="true"/>
        </w:rPr>
        <w:t>שֶׁאֶגְבֶּנּוּ כָּל זְמַן שֶׁאֶרְצֶה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וְהַדַּיָּנִים חוֹתְמִין לְמַטָּה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אוֹ הָעֵדִים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י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ה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פְּרוֹזְבּוּל הַמֻּקְדָּם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כָּשֵׁר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וְהַמְאֻחָר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פָּסוּל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ח</w:t>
      </w:r>
      <w:r>
        <w:rPr>
          <w:rFonts w:cs="Shofar" w:ascii="Shofar" w:hAnsi="Shofar"/>
          <w:rtl w:val="true"/>
        </w:rPr>
        <w:t xml:space="preserve">}. </w:t>
      </w:r>
      <w:r>
        <w:rPr>
          <w:rFonts w:ascii="Shofar" w:hAnsi="Shofar"/>
          <w:rtl w:val="true"/>
        </w:rPr>
        <w:t>שִׁטְרֵי חוֹב הַמֻּקְדָּמִים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פְּסוּלִים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וְהַמְאֻחָרִים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כְּשֵׁרִים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אֶחָד לֹוֶה מֵחֲמִשָּׁה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כּוֹתֵב פְּרוֹזְבּוּל לְכָל אֶחָד וְאֶחָד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חֲמִשָּׁה לֹוִין מֵאֶחָד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אֵינוֹ כוֹתֵב אֶלָּא פְּרוֹזְבּוּל אֶחָד לְכֻלָּם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י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ו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אֵין כּוֹתְבִין פְּרוֹזְבּוּל אֶלָּא עַל הַקַּרְקַע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אִם אֵין לוֹ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מְזַכֶּה הוּא בְּתוֹךְ שָׂדֵהוּ כָּל שֶׁהוּא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הָיְתָה לוֹ שָׂדֶה מְמֻשְׁכֶּנֶת בָּעִיר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כּוֹתְבִין עָלֶיהָ פְּרוֹזְבּוּל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רַבִּי חֻצְפִּית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כּוֹתְבִין לָאִישׁ עַל נִכְסֵי אִשְׁתּוֹ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וְלַיְתוֹמִים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יב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עַל נִכְסֵי אַפּוֹטְרוֹפִּין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י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ז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כַּוֶּרֶת דְּבוֹרִים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רַבִּי אֱלִיעֶזֶר אוֹמֵר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הֲרֵי הִיא כְקַרְקַע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וְכוֹתְבִין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יד</w:t>
      </w:r>
      <w:r>
        <w:rPr>
          <w:rFonts w:cs="Shofar" w:ascii="Shofar" w:hAnsi="Shofar"/>
          <w:rtl w:val="true"/>
        </w:rPr>
        <w:t xml:space="preserve">} </w:t>
      </w:r>
      <w:r>
        <w:rPr>
          <w:rFonts w:ascii="Shofar" w:hAnsi="Shofar"/>
          <w:rtl w:val="true"/>
        </w:rPr>
        <w:t>עָלֶיהָ פְּרוֹזְבּוּל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וְאֵינָהּ מְקַבֶּלֶת טֻמְאָה בִּמְקוֹמָהּ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וְהָרוֹדֶה מִמֶּנָּה בְּשַׁבָּת חַיָּב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וַחֲכָמִים אוֹמְרִים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אֵינָהּ כְּקַרְקַע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וְאֵין כּוֹתְבִין עָלֶיהָ פְּרוֹזְבּוּל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וּמְקַבֶּלֶת טֻמְאָה בִּמְקוֹמָהּ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וְהָרוֹדֶה מִמֶּנָּה בְּשַׁבָּת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פָּטוּר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טו</w:t>
      </w:r>
      <w:r>
        <w:rPr>
          <w:rFonts w:cs="Shofar" w:ascii="Shofar" w:hAnsi="Shofar"/>
          <w:rtl w:val="true"/>
        </w:rPr>
        <w:t xml:space="preserve">}: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י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ח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הַמַּחֲזִיר חוֹב בַּשְּׁבִיעִית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יֹאמַר לוֹ מְשַׁמֵּט אָנִי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אָמַר לוֹ אַף עַל פִּי כֵן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יְקַבֵּל מִמֶּנּוּ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שֶׁנֶּאֱמַר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דברים טו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וְזֶה דְּבַר הַשְּׁמִטָּה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כַּיּוֹצֵא בוֹ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רוֹצֵחַ שֶׁגָּלָה לְעִיר מִקְלָט וְרָצוּ אַנְשֵׁי הָעִיר לְכַבְּדוֹ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יֹאמַר לָהֶם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רוֹצֵחַ אָנִי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אָמְרוּ לוֹ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אַף עַל פִּי כֵן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יְקַבֵּל מֵהֶם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שֶׁנֶּאֱמַר </w:t>
      </w:r>
      <w:r>
        <w:rPr>
          <w:rFonts w:cs="Shofar" w:ascii="Shofar" w:hAnsi="Shofar"/>
          <w:rtl w:val="true"/>
        </w:rPr>
        <w:t>(</w:t>
      </w:r>
      <w:r>
        <w:rPr>
          <w:rFonts w:ascii="Shofar" w:hAnsi="Shofar"/>
          <w:rtl w:val="true"/>
        </w:rPr>
        <w:t>שם יט</w:t>
      </w:r>
      <w:r>
        <w:rPr>
          <w:rFonts w:cs="Shofar" w:ascii="Shofar" w:hAnsi="Shofar"/>
          <w:rtl w:val="true"/>
        </w:rPr>
        <w:t xml:space="preserve">) </w:t>
      </w:r>
      <w:r>
        <w:rPr>
          <w:rFonts w:ascii="Shofar" w:hAnsi="Shofar"/>
          <w:rtl w:val="true"/>
        </w:rPr>
        <w:t>וְזֶה דְּבַר הָרוֹצֵחַ</w:t>
      </w:r>
      <w:r>
        <w:rPr>
          <w:rFonts w:cs="Shofar" w:ascii="Shofar" w:hAnsi="Shofar"/>
          <w:rtl w:val="true"/>
        </w:rPr>
        <w:t xml:space="preserve">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>--------------------------------------------------------------------------------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 xml:space="preserve">פרק י </w:t>
      </w:r>
      <w:r>
        <w:rPr>
          <w:rFonts w:cs="Shofar" w:ascii="Shofar" w:hAnsi="Shofar"/>
          <w:rtl w:val="true"/>
        </w:rPr>
        <w:t xml:space="preserve">- </w:t>
      </w:r>
      <w:r>
        <w:rPr>
          <w:rFonts w:ascii="Shofar" w:hAnsi="Shofar"/>
          <w:rtl w:val="true"/>
        </w:rPr>
        <w:t>משנה ט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ascii="Shofar" w:hAnsi="Shofar"/>
          <w:rtl w:val="true"/>
        </w:rPr>
        <w:t>הַמַּחֲזִיר חוֹב בַּשְּׁבִיעִית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רוּחַ חֲכָמִים נוֹחָה מִמֶּנּוּ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הַלֹּוֶה מִן הַגֵּר שֶׁנִּתְגַּיְּרוּ בָנָיו עִמּוֹ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לֹא יַחֲזִיר לְבָנָיו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וְאִם הֶחֱזִיר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רוּחַ חֲכָמִים נוֹחָה מִמֶּנּוּ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כָּל הַמִּטַּלְטְלִין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>נִקְנִין בִּמְשִׁיכָה</w:t>
      </w:r>
      <w:r>
        <w:rPr>
          <w:rFonts w:cs="Shofar" w:ascii="Shofar" w:hAnsi="Shofar"/>
          <w:rtl w:val="true"/>
        </w:rPr>
        <w:t xml:space="preserve">. </w:t>
      </w:r>
      <w:r>
        <w:rPr>
          <w:rFonts w:ascii="Shofar" w:hAnsi="Shofar"/>
          <w:rtl w:val="true"/>
        </w:rPr>
        <w:t>וְכָל הַמְקַיֵּם אֶת דְּבָרוֹ</w:t>
      </w:r>
      <w:r>
        <w:rPr>
          <w:rFonts w:cs="Shofar" w:ascii="Shofar" w:hAnsi="Shofar"/>
          <w:rtl w:val="true"/>
        </w:rPr>
        <w:t xml:space="preserve">, </w:t>
      </w:r>
      <w:r>
        <w:rPr>
          <w:rFonts w:ascii="Shofar" w:hAnsi="Shofar"/>
          <w:rtl w:val="true"/>
        </w:rPr>
        <w:t xml:space="preserve">רוּחַ חֲכָמִים נוֹחָה מִמֶּנּוּ </w:t>
      </w:r>
      <w:r>
        <w:rPr>
          <w:rFonts w:cs="Shofar" w:ascii="Shofar" w:hAnsi="Shofar"/>
          <w:rtl w:val="true"/>
        </w:rPr>
        <w:t>{</w:t>
      </w:r>
      <w:r>
        <w:rPr>
          <w:rFonts w:ascii="Shofar" w:hAnsi="Shofar"/>
          <w:rtl w:val="true"/>
        </w:rPr>
        <w:t>יח</w:t>
      </w:r>
      <w:r>
        <w:rPr>
          <w:rFonts w:cs="Shofar" w:ascii="Shofar" w:hAnsi="Shofar"/>
          <w:rtl w:val="true"/>
        </w:rPr>
        <w:t xml:space="preserve">}: </w:t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</w:r>
    </w:p>
    <w:p>
      <w:pPr>
        <w:pStyle w:val="Normal"/>
        <w:bidi w:val="1"/>
        <w:spacing w:before="0" w:after="160"/>
        <w:jc w:val="left"/>
        <w:rPr>
          <w:rFonts w:ascii="Shofar" w:hAnsi="Shofar" w:cs="Shofar"/>
        </w:rPr>
      </w:pPr>
      <w:r>
        <w:rPr>
          <w:rFonts w:cs="Shofar" w:ascii="Shofar" w:hAnsi="Shofar"/>
          <w:rtl w:val="true"/>
        </w:rPr>
        <w:t xml:space="preserve">    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hofar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0" w:after="120"/>
        <w:jc w:val="center"/>
        <w:rPr>
          <w:b/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פרק שני</w:t>
      </w:r>
    </w:p>
  </w:footnote>
  <w:footnote w:id="3">
    <w:p>
      <w:pPr>
        <w:pStyle w:val="Footnote"/>
        <w:spacing w:before="0" w:after="120"/>
        <w:jc w:val="both"/>
        <w:rPr>
          <w:b/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משנה</w:t>
      </w:r>
    </w:p>
  </w:footnote>
  <w:footnote w:id="4">
    <w:p>
      <w:pPr>
        <w:pStyle w:val="Footnote"/>
        <w:spacing w:lineRule="auto" w:line="240" w:before="0" w:after="12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בצלים שלא עושים זרע</w:t>
      </w:r>
      <w:r>
        <w:rPr>
          <w:rtl w:val="true"/>
        </w:rPr>
        <w:t>.</w:t>
      </w:r>
    </w:p>
  </w:footnote>
  <w:footnote w:id="5">
    <w:p>
      <w:pPr>
        <w:pStyle w:val="Footnote"/>
        <w:suppressLineNumbers/>
        <w:bidi w:val="1"/>
        <w:spacing w:before="58" w:after="58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גמרא </w:t>
      </w:r>
      <w:r>
        <w:rPr>
          <w:rtl w:val="true"/>
        </w:rPr>
        <w:t>(</w:t>
      </w:r>
      <w:r>
        <w:rPr>
          <w:rtl w:val="true"/>
        </w:rPr>
        <w:t>ו</w:t>
      </w:r>
      <w:r>
        <w:rPr>
          <w:rtl w:val="true"/>
        </w:rPr>
        <w:t xml:space="preserve">.) </w:t>
      </w:r>
      <w:r>
        <w:rPr>
          <w:rtl w:val="true"/>
        </w:rPr>
        <w:t>מפרש שהוא מפני שנעשה כזרע</w:t>
      </w:r>
      <w:r>
        <w:rPr>
          <w:rtl w:val="true"/>
        </w:rPr>
        <w:t xml:space="preserve">. </w:t>
      </w:r>
      <w:r>
        <w:rPr>
          <w:rtl w:val="true"/>
        </w:rPr>
        <w:t>כיון שדין זרע הוא שנתעשר לשנה שעברה</w:t>
      </w:r>
      <w:r>
        <w:rPr>
          <w:rtl w:val="true"/>
        </w:rPr>
        <w:t xml:space="preserve">, </w:t>
      </w:r>
      <w:r>
        <w:rPr>
          <w:rtl w:val="true"/>
        </w:rPr>
        <w:t>כך דין אלו</w:t>
      </w:r>
      <w:r>
        <w:rPr>
          <w:rtl w:val="true"/>
        </w:rPr>
        <w:t xml:space="preserve">. </w:t>
      </w:r>
      <w:r>
        <w:rPr>
          <w:rtl w:val="true"/>
        </w:rPr>
        <w:t>כיון שמנע ממנו מים לשלשים יום נעשה זרע כיון שדרך זרע הוא שלא להשקותו תידר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שמנע ממנו מים</w:t>
      </w:r>
      <w:r>
        <w:rPr>
          <w:rtl w:val="true"/>
        </w:rPr>
        <w:t xml:space="preserve">, </w:t>
      </w:r>
      <w:r>
        <w:rPr>
          <w:rtl w:val="true"/>
        </w:rPr>
        <w:t>נעשה כעין זרע</w:t>
      </w:r>
      <w:r>
        <w:rPr>
          <w:rtl w:val="true"/>
        </w:rPr>
        <w:t>.</w:t>
      </w:r>
    </w:p>
    <w:p>
      <w:pPr>
        <w:pStyle w:val="Footnote"/>
        <w:spacing w:lineRule="auto" w:line="240" w:before="0" w:after="120"/>
        <w:jc w:val="both"/>
        <w:rPr/>
      </w:pPr>
      <w:r>
        <w:rPr>
          <w:rtl w:val="true"/>
        </w:rPr>
        <w:t>מפני משה לא נראה כן</w:t>
      </w:r>
      <w:r>
        <w:rPr>
          <w:rtl w:val="true"/>
        </w:rPr>
        <w:t xml:space="preserve">, </w:t>
      </w:r>
      <w:r>
        <w:rPr>
          <w:rtl w:val="true"/>
        </w:rPr>
        <w:t xml:space="preserve">אלא נראה שמפרש שכיון שלא השקה אותו שלשים יום לפני ראש השנה </w:t>
      </w:r>
      <w:r>
        <w:rPr>
          <w:rtl w:val="true"/>
        </w:rPr>
        <w:t>(</w:t>
      </w:r>
      <w:r>
        <w:rPr>
          <w:rtl w:val="true"/>
        </w:rPr>
        <w:t>ולא השקה אותו אחר כך</w:t>
      </w:r>
      <w:r>
        <w:rPr>
          <w:rtl w:val="true"/>
        </w:rPr>
        <w:t xml:space="preserve">), </w:t>
      </w:r>
      <w:r>
        <w:rPr>
          <w:rtl w:val="true"/>
        </w:rPr>
        <w:t>נמצא שלא היה לו אפשרות לגדל בשנה הבאה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דינו כשנה הבאה</w:t>
      </w:r>
      <w:r>
        <w:rPr>
          <w:rtl w:val="true"/>
        </w:rPr>
        <w:t>.</w:t>
      </w:r>
    </w:p>
  </w:footnote>
  <w:footnote w:id="6">
    <w:p>
      <w:pPr>
        <w:pStyle w:val="Footnote"/>
        <w:suppressLineNumbers/>
        <w:bidi w:val="1"/>
        <w:spacing w:before="58" w:after="58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נמצא שיש שני נפק</w:t>
      </w:r>
      <w:r>
        <w:rPr>
          <w:rtl w:val="true"/>
        </w:rPr>
        <w:t>"</w:t>
      </w:r>
      <w:r>
        <w:rPr>
          <w:rtl w:val="true"/>
        </w:rPr>
        <w:t xml:space="preserve">מ למה שדינו כזרע </w:t>
      </w:r>
      <w:r>
        <w:rPr>
          <w:rtl w:val="true"/>
        </w:rPr>
        <w:t>(</w:t>
      </w:r>
      <w:r>
        <w:rPr>
          <w:rtl w:val="true"/>
        </w:rPr>
        <w:t>ואז נגרר בתר שנה שעבר</w:t>
      </w:r>
      <w:r>
        <w:rPr>
          <w:rtl w:val="true"/>
        </w:rPr>
        <w:t>):</w:t>
      </w:r>
    </w:p>
    <w:p>
      <w:pPr>
        <w:pStyle w:val="Footnote"/>
        <w:numPr>
          <w:ilvl w:val="0"/>
          <w:numId w:val="2"/>
        </w:numPr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מתעשר כאותו שנה</w:t>
      </w:r>
      <w:r>
        <w:rPr>
          <w:rtl w:val="true"/>
        </w:rPr>
        <w:t>.</w:t>
      </w:r>
    </w:p>
    <w:p>
      <w:pPr>
        <w:pStyle w:val="Footnote"/>
        <w:numPr>
          <w:ilvl w:val="0"/>
          <w:numId w:val="2"/>
        </w:numPr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דין שמיטה הולך אחר אותו שנה</w:t>
      </w:r>
      <w:r>
        <w:rPr>
          <w:rtl w:val="true"/>
        </w:rPr>
        <w:t>.</w:t>
      </w:r>
    </w:p>
    <w:p>
      <w:pPr>
        <w:pStyle w:val="Footnote"/>
        <w:spacing w:lineRule="auto" w:line="240" w:before="0" w:after="120"/>
        <w:jc w:val="both"/>
        <w:rPr/>
      </w:pPr>
      <w:r>
        <w:rPr>
          <w:rtl w:val="true"/>
        </w:rPr>
        <w:t>יש עוד נפקא מינא מדין של משנה</w:t>
      </w:r>
      <w:r>
        <w:rPr>
          <w:rtl w:val="true"/>
        </w:rPr>
        <w:t xml:space="preserve">, </w:t>
      </w:r>
      <w:r>
        <w:rPr>
          <w:rtl w:val="true"/>
        </w:rPr>
        <w:t>והוא שנחשב זרע</w:t>
      </w:r>
      <w:r>
        <w:rPr>
          <w:rtl w:val="true"/>
        </w:rPr>
        <w:t xml:space="preserve">. </w:t>
      </w:r>
      <w:r>
        <w:rPr>
          <w:rtl w:val="true"/>
        </w:rPr>
        <w:t>זרע חלוק מירק</w:t>
      </w:r>
      <w:r>
        <w:rPr>
          <w:rtl w:val="true"/>
        </w:rPr>
        <w:t xml:space="preserve">, </w:t>
      </w:r>
      <w:r>
        <w:rPr>
          <w:rtl w:val="true"/>
        </w:rPr>
        <w:t>ואין מעשרים מזה על 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חולקים מתי נעשה זרע</w:t>
      </w:r>
      <w:r>
        <w:rPr>
          <w:rtl w:val="true"/>
        </w:rPr>
        <w:t xml:space="preserve">, </w:t>
      </w:r>
      <w:r>
        <w:rPr>
          <w:rtl w:val="true"/>
        </w:rPr>
        <w:t>אם הוא בתוך שלשים יום או רק לאחריו</w:t>
      </w:r>
      <w:r>
        <w:rPr>
          <w:rtl w:val="true"/>
        </w:rPr>
        <w:t xml:space="preserve">. </w:t>
      </w:r>
      <w:r>
        <w:rPr>
          <w:rtl w:val="true"/>
        </w:rPr>
        <w:t>יש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>.</w:t>
      </w:r>
    </w:p>
  </w:footnote>
  <w:footnote w:id="7">
    <w:p>
      <w:pPr>
        <w:pStyle w:val="Footnote"/>
        <w:spacing w:lineRule="auto" w:line="240" w:before="0" w:after="12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עונה הוא זמן רגילה שבו משקה אותו</w:t>
      </w:r>
      <w:r>
        <w:rPr>
          <w:rtl w:val="true"/>
        </w:rPr>
        <w:t>.</w:t>
      </w:r>
    </w:p>
  </w:footnote>
  <w:footnote w:id="8">
    <w:p>
      <w:pPr>
        <w:pStyle w:val="Footnote"/>
        <w:spacing w:lineRule="auto" w:line="240" w:before="0" w:after="12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גמרא לא מבאר דין זה</w:t>
      </w:r>
      <w:r>
        <w:rPr>
          <w:rtl w:val="true"/>
        </w:rPr>
        <w:t xml:space="preserve">, </w:t>
      </w:r>
      <w:r>
        <w:rPr>
          <w:rtl w:val="true"/>
        </w:rPr>
        <w:t>אבל מסתמא ביאור שלו הוא שווה לביאור של רישא שלו</w:t>
      </w:r>
      <w:r>
        <w:rPr>
          <w:rtl w:val="true"/>
        </w:rPr>
        <w:t xml:space="preserve">, </w:t>
      </w:r>
      <w:r>
        <w:rPr>
          <w:rtl w:val="true"/>
        </w:rPr>
        <w:t>והוא שכיון שמנע ממנו מים נעשה זרע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9">
    <w:p>
      <w:pPr>
        <w:pStyle w:val="Footnote"/>
        <w:spacing w:lineRule="auto" w:line="240" w:before="0" w:after="12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כן הלכה</w:t>
      </w:r>
      <w:r>
        <w:rPr>
          <w:rtl w:val="true"/>
        </w:rPr>
        <w:t>.</w:t>
      </w:r>
    </w:p>
  </w:footnote>
  <w:footnote w:id="10">
    <w:p>
      <w:pPr>
        <w:pStyle w:val="Footnote"/>
        <w:spacing w:before="0" w:after="120"/>
        <w:jc w:val="both"/>
        <w:rPr>
          <w:b/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</w:t>
      </w:r>
      <w:r>
        <w:rPr>
          <w:b/>
          <w:b/>
          <w:bCs/>
          <w:rtl w:val="true"/>
        </w:rPr>
        <w:t>משנה</w:t>
      </w:r>
    </w:p>
  </w:footnote>
  <w:footnote w:id="11">
    <w:p>
      <w:pPr>
        <w:pStyle w:val="Footnote"/>
        <w:spacing w:lineRule="auto" w:line="240" w:before="0" w:after="12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אין זה פרט אחר שנצרך</w:t>
      </w:r>
      <w:r>
        <w:rPr>
          <w:rtl w:val="true"/>
        </w:rPr>
        <w:t xml:space="preserve">, </w:t>
      </w:r>
      <w:r>
        <w:rPr>
          <w:rtl w:val="true"/>
        </w:rPr>
        <w:t>אלא אם הוקשו</w:t>
      </w:r>
      <w:r>
        <w:rPr>
          <w:rtl w:val="true"/>
        </w:rPr>
        <w:t xml:space="preserve">, </w:t>
      </w:r>
      <w:r>
        <w:rPr>
          <w:rtl w:val="true"/>
        </w:rPr>
        <w:t>נפסלו</w:t>
      </w:r>
      <w:r>
        <w:rPr>
          <w:rtl w:val="true"/>
        </w:rPr>
        <w:t xml:space="preserve">. </w:t>
      </w:r>
      <w:r>
        <w:rPr>
          <w:rtl w:val="true"/>
        </w:rPr>
        <w:t>פסולם הוא סיבה לדין</w:t>
      </w:r>
      <w:r>
        <w:rPr>
          <w:rtl w:val="true"/>
        </w:rPr>
        <w:t xml:space="preserve">, </w:t>
      </w:r>
      <w:r>
        <w:rPr>
          <w:rtl w:val="true"/>
        </w:rPr>
        <w:t xml:space="preserve">ומשנה מזכיר אותו כעין </w:t>
      </w:r>
      <w:r>
        <w:rPr>
          <w:rtl w:val="true"/>
        </w:rPr>
        <w:t>"</w:t>
      </w:r>
      <w:r>
        <w:rPr>
          <w:rtl w:val="true"/>
        </w:rPr>
        <w:t>מה הטעם</w:t>
      </w:r>
      <w:r>
        <w:rPr>
          <w:rtl w:val="true"/>
        </w:rPr>
        <w:t>." (</w:t>
      </w:r>
      <w:r>
        <w:rPr>
          <w:rtl w:val="true"/>
        </w:rPr>
        <w:t>ו</w:t>
      </w:r>
      <w:r>
        <w:rPr>
          <w:rtl w:val="true"/>
        </w:rPr>
        <w:t xml:space="preserve">., </w:t>
      </w:r>
      <w:r>
        <w:rPr>
          <w:rtl w:val="true"/>
        </w:rPr>
        <w:t>ועיין 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)</w:t>
      </w:r>
    </w:p>
  </w:footnote>
  <w:footnote w:id="12">
    <w:p>
      <w:pPr>
        <w:pStyle w:val="Footnote"/>
        <w:spacing w:lineRule="auto" w:line="240" w:before="0" w:after="12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שאז דינים כזרע</w:t>
      </w:r>
      <w:r>
        <w:rPr>
          <w:rtl w:val="true"/>
        </w:rPr>
        <w:t xml:space="preserve">, </w:t>
      </w:r>
      <w:r>
        <w:rPr>
          <w:rtl w:val="true"/>
        </w:rPr>
        <w:t>וזמנם הולך אחר נטיעתם</w:t>
      </w:r>
      <w:r>
        <w:rPr>
          <w:rtl w:val="true"/>
        </w:rPr>
        <w:t xml:space="preserve">. </w:t>
      </w:r>
      <w:r>
        <w:rPr>
          <w:rtl w:val="true"/>
        </w:rPr>
        <w:t>זה קרה בשנה ששית</w:t>
      </w:r>
      <w:r>
        <w:rPr>
          <w:rtl w:val="true"/>
        </w:rPr>
        <w:t xml:space="preserve">, </w:t>
      </w:r>
      <w:r>
        <w:rPr>
          <w:rtl w:val="true"/>
        </w:rPr>
        <w:t>ואז מותרים הם</w:t>
      </w:r>
      <w:r>
        <w:rPr>
          <w:rtl w:val="true"/>
        </w:rPr>
        <w:t>.</w:t>
      </w:r>
    </w:p>
  </w:footnote>
  <w:footnote w:id="13">
    <w:p>
      <w:pPr>
        <w:pStyle w:val="Footnote"/>
        <w:spacing w:lineRule="auto" w:line="240" w:before="0" w:after="12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איני יודע כל כך דין זה</w:t>
      </w:r>
      <w:r>
        <w:rPr>
          <w:rtl w:val="true"/>
        </w:rPr>
        <w:t xml:space="preserve">. </w:t>
      </w:r>
      <w:r>
        <w:rPr>
          <w:rtl w:val="true"/>
        </w:rPr>
        <w:t>אפשר שהם דברים שלא נאכלים</w:t>
      </w:r>
      <w:r>
        <w:rPr>
          <w:rtl w:val="true"/>
        </w:rPr>
        <w:t xml:space="preserve">, </w:t>
      </w:r>
      <w:r>
        <w:rPr>
          <w:rtl w:val="true"/>
        </w:rPr>
        <w:t>ואז הו</w:t>
      </w:r>
      <w:r>
        <w:rPr>
          <w:rtl w:val="true"/>
        </w:rPr>
        <w:t>"</w:t>
      </w:r>
      <w:r>
        <w:rPr>
          <w:rtl w:val="true"/>
        </w:rPr>
        <w:t>א שדינם כזרע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קאי על הסיפא</w:t>
      </w:r>
      <w:r>
        <w:rPr>
          <w:rtl w:val="true"/>
        </w:rPr>
        <w:t xml:space="preserve">. </w:t>
      </w:r>
      <w:r>
        <w:rPr>
          <w:rtl w:val="true"/>
        </w:rPr>
        <w:t>גם אפשר שהם נאכלים</w:t>
      </w:r>
      <w:r>
        <w:rPr>
          <w:rtl w:val="true"/>
        </w:rPr>
        <w:t xml:space="preserve">, </w:t>
      </w:r>
      <w:r>
        <w:rPr>
          <w:rtl w:val="true"/>
        </w:rPr>
        <w:t>ולכן אין דינם כזרע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קאי על הרישא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4">
    <w:p>
      <w:pPr>
        <w:pStyle w:val="Footnote"/>
        <w:spacing w:lineRule="auto" w:line="240" w:before="0" w:after="12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מרביצים במים כל העפר שבין האילנות</w:t>
      </w:r>
      <w:r>
        <w:rPr>
          <w:rtl w:val="true"/>
        </w:rPr>
        <w:t>. (</w:t>
      </w:r>
      <w:r>
        <w:rPr>
          <w:rtl w:val="true"/>
        </w:rPr>
        <w:t>נראה שמרביצים רצה לומר שנותנים מעט מים</w:t>
      </w:r>
      <w:r>
        <w:rPr>
          <w:rtl w:val="true"/>
        </w:rPr>
        <w:t xml:space="preserve">, </w:t>
      </w:r>
      <w:r>
        <w:rPr>
          <w:rtl w:val="true"/>
        </w:rPr>
        <w:t>כדי שלא יעלה העפר</w:t>
      </w:r>
      <w:r>
        <w:rPr>
          <w:rtl w:val="true"/>
        </w:rPr>
        <w:t xml:space="preserve">. </w:t>
      </w:r>
      <w:r>
        <w:rPr>
          <w:rtl w:val="true"/>
        </w:rPr>
        <w:t>נקרא מרביצים על שם שיעור המים שנותנים בו</w:t>
      </w:r>
      <w:r>
        <w:rPr>
          <w:rtl w:val="true"/>
        </w:rPr>
        <w:t xml:space="preserve">, </w:t>
      </w:r>
      <w:r>
        <w:rPr>
          <w:rtl w:val="true"/>
        </w:rPr>
        <w:t>על שם כוונתו</w:t>
      </w:r>
      <w:r>
        <w:rPr>
          <w:rtl w:val="true"/>
        </w:rPr>
        <w:t xml:space="preserve">, </w:t>
      </w:r>
      <w:r>
        <w:rPr>
          <w:rtl w:val="true"/>
        </w:rPr>
        <w:t>או על שם שניהם</w:t>
      </w:r>
      <w:r>
        <w:rPr>
          <w:rtl w:val="true"/>
        </w:rPr>
        <w:t>.)</w:t>
      </w:r>
    </w:p>
  </w:footnote>
  <w:footnote w:id="15">
    <w:p>
      <w:pPr>
        <w:pStyle w:val="Footnote"/>
        <w:spacing w:lineRule="auto" w:line="240" w:before="0" w:after="12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בשביעית עצמו</w:t>
      </w:r>
      <w:r>
        <w:rPr>
          <w:rtl w:val="true"/>
        </w:rPr>
        <w:t>.</w:t>
      </w:r>
    </w:p>
  </w:footnote>
  <w:footnote w:id="16">
    <w:p>
      <w:pPr>
        <w:pStyle w:val="Footnote"/>
        <w:suppressLineNumbers/>
        <w:bidi w:val="1"/>
        <w:spacing w:before="58" w:after="58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גמרא </w:t>
      </w:r>
      <w:r>
        <w:rPr>
          <w:rtl w:val="true"/>
        </w:rPr>
        <w:t>(</w:t>
      </w:r>
      <w:r>
        <w:rPr>
          <w:rtl w:val="true"/>
        </w:rPr>
        <w:t>ו</w:t>
      </w:r>
      <w:r>
        <w:rPr>
          <w:rtl w:val="true"/>
        </w:rPr>
        <w:t xml:space="preserve">:) </w:t>
      </w:r>
      <w:r>
        <w:rPr>
          <w:rtl w:val="true"/>
        </w:rPr>
        <w:t>מפרש שיש פעם אחת שאפשר שרבי שמעון אוסר</w:t>
      </w:r>
      <w:r>
        <w:rPr>
          <w:rtl w:val="true"/>
        </w:rPr>
        <w:t xml:space="preserve">, </w:t>
      </w:r>
      <w:r>
        <w:rPr>
          <w:rtl w:val="true"/>
        </w:rPr>
        <w:t>והוא כשיש שני תנאים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3"/>
        </w:numPr>
        <w:rPr/>
      </w:pPr>
      <w:r>
        <w:rPr>
          <w:rtl w:val="true"/>
        </w:rPr>
        <w:t>במרווחים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כשיש פחות מעשר אילנות לבית סאה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הדין הוא שאסור לרבץ במועד לפי רבי שמעון</w:t>
      </w:r>
      <w:r>
        <w:rPr>
          <w:rtl w:val="true"/>
        </w:rPr>
        <w:t xml:space="preserve">, </w:t>
      </w:r>
      <w:r>
        <w:rPr>
          <w:rtl w:val="true"/>
        </w:rPr>
        <w:t>אבל מותר לעשות בשביעית</w:t>
      </w:r>
      <w:r>
        <w:rPr>
          <w:rtl w:val="true"/>
        </w:rPr>
        <w:t xml:space="preserve">. </w:t>
      </w:r>
      <w:r>
        <w:rPr>
          <w:rtl w:val="true"/>
        </w:rPr>
        <w:t>גמרא דן מהו החילוק</w:t>
      </w:r>
      <w:r>
        <w:rPr>
          <w:rtl w:val="true"/>
        </w:rPr>
        <w:t xml:space="preserve">, </w:t>
      </w:r>
      <w:r>
        <w:rPr>
          <w:rtl w:val="true"/>
        </w:rPr>
        <w:t>אם הוא מפני שאיסור מועד בא מטורח</w:t>
      </w:r>
      <w:r>
        <w:rPr>
          <w:rtl w:val="true"/>
        </w:rPr>
        <w:t xml:space="preserve">, </w:t>
      </w:r>
      <w:r>
        <w:rPr>
          <w:rtl w:val="true"/>
        </w:rPr>
        <w:t>ולא נאסר טורח בשיעית</w:t>
      </w:r>
      <w:r>
        <w:rPr>
          <w:rtl w:val="true"/>
        </w:rPr>
        <w:t xml:space="preserve">, </w:t>
      </w:r>
      <w:r>
        <w:rPr>
          <w:rtl w:val="true"/>
        </w:rPr>
        <w:t>או מפני שיותר נצרך בשביעית</w:t>
      </w:r>
      <w:r>
        <w:rPr>
          <w:rtl w:val="true"/>
        </w:rPr>
        <w:t xml:space="preserve">, </w:t>
      </w:r>
      <w:r>
        <w:rPr>
          <w:rtl w:val="true"/>
        </w:rPr>
        <w:t>כיון שהוא זמן ארוך</w:t>
      </w:r>
      <w:r>
        <w:rPr>
          <w:rtl w:val="true"/>
        </w:rPr>
        <w:t>.</w:t>
      </w:r>
    </w:p>
    <w:p>
      <w:pPr>
        <w:pStyle w:val="Footnote"/>
        <w:numPr>
          <w:ilvl w:val="0"/>
          <w:numId w:val="3"/>
        </w:numPr>
        <w:rPr/>
      </w:pP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שבע ימים אחרונים של שביעית אסור</w:t>
      </w:r>
      <w:r>
        <w:rPr>
          <w:rtl w:val="true"/>
        </w:rPr>
        <w:t xml:space="preserve">, </w:t>
      </w:r>
      <w:r>
        <w:rPr>
          <w:rtl w:val="true"/>
        </w:rPr>
        <w:t>שאין עוד זמן שביעית ארוך</w:t>
      </w:r>
      <w:r>
        <w:rPr>
          <w:rtl w:val="true"/>
        </w:rPr>
        <w:t>. (</w:t>
      </w:r>
      <w:r>
        <w:rPr>
          <w:rtl w:val="true"/>
        </w:rPr>
        <w:t>יש להעיר שלפי זה</w:t>
      </w:r>
      <w:r>
        <w:rPr>
          <w:rtl w:val="true"/>
        </w:rPr>
        <w:t xml:space="preserve">, </w:t>
      </w:r>
      <w:r>
        <w:rPr>
          <w:rtl w:val="true"/>
        </w:rPr>
        <w:t>היה אפשר לומר שרק מותר יום אחד בתוך כל שמנה ימים של שביעית</w:t>
      </w:r>
      <w:r>
        <w:rPr>
          <w:rtl w:val="true"/>
        </w:rPr>
        <w:t xml:space="preserve">. </w:t>
      </w:r>
      <w:r>
        <w:rPr>
          <w:rtl w:val="true"/>
        </w:rPr>
        <w:t>וצריך להגדיר</w:t>
      </w:r>
      <w:r>
        <w:rPr>
          <w:rtl w:val="true"/>
        </w:rPr>
        <w:t xml:space="preserve">). </w:t>
      </w:r>
    </w:p>
    <w:p>
      <w:pPr>
        <w:pStyle w:val="Footnote"/>
        <w:ind w:left="360" w:hanging="0"/>
        <w:rPr/>
      </w:pPr>
      <w:r>
        <w:rPr>
          <w:rtl w:val="true"/>
        </w:rPr>
        <w:t>גמרא מוכיח מברייתא נגד דין זה</w:t>
      </w:r>
      <w:r>
        <w:rPr>
          <w:rtl w:val="true"/>
        </w:rPr>
        <w:t>.</w:t>
      </w:r>
    </w:p>
    <w:p>
      <w:pPr>
        <w:pStyle w:val="Footnote"/>
        <w:spacing w:lineRule="auto" w:line="240" w:before="0" w:after="120"/>
        <w:jc w:val="both"/>
        <w:rPr/>
      </w:pPr>
      <w:r>
        <w:rPr>
          <w:rtl w:val="true"/>
        </w:rPr>
        <w:t>אף אם נאסר</w:t>
      </w:r>
      <w:r>
        <w:rPr>
          <w:rtl w:val="true"/>
        </w:rPr>
        <w:t xml:space="preserve">, </w:t>
      </w:r>
      <w:r>
        <w:rPr>
          <w:rtl w:val="true"/>
        </w:rPr>
        <w:t>עדיין רבי שמעון אומר שמותר אם יש עשר או יותר אילנות לבית סאה</w:t>
      </w:r>
      <w:r>
        <w:rPr>
          <w:rtl w:val="true"/>
        </w:rPr>
        <w:t xml:space="preserve">. </w:t>
      </w:r>
      <w:r>
        <w:rPr>
          <w:rtl w:val="true"/>
        </w:rPr>
        <w:t>אף אם יש פחות</w:t>
      </w:r>
      <w:r>
        <w:rPr>
          <w:rtl w:val="true"/>
        </w:rPr>
        <w:t xml:space="preserve">, </w:t>
      </w:r>
      <w:r>
        <w:rPr>
          <w:rtl w:val="true"/>
        </w:rPr>
        <w:t>מותר להמשיך מים מאילן לאילן</w:t>
      </w:r>
      <w:r>
        <w:rPr>
          <w:rtl w:val="true"/>
        </w:rPr>
        <w:t xml:space="preserve">, </w:t>
      </w:r>
      <w:r>
        <w:rPr>
          <w:rtl w:val="true"/>
        </w:rPr>
        <w:t>ורק אסור לרבץ ביניהם</w:t>
      </w:r>
      <w:r>
        <w:rPr>
          <w:rtl w:val="true"/>
        </w:rPr>
        <w:t>.</w:t>
      </w:r>
    </w:p>
  </w:footnote>
  <w:footnote w:id="17">
    <w:p>
      <w:pPr>
        <w:pStyle w:val="Footnote"/>
        <w:spacing w:lineRule="auto" w:line="240" w:before="0" w:after="12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פני משה פירש שמערבים עם מים</w:t>
      </w:r>
      <w:r>
        <w:rPr>
          <w:rtl w:val="true"/>
        </w:rPr>
        <w:t xml:space="preserve">. </w:t>
      </w:r>
      <w:r>
        <w:rPr>
          <w:rtl w:val="true"/>
        </w:rPr>
        <w:t>איני יודע כל כך למה לא אומר מילת השקאה</w:t>
      </w:r>
      <w:r>
        <w:rPr>
          <w:rtl w:val="true"/>
        </w:rPr>
        <w:t xml:space="preserve">, </w:t>
      </w:r>
      <w:r>
        <w:rPr>
          <w:rtl w:val="true"/>
        </w:rPr>
        <w:t>אבל אולי זה משמע שנותן יותר מים</w:t>
      </w:r>
      <w:r>
        <w:rPr>
          <w:rtl w:val="true"/>
        </w:rPr>
        <w:t xml:space="preserve">, </w:t>
      </w:r>
      <w:r>
        <w:rPr>
          <w:rtl w:val="true"/>
        </w:rPr>
        <w:t>או שאחר שנותן מים</w:t>
      </w:r>
      <w:r>
        <w:rPr>
          <w:rtl w:val="true"/>
        </w:rPr>
        <w:t xml:space="preserve">, </w:t>
      </w:r>
      <w:r>
        <w:rPr>
          <w:rtl w:val="true"/>
        </w:rPr>
        <w:t>מערב בידיו</w:t>
      </w:r>
      <w:r>
        <w:rPr>
          <w:rtl w:val="true"/>
        </w:rPr>
        <w:t>.</w:t>
      </w:r>
    </w:p>
  </w:footnote>
  <w:footnote w:id="18">
    <w:p>
      <w:pPr>
        <w:pStyle w:val="Footnote"/>
        <w:spacing w:lineRule="auto" w:line="240" w:before="0" w:after="12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זומרים עלים כדי שיתגדל ביותר</w:t>
      </w:r>
      <w:r>
        <w:rPr>
          <w:rtl w:val="true"/>
        </w:rPr>
        <w:t>.</w:t>
      </w:r>
    </w:p>
  </w:footnote>
  <w:footnote w:id="19">
    <w:p>
      <w:pPr>
        <w:pStyle w:val="Footnote"/>
        <w:spacing w:before="0" w:after="120"/>
        <w:jc w:val="center"/>
        <w:rPr>
          <w:b/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</w:t>
      </w:r>
      <w:r>
        <w:rPr>
          <w:b/>
          <w:b/>
          <w:bCs/>
          <w:rtl w:val="true"/>
        </w:rPr>
        <w:t>פרק שלישי</w:t>
      </w:r>
    </w:p>
  </w:footnote>
  <w:footnote w:id="20">
    <w:p>
      <w:pPr>
        <w:pStyle w:val="Footnote"/>
        <w:spacing w:before="58" w:after="58"/>
        <w:rPr>
          <w:b/>
          <w:b/>
          <w:bCs/>
        </w:rPr>
      </w:pPr>
      <w:r>
        <w:rPr>
          <w:rStyle w:val="FootnoteCharacters"/>
        </w:rPr>
        <w:t xml:space="preserve"> </w:t>
      </w:r>
      <w:r>
        <w:rPr>
          <w:b/>
          <w:b/>
          <w:bCs/>
          <w:rtl w:val="true"/>
        </w:rPr>
        <w:tab/>
        <w:t>משנה א</w:t>
      </w:r>
    </w:p>
  </w:footnote>
  <w:footnote w:id="21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דין זה נוהג בשביעית</w:t>
      </w:r>
      <w:r>
        <w:rPr>
          <w:rtl w:val="true"/>
        </w:rPr>
        <w:t xml:space="preserve">. </w:t>
      </w:r>
      <w:r>
        <w:rPr>
          <w:rtl w:val="true"/>
        </w:rPr>
        <w:t>דן גמרא אם נוהג דין זה אף בתוספת מדרבנן גמרא</w:t>
      </w:r>
      <w:r>
        <w:rPr>
          <w:rtl w:val="true"/>
        </w:rPr>
        <w:t xml:space="preserve">; </w:t>
      </w:r>
      <w:r>
        <w:rPr>
          <w:rtl w:val="true"/>
        </w:rPr>
        <w:t>וכאורה</w:t>
      </w:r>
      <w:r>
        <w:rPr>
          <w:rtl w:val="true"/>
        </w:rPr>
        <w:t xml:space="preserve">, </w:t>
      </w:r>
      <w:r>
        <w:rPr>
          <w:rtl w:val="true"/>
        </w:rPr>
        <w:t>אם תוספת מדאורייתא</w:t>
      </w:r>
      <w:r>
        <w:rPr>
          <w:rtl w:val="true"/>
        </w:rPr>
        <w:t xml:space="preserve">, </w:t>
      </w:r>
      <w:r>
        <w:rPr>
          <w:rtl w:val="true"/>
        </w:rPr>
        <w:t>לא יהיה דינו שווה משביעית עצמו</w:t>
      </w:r>
      <w:r>
        <w:rPr>
          <w:rtl w:val="true"/>
        </w:rPr>
        <w:t xml:space="preserve">), </w:t>
      </w:r>
      <w:r>
        <w:rPr>
          <w:rtl w:val="true"/>
        </w:rPr>
        <w:t>ומסיק שלא נוהג</w:t>
      </w:r>
      <w:r>
        <w:rPr>
          <w:rtl w:val="true"/>
        </w:rPr>
        <w:t>.</w:t>
      </w:r>
    </w:p>
  </w:footnote>
  <w:footnote w:id="22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הענין כאן הוא כך</w:t>
      </w:r>
      <w:r>
        <w:rPr>
          <w:rtl w:val="true"/>
        </w:rPr>
        <w:t xml:space="preserve">: </w:t>
      </w:r>
      <w:r>
        <w:rPr>
          <w:rtl w:val="true"/>
        </w:rPr>
        <w:t>אסור לאדם לזבל שדהו בשביעית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אסרו</w:t>
      </w:r>
      <w:r>
        <w:rPr>
          <w:rtl w:val="true"/>
        </w:rPr>
        <w:t xml:space="preserve">, </w:t>
      </w:r>
      <w:r>
        <w:rPr>
          <w:rtl w:val="true"/>
        </w:rPr>
        <w:t>מחמת מראית עין</w:t>
      </w:r>
      <w:r>
        <w:rPr>
          <w:rtl w:val="true"/>
        </w:rPr>
        <w:t xml:space="preserve">, </w:t>
      </w:r>
      <w:r>
        <w:rPr>
          <w:rtl w:val="true"/>
        </w:rPr>
        <w:t>להוציא זבל כיון שנראה כמזבל שדה שלו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חוששים שמיד יפזר אותו ויזבל את שדה שלו ממנו</w:t>
      </w:r>
      <w:r>
        <w:rPr>
          <w:rtl w:val="true"/>
        </w:rPr>
        <w:t>.</w:t>
      </w:r>
    </w:p>
  </w:footnote>
  <w:footnote w:id="23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גורסים עוברי עבירה</w:t>
      </w:r>
      <w:r>
        <w:rPr>
          <w:rtl w:val="true"/>
        </w:rPr>
        <w:t xml:space="preserve">. </w:t>
      </w:r>
      <w:r>
        <w:rPr>
          <w:rtl w:val="true"/>
        </w:rPr>
        <w:t>שני הגירסאות אומרים דבר שווה</w:t>
      </w:r>
      <w:r>
        <w:rPr>
          <w:rtl w:val="true"/>
        </w:rPr>
        <w:t xml:space="preserve">: </w:t>
      </w:r>
      <w:r>
        <w:rPr>
          <w:rtl w:val="true"/>
        </w:rPr>
        <w:t>אחר שאינו רגיל לזבל שדה</w:t>
      </w:r>
      <w:r>
        <w:rPr>
          <w:rtl w:val="true"/>
        </w:rPr>
        <w:t xml:space="preserve">, </w:t>
      </w:r>
      <w:r>
        <w:rPr>
          <w:rtl w:val="true"/>
        </w:rPr>
        <w:t>מותר</w:t>
      </w:r>
      <w:r>
        <w:rPr>
          <w:rtl w:val="true"/>
        </w:rPr>
        <w:t xml:space="preserve">, </w:t>
      </w:r>
      <w:r>
        <w:rPr>
          <w:rtl w:val="true"/>
        </w:rPr>
        <w:t>שיודעים בני אדם שלא מכוון לזבל מיד</w:t>
      </w:r>
      <w:r>
        <w:rPr>
          <w:rtl w:val="true"/>
        </w:rPr>
        <w:t xml:space="preserve">, </w:t>
      </w:r>
      <w:r>
        <w:rPr>
          <w:rtl w:val="true"/>
        </w:rPr>
        <w:t>אלא משאר אותו על השדה</w:t>
      </w:r>
      <w:r>
        <w:rPr>
          <w:rtl w:val="true"/>
        </w:rPr>
        <w:t xml:space="preserve">, </w:t>
      </w:r>
      <w:r>
        <w:rPr>
          <w:rtl w:val="true"/>
        </w:rPr>
        <w:t>ואף ללאחר שביעית</w:t>
      </w:r>
      <w:r>
        <w:rPr>
          <w:rtl w:val="true"/>
        </w:rPr>
        <w:t>.</w:t>
      </w:r>
    </w:p>
  </w:footnote>
  <w:footnote w:id="24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מתוק הוא מים שבא בתוך בקעים קטנים</w:t>
      </w:r>
      <w:r>
        <w:rPr>
          <w:rtl w:val="true"/>
        </w:rPr>
        <w:t xml:space="preserve">. </w:t>
      </w:r>
      <w:r>
        <w:rPr>
          <w:rtl w:val="true"/>
        </w:rPr>
        <w:t>אחר זמן הגשמים</w:t>
      </w:r>
      <w:r>
        <w:rPr>
          <w:rtl w:val="true"/>
        </w:rPr>
        <w:t xml:space="preserve">, </w:t>
      </w:r>
      <w:r>
        <w:rPr>
          <w:rtl w:val="true"/>
        </w:rPr>
        <w:t>החמה מגיע אצל בקעים אלו ומייבש אותם</w:t>
      </w:r>
      <w:r>
        <w:rPr>
          <w:rtl w:val="true"/>
        </w:rPr>
        <w:t>.</w:t>
      </w:r>
    </w:p>
  </w:footnote>
  <w:footnote w:id="25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הזבל נתקשר</w:t>
      </w:r>
      <w:r>
        <w:rPr>
          <w:rtl w:val="true"/>
        </w:rPr>
        <w:t xml:space="preserve">, </w:t>
      </w:r>
      <w:r>
        <w:rPr>
          <w:rtl w:val="true"/>
        </w:rPr>
        <w:t>ואינו עוד לח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 xml:space="preserve">ח אומר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שמתיר אף אם רק עליון נקשר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מד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א אחר מפרש בגמ’ שצריך להיות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קשרים קשרים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אין אני יודע אם כוונתו לחלוק על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>.</w:t>
      </w:r>
    </w:p>
  </w:footnote>
  <w:footnote w:id="26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מפרש </w:t>
      </w:r>
      <w:r>
        <w:rPr>
          <w:rtl w:val="true"/>
        </w:rPr>
        <w:t>(</w:t>
      </w:r>
      <w:r>
        <w:rPr>
          <w:rtl w:val="true"/>
        </w:rPr>
        <w:t>ז</w:t>
      </w:r>
      <w:r>
        <w:rPr>
          <w:rtl w:val="true"/>
        </w:rPr>
        <w:t xml:space="preserve">.)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קרובים אלו להיות כדברי אלו</w:t>
      </w:r>
      <w:r>
        <w:rPr>
          <w:rtl w:val="true"/>
        </w:rPr>
        <w:t xml:space="preserve">.”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אומר ששלש אלו הם דומים בשיעור שלהם</w:t>
      </w:r>
      <w:r>
        <w:rPr>
          <w:rtl w:val="true"/>
        </w:rPr>
        <w:t>.</w:t>
      </w:r>
    </w:p>
  </w:footnote>
  <w:footnote w:id="27">
    <w:p>
      <w:pPr>
        <w:pStyle w:val="Footnote"/>
        <w:spacing w:before="58" w:after="58"/>
        <w:rPr>
          <w:b/>
          <w:b/>
          <w:bCs/>
        </w:rPr>
      </w:pPr>
      <w:r>
        <w:rPr>
          <w:rStyle w:val="FootnoteCharacters"/>
        </w:rPr>
        <w:t xml:space="preserve"> </w:t>
      </w:r>
      <w:r>
        <w:rPr>
          <w:b/>
          <w:b/>
          <w:bCs/>
          <w:rtl w:val="true"/>
        </w:rPr>
        <w:tab/>
        <w:t>משנה ב</w:t>
      </w:r>
    </w:p>
  </w:footnote>
  <w:footnote w:id="28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כמה מזבלים</w:t>
      </w:r>
      <w:r>
        <w:rPr>
          <w:rtl w:val="true"/>
        </w:rPr>
        <w:t>.</w:t>
      </w:r>
    </w:p>
  </w:footnote>
  <w:footnote w:id="29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 xml:space="preserve">בזמן שמותר לזבל </w:t>
      </w:r>
      <w:r>
        <w:rPr>
          <w:rtl w:val="true"/>
        </w:rPr>
        <w:t>(</w:t>
      </w:r>
      <w:r>
        <w:rPr>
          <w:rtl w:val="true"/>
        </w:rPr>
        <w:t>שמפורש במשנה לעיל</w:t>
      </w:r>
      <w:r>
        <w:rPr>
          <w:rtl w:val="true"/>
        </w:rPr>
        <w:t>).</w:t>
      </w:r>
    </w:p>
  </w:footnote>
  <w:footnote w:id="30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אין ממעטים את המשפילות</w:t>
      </w:r>
      <w:r>
        <w:rPr>
          <w:rtl w:val="true"/>
        </w:rPr>
        <w:t xml:space="preserve">. </w:t>
      </w:r>
      <w:r>
        <w:rPr>
          <w:rtl w:val="true"/>
        </w:rPr>
        <w:t>רבי ירמיה אומר שממעטים מהם אם אף ממעטים מן אשפות</w:t>
      </w:r>
      <w:r>
        <w:rPr>
          <w:rtl w:val="true"/>
        </w:rPr>
        <w:t>. (</w:t>
      </w:r>
      <w:r>
        <w:rPr>
          <w:rtl w:val="true"/>
        </w:rPr>
        <w:t>לא הבנתי ל</w:t>
      </w:r>
      <w:r>
        <w:rPr>
          <w:rtl w:val="true"/>
        </w:rPr>
        <w:t>"</w:t>
      </w:r>
      <w:r>
        <w:rPr>
          <w:rtl w:val="true"/>
        </w:rPr>
        <w:t>ל אומר ר</w:t>
      </w:r>
      <w:r>
        <w:rPr>
          <w:rtl w:val="true"/>
        </w:rPr>
        <w:t>"</w:t>
      </w:r>
      <w:r>
        <w:rPr>
          <w:rtl w:val="true"/>
        </w:rPr>
        <w:t>י שממעטים אם לא מוסיפים אשפתות</w:t>
      </w:r>
      <w:r>
        <w:rPr>
          <w:rtl w:val="true"/>
        </w:rPr>
        <w:t xml:space="preserve">, </w:t>
      </w:r>
      <w:r>
        <w:rPr>
          <w:rtl w:val="true"/>
        </w:rPr>
        <w:t xml:space="preserve">שכן יצא משיטתו במה שאומר על </w:t>
      </w:r>
      <w:r>
        <w:rPr>
          <w:rtl w:val="true"/>
        </w:rPr>
        <w:t>"</w:t>
      </w:r>
      <w:r>
        <w:rPr>
          <w:rtl w:val="true"/>
        </w:rPr>
        <w:t>מוסיפים על האשפתות</w:t>
      </w:r>
      <w:r>
        <w:rPr>
          <w:rtl w:val="true"/>
        </w:rPr>
        <w:t xml:space="preserve">.” </w:t>
      </w:r>
      <w:r>
        <w:rPr>
          <w:rtl w:val="true"/>
        </w:rPr>
        <w:t>עיין 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.) </w:t>
      </w:r>
      <w:r>
        <w:rPr>
          <w:rtl w:val="true"/>
        </w:rPr>
        <w:t>רבי יוסי חולק ואוסר</w:t>
      </w:r>
      <w:r>
        <w:rPr>
          <w:rtl w:val="true"/>
        </w:rPr>
        <w:t>. (</w:t>
      </w:r>
      <w:r>
        <w:rPr>
          <w:rtl w:val="true"/>
        </w:rPr>
        <w:t>ז</w:t>
      </w:r>
      <w:r>
        <w:rPr>
          <w:rtl w:val="true"/>
        </w:rPr>
        <w:t>.)</w:t>
      </w:r>
    </w:p>
  </w:footnote>
  <w:footnote w:id="31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הוא שיטת רבנן</w:t>
      </w:r>
      <w:r>
        <w:rPr>
          <w:rtl w:val="true"/>
        </w:rPr>
        <w:t xml:space="preserve">, </w:t>
      </w:r>
      <w:r>
        <w:rPr>
          <w:rtl w:val="true"/>
        </w:rPr>
        <w:t>אבל רבי מאיר חולק</w:t>
      </w:r>
      <w:r>
        <w:rPr>
          <w:rtl w:val="true"/>
        </w:rPr>
        <w:t>. (</w:t>
      </w:r>
      <w:r>
        <w:rPr>
          <w:rtl w:val="true"/>
        </w:rPr>
        <w:t>ז</w:t>
      </w:r>
      <w:r>
        <w:rPr>
          <w:rtl w:val="true"/>
        </w:rPr>
        <w:t xml:space="preserve">.) </w:t>
      </w:r>
      <w:r>
        <w:rPr>
          <w:rtl w:val="true"/>
        </w:rPr>
        <w:t>נראה שרבי מאיר גוזר הוספה על אשפולים מחמת הוספה על אשפתות</w:t>
      </w:r>
      <w:r>
        <w:rPr>
          <w:rtl w:val="true"/>
        </w:rPr>
        <w:t>.</w:t>
      </w:r>
    </w:p>
  </w:footnote>
  <w:footnote w:id="32">
    <w:p>
      <w:pPr>
        <w:pStyle w:val="Footnote"/>
        <w:suppressLineNumbers/>
        <w:bidi w:val="1"/>
        <w:spacing w:before="58" w:after="58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יכול להיות שלש ציורים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4"/>
        </w:numPr>
        <w:rPr/>
      </w:pPr>
      <w:r>
        <w:rPr>
          <w:rtl w:val="true"/>
        </w:rPr>
        <w:t>כשנותן יותר מעשר משפלות באשפה</w:t>
      </w:r>
      <w:r>
        <w:rPr>
          <w:rtl w:val="true"/>
        </w:rPr>
        <w:t xml:space="preserve">. </w:t>
      </w:r>
      <w:r>
        <w:rPr>
          <w:rtl w:val="true"/>
        </w:rPr>
        <w:t>לא מפרש גמרא הדין בזה</w:t>
      </w:r>
      <w:r>
        <w:rPr>
          <w:rtl w:val="true"/>
        </w:rPr>
        <w:t xml:space="preserve">, </w:t>
      </w:r>
      <w:r>
        <w:rPr>
          <w:rtl w:val="true"/>
        </w:rPr>
        <w:t>ואז נראה שהוא שווה ל</w:t>
      </w:r>
      <w:r>
        <w:rPr/>
        <w:t>2</w:t>
      </w:r>
      <w:r>
        <w:rPr>
          <w:rtl w:val="true"/>
        </w:rPr>
        <w:t>.</w:t>
      </w:r>
    </w:p>
    <w:p>
      <w:pPr>
        <w:pStyle w:val="Footnote"/>
        <w:numPr>
          <w:ilvl w:val="0"/>
          <w:numId w:val="4"/>
        </w:numPr>
        <w:rPr/>
      </w:pPr>
      <w:r>
        <w:rPr>
          <w:rtl w:val="true"/>
        </w:rPr>
        <w:t>כשנותן עשר אשפלות באשפה</w:t>
      </w:r>
      <w:r>
        <w:rPr>
          <w:rtl w:val="true"/>
        </w:rPr>
        <w:t xml:space="preserve">. </w:t>
      </w:r>
      <w:r>
        <w:rPr>
          <w:rtl w:val="true"/>
        </w:rPr>
        <w:t>רבי ירמיה מתיר</w:t>
      </w:r>
      <w:r>
        <w:rPr>
          <w:rtl w:val="true"/>
        </w:rPr>
        <w:t xml:space="preserve">, </w:t>
      </w:r>
      <w:r>
        <w:rPr>
          <w:rtl w:val="true"/>
        </w:rPr>
        <w:t xml:space="preserve">ורבי יוסי אוסר </w:t>
      </w:r>
      <w:r>
        <w:rPr>
          <w:rtl w:val="true"/>
        </w:rPr>
        <w:t>(</w:t>
      </w:r>
      <w:r>
        <w:rPr>
          <w:rtl w:val="true"/>
        </w:rPr>
        <w:t>ומביא הוכחה מברייתא</w:t>
      </w:r>
      <w:r>
        <w:rPr>
          <w:rtl w:val="true"/>
        </w:rPr>
        <w:t>).</w:t>
      </w:r>
    </w:p>
    <w:p>
      <w:pPr>
        <w:pStyle w:val="Footnote"/>
        <w:numPr>
          <w:ilvl w:val="0"/>
          <w:numId w:val="4"/>
        </w:numPr>
        <w:spacing w:before="0" w:after="120"/>
        <w:rPr/>
      </w:pPr>
      <w:r>
        <w:rPr>
          <w:rtl w:val="true"/>
        </w:rPr>
        <w:t>כשנותן פחות מעשר אשפלות באשה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כו</w:t>
      </w:r>
      <w:r>
        <w:rPr>
          <w:rtl w:val="true"/>
        </w:rPr>
        <w:t>"</w:t>
      </w:r>
      <w:r>
        <w:rPr>
          <w:rtl w:val="true"/>
        </w:rPr>
        <w:t>ע מודה שמשנה מתיר</w:t>
      </w:r>
      <w:r>
        <w:rPr>
          <w:rtl w:val="true"/>
        </w:rPr>
        <w:t xml:space="preserve">, </w:t>
      </w:r>
      <w:r>
        <w:rPr>
          <w:rtl w:val="true"/>
        </w:rPr>
        <w:t>שהרי יותר נראה כמזבל</w:t>
      </w:r>
      <w:r>
        <w:rPr>
          <w:rtl w:val="true"/>
        </w:rPr>
        <w:t>. (</w:t>
      </w:r>
      <w:r>
        <w:rPr>
          <w:rtl w:val="true"/>
        </w:rPr>
        <w:t>ז</w:t>
      </w:r>
      <w:r>
        <w:rPr>
          <w:rtl w:val="true"/>
        </w:rPr>
        <w:t>.)</w:t>
      </w:r>
    </w:p>
  </w:footnote>
  <w:footnote w:id="33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מפרש אם יכולים למעט אשפתות</w:t>
      </w:r>
      <w:r>
        <w:rPr>
          <w:rtl w:val="true"/>
        </w:rPr>
        <w:t xml:space="preserve">, </w:t>
      </w:r>
      <w:r>
        <w:rPr>
          <w:rtl w:val="true"/>
        </w:rPr>
        <w:t>אבל מסברה פשוט שמותר</w:t>
      </w:r>
      <w:r>
        <w:rPr>
          <w:rtl w:val="true"/>
        </w:rPr>
        <w:t xml:space="preserve">. </w:t>
      </w:r>
      <w:r>
        <w:rPr>
          <w:rtl w:val="true"/>
        </w:rPr>
        <w:t xml:space="preserve">רבי ירמיה מתיר אף אם ממעט אשפלות </w:t>
      </w:r>
      <w:r>
        <w:rPr>
          <w:rtl w:val="true"/>
        </w:rPr>
        <w:t>(</w:t>
      </w:r>
      <w:r>
        <w:rPr>
          <w:rtl w:val="true"/>
        </w:rPr>
        <w:t>כמו שכתבנו לעיל</w:t>
      </w:r>
      <w:r>
        <w:rPr>
          <w:rtl w:val="true"/>
        </w:rPr>
        <w:t xml:space="preserve">), </w:t>
      </w:r>
      <w:r>
        <w:rPr>
          <w:rtl w:val="true"/>
        </w:rPr>
        <w:t>ורבי יוסי חולק</w:t>
      </w:r>
      <w:r>
        <w:rPr>
          <w:rtl w:val="true"/>
        </w:rPr>
        <w:t>.</w:t>
      </w:r>
    </w:p>
  </w:footnote>
  <w:footnote w:id="34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לרבי שמעון</w:t>
      </w:r>
      <w:r>
        <w:rPr>
          <w:rtl w:val="true"/>
        </w:rPr>
        <w:t xml:space="preserve">, </w:t>
      </w:r>
      <w:r>
        <w:rPr>
          <w:rtl w:val="true"/>
        </w:rPr>
        <w:t>אין שיעור לאשפתות</w:t>
      </w:r>
      <w:r>
        <w:rPr>
          <w:rtl w:val="true"/>
        </w:rPr>
        <w:t xml:space="preserve">, </w:t>
      </w:r>
      <w:r>
        <w:rPr>
          <w:rtl w:val="true"/>
        </w:rPr>
        <w:t>שלכאורה מותר למעט אשפתות</w:t>
      </w:r>
      <w:r>
        <w:rPr>
          <w:rtl w:val="true"/>
        </w:rPr>
        <w:t xml:space="preserve">, 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>ש מתיר אף להוסיף על אשפתות</w:t>
      </w:r>
      <w:r>
        <w:rPr>
          <w:rtl w:val="true"/>
        </w:rPr>
        <w:t xml:space="preserve">. </w:t>
      </w:r>
      <w:r>
        <w:rPr>
          <w:rtl w:val="true"/>
        </w:rPr>
        <w:t xml:space="preserve">גמרא מוסיף בהלכה שני </w:t>
      </w:r>
      <w:r>
        <w:rPr>
          <w:rtl w:val="true"/>
        </w:rPr>
        <w:t>(</w:t>
      </w:r>
      <w:r>
        <w:rPr>
          <w:rtl w:val="true"/>
        </w:rPr>
        <w:t>ז</w:t>
      </w:r>
      <w:r>
        <w:rPr>
          <w:rtl w:val="true"/>
        </w:rPr>
        <w:t xml:space="preserve">.) </w:t>
      </w:r>
      <w:r>
        <w:rPr>
          <w:rtl w:val="true"/>
        </w:rPr>
        <w:t>שאף יכול לתת עד שלש אשפלות לאשפה</w:t>
      </w:r>
      <w:r>
        <w:rPr>
          <w:rtl w:val="true"/>
        </w:rPr>
        <w:t xml:space="preserve">, </w:t>
      </w:r>
      <w:r>
        <w:rPr>
          <w:rtl w:val="true"/>
        </w:rPr>
        <w:t>ואף כשמרבה אשפתות</w:t>
      </w:r>
      <w:r>
        <w:rPr>
          <w:rtl w:val="true"/>
        </w:rPr>
        <w:t>.</w:t>
      </w:r>
    </w:p>
  </w:footnote>
  <w:footnote w:id="35">
    <w:p>
      <w:pPr>
        <w:pStyle w:val="Footnote"/>
        <w:spacing w:before="58" w:after="58"/>
        <w:rPr>
          <w:b/>
          <w:b/>
          <w:bCs/>
        </w:rPr>
      </w:pPr>
      <w:r>
        <w:rPr>
          <w:rStyle w:val="FootnoteCharacters"/>
        </w:rPr>
        <w:t xml:space="preserve"> </w:t>
      </w:r>
      <w:r>
        <w:rPr>
          <w:b/>
          <w:b/>
          <w:bCs/>
          <w:rtl w:val="true"/>
        </w:rPr>
        <w:tab/>
        <w:t>משנה ג</w:t>
      </w:r>
    </w:p>
  </w:footnote>
  <w:footnote w:id="36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רבי שמעון מתיר יותר</w:t>
      </w:r>
      <w:r>
        <w:rPr>
          <w:rtl w:val="true"/>
        </w:rPr>
        <w:t>. (</w:t>
      </w:r>
      <w:r>
        <w:rPr>
          <w:rtl w:val="true"/>
        </w:rPr>
        <w:t>יש גירסאות משונות במשנה זה</w:t>
      </w:r>
      <w:r>
        <w:rPr>
          <w:rtl w:val="true"/>
        </w:rPr>
        <w:t xml:space="preserve">, </w:t>
      </w:r>
      <w:r>
        <w:rPr>
          <w:rtl w:val="true"/>
        </w:rPr>
        <w:t>אבל נפרש כפי הפני משה</w:t>
      </w:r>
      <w:r>
        <w:rPr>
          <w:rtl w:val="true"/>
        </w:rPr>
        <w:t xml:space="preserve">. </w:t>
      </w:r>
      <w:r>
        <w:rPr>
          <w:rtl w:val="true"/>
        </w:rPr>
        <w:t>כמו שאמר מסתבר בירושלמי</w:t>
      </w:r>
      <w:r>
        <w:rPr>
          <w:rtl w:val="true"/>
        </w:rPr>
        <w:t>.)</w:t>
      </w:r>
    </w:p>
  </w:footnote>
  <w:footnote w:id="37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מקשה גמרא </w:t>
      </w:r>
      <w:r>
        <w:rPr>
          <w:rtl w:val="true"/>
        </w:rPr>
        <w:t>(</w:t>
      </w:r>
      <w:r>
        <w:rPr>
          <w:rtl w:val="true"/>
        </w:rPr>
        <w:t>ז</w:t>
      </w:r>
      <w:r>
        <w:rPr>
          <w:rtl w:val="true"/>
        </w:rPr>
        <w:t xml:space="preserve">.) </w:t>
      </w:r>
      <w:r>
        <w:rPr>
          <w:rtl w:val="true"/>
        </w:rPr>
        <w:t>שזה אותו שיטה שאמר במשנה א</w:t>
      </w:r>
      <w:r>
        <w:rPr>
          <w:rtl w:val="true"/>
        </w:rPr>
        <w:t xml:space="preserve">. </w:t>
      </w:r>
      <w:r>
        <w:rPr>
          <w:rtl w:val="true"/>
        </w:rPr>
        <w:t>מפרש ששם התיר אם נותן עשרה אשפולות בכל אשפה</w:t>
      </w:r>
      <w:r>
        <w:rPr>
          <w:rtl w:val="true"/>
        </w:rPr>
        <w:t xml:space="preserve">, </w:t>
      </w:r>
      <w:r>
        <w:rPr>
          <w:rtl w:val="true"/>
        </w:rPr>
        <w:t>וכאן מתיר אף אם נותן פחות מכך</w:t>
      </w:r>
      <w:r>
        <w:rPr>
          <w:rtl w:val="true"/>
        </w:rPr>
        <w:t xml:space="preserve">. </w:t>
      </w:r>
      <w:r>
        <w:rPr>
          <w:rtl w:val="true"/>
        </w:rPr>
        <w:t xml:space="preserve">גמרא מפרש </w:t>
      </w:r>
      <w:r>
        <w:rPr>
          <w:rtl w:val="true"/>
        </w:rPr>
        <w:t>(</w:t>
      </w:r>
      <w:r>
        <w:rPr>
          <w:rtl w:val="true"/>
        </w:rPr>
        <w:t>ז</w:t>
      </w:r>
      <w:r>
        <w:rPr>
          <w:rtl w:val="true"/>
        </w:rPr>
        <w:t xml:space="preserve">.) </w:t>
      </w:r>
      <w:r>
        <w:rPr>
          <w:rtl w:val="true"/>
        </w:rPr>
        <w:t>שלא יפחות משלש אשפלות לאשפה</w:t>
      </w:r>
      <w:r>
        <w:rPr>
          <w:rtl w:val="true"/>
        </w:rPr>
        <w:t>.</w:t>
      </w:r>
    </w:p>
  </w:footnote>
  <w:footnote w:id="38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זה לשיטתם</w:t>
      </w:r>
      <w:r>
        <w:rPr>
          <w:rtl w:val="true"/>
        </w:rPr>
        <w:t xml:space="preserve">, </w:t>
      </w:r>
      <w:r>
        <w:rPr>
          <w:rtl w:val="true"/>
        </w:rPr>
        <w:t>כבשמנה לעיל</w:t>
      </w:r>
      <w:r>
        <w:rPr>
          <w:rtl w:val="true"/>
        </w:rPr>
        <w:t>.</w:t>
      </w:r>
    </w:p>
  </w:footnote>
  <w:footnote w:id="39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אז</w:t>
      </w:r>
      <w:r>
        <w:rPr>
          <w:rtl w:val="true"/>
        </w:rPr>
        <w:t xml:space="preserve">, </w:t>
      </w:r>
      <w:r>
        <w:rPr>
          <w:rtl w:val="true"/>
        </w:rPr>
        <w:t>הוא ברשות בפני עצמו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נחשב בתוך שדה שלו</w:t>
      </w:r>
      <w:r>
        <w:rPr>
          <w:rtl w:val="true"/>
        </w:rPr>
        <w:t xml:space="preserve">, </w:t>
      </w:r>
      <w:r>
        <w:rPr>
          <w:rtl w:val="true"/>
        </w:rPr>
        <w:t>ופשוט שרק מאצר אותו</w:t>
      </w:r>
      <w:r>
        <w:rPr>
          <w:rtl w:val="true"/>
        </w:rPr>
        <w:t>.</w:t>
      </w:r>
    </w:p>
  </w:footnote>
  <w:footnote w:id="40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שפשוט שנותן אותו שם לאצור עד שיפזר לאחר זמן</w:t>
      </w:r>
      <w:r>
        <w:rPr>
          <w:rtl w:val="true"/>
        </w:rPr>
        <w:t xml:space="preserve">, </w:t>
      </w:r>
      <w:r>
        <w:rPr>
          <w:rtl w:val="true"/>
        </w:rPr>
        <w:t>אבל לא מוכח שיפזר אותו מיד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אין מראית עין</w:t>
      </w:r>
      <w:r>
        <w:rPr>
          <w:rtl w:val="true"/>
        </w:rPr>
        <w:t>.</w:t>
      </w:r>
    </w:p>
  </w:footnote>
  <w:footnote w:id="41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שבני אדם יאמרו שממה שמביא כל כך כאן</w:t>
      </w:r>
      <w:r>
        <w:rPr>
          <w:rtl w:val="true"/>
        </w:rPr>
        <w:t xml:space="preserve">, </w:t>
      </w:r>
      <w:r>
        <w:rPr>
          <w:rtl w:val="true"/>
        </w:rPr>
        <w:t>צריך לומר שיפזר מיד</w:t>
      </w:r>
      <w:r>
        <w:rPr>
          <w:rtl w:val="true"/>
        </w:rPr>
        <w:t>.</w:t>
      </w:r>
    </w:p>
  </w:footnote>
  <w:footnote w:id="42">
    <w:p>
      <w:pPr>
        <w:pStyle w:val="Footnote"/>
        <w:suppressLineNumbers/>
        <w:bidi w:val="1"/>
        <w:spacing w:before="58" w:after="58"/>
        <w:ind w:left="340" w:hanging="34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rtl w:val="true"/>
        </w:rPr>
        <w:t>(</w:t>
      </w:r>
      <w:r>
        <w:rPr>
          <w:rtl w:val="true"/>
        </w:rPr>
        <w:t>ז</w:t>
      </w:r>
      <w:r>
        <w:rPr>
          <w:rtl w:val="true"/>
        </w:rPr>
        <w:t xml:space="preserve">:) </w:t>
      </w:r>
      <w:r>
        <w:rPr>
          <w:rtl w:val="true"/>
        </w:rPr>
        <w:t>מפרש שחולקים אם יכול להוציא אשפה בפחות מכדי אשפה כשדעתו לגדלו עד שיש אשפה</w:t>
      </w:r>
      <w:r>
        <w:rPr>
          <w:rtl w:val="true"/>
        </w:rPr>
        <w:t>. (</w:t>
      </w:r>
      <w:r>
        <w:rPr>
          <w:rtl w:val="true"/>
        </w:rPr>
        <w:t>בגמרא דן אם רבנן מתירים אף להתחיל אשפה כן או רק להוסיף</w:t>
      </w:r>
      <w:r>
        <w:rPr>
          <w:rtl w:val="true"/>
        </w:rPr>
        <w:t>.) (</w:t>
      </w:r>
      <w:r>
        <w:rPr>
          <w:rtl w:val="true"/>
        </w:rPr>
        <w:t>כן נ</w:t>
      </w:r>
      <w:r>
        <w:rPr>
          <w:rtl w:val="true"/>
        </w:rPr>
        <w:t>"</w:t>
      </w:r>
      <w:r>
        <w:rPr>
          <w:rtl w:val="true"/>
        </w:rPr>
        <w:t>ל בגמ’</w:t>
      </w:r>
      <w:r>
        <w:rPr>
          <w:rtl w:val="true"/>
        </w:rPr>
        <w:t xml:space="preserve">. </w:t>
      </w:r>
      <w:r>
        <w:rPr>
          <w:rtl w:val="true"/>
        </w:rPr>
        <w:t>עיין בשיחתא דש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.) </w:t>
      </w:r>
      <w:r>
        <w:rPr>
          <w:rtl w:val="true"/>
        </w:rPr>
        <w:t>ראב</w:t>
      </w:r>
      <w:r>
        <w:rPr>
          <w:rtl w:val="true"/>
        </w:rPr>
        <w:t>"</w:t>
      </w:r>
      <w:r>
        <w:rPr>
          <w:rtl w:val="true"/>
        </w:rPr>
        <w:t>ע אוסר מאחד משני טעמים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5"/>
        </w:numPr>
        <w:rPr/>
      </w:pPr>
      <w:r>
        <w:rPr>
          <w:rtl w:val="true"/>
        </w:rPr>
        <w:t>מראית עין</w:t>
      </w:r>
      <w:r>
        <w:rPr>
          <w:rtl w:val="true"/>
        </w:rPr>
        <w:t xml:space="preserve">, </w:t>
      </w:r>
      <w:r>
        <w:rPr>
          <w:rtl w:val="true"/>
        </w:rPr>
        <w:t>שלא מבינים בני אדם שעושה אוצר</w:t>
      </w:r>
      <w:r>
        <w:rPr>
          <w:rtl w:val="true"/>
        </w:rPr>
        <w:t xml:space="preserve">. </w:t>
      </w:r>
      <w:r>
        <w:rPr>
          <w:rtl w:val="true"/>
        </w:rPr>
        <w:t>רבנן דוחים שכליו מוכיחים עליו</w:t>
      </w:r>
      <w:r>
        <w:rPr>
          <w:rtl w:val="true"/>
        </w:rPr>
        <w:t>.</w:t>
      </w:r>
    </w:p>
    <w:p>
      <w:pPr>
        <w:pStyle w:val="Footnote"/>
        <w:numPr>
          <w:ilvl w:val="0"/>
          <w:numId w:val="5"/>
        </w:numPr>
        <w:spacing w:before="0" w:after="120"/>
        <w:rPr/>
      </w:pPr>
      <w:r>
        <w:rPr>
          <w:rtl w:val="true"/>
        </w:rPr>
        <w:t>חוששים שמא לא יוציא כדי אשפה ונמצא שזבל</w:t>
      </w:r>
      <w:r>
        <w:rPr>
          <w:rtl w:val="true"/>
        </w:rPr>
        <w:t>.</w:t>
      </w:r>
    </w:p>
  </w:footnote>
  <w:footnote w:id="43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היתר זה יתיר בשאר ציורי משנה גם כן</w:t>
      </w:r>
      <w:r>
        <w:rPr>
          <w:rtl w:val="true"/>
        </w:rPr>
        <w:t xml:space="preserve">. </w:t>
      </w:r>
      <w:r>
        <w:rPr>
          <w:rtl w:val="true"/>
        </w:rPr>
        <w:t>יש לדון למה רק שונה אותו כאן</w:t>
      </w:r>
      <w:r>
        <w:rPr>
          <w:rtl w:val="true"/>
        </w:rPr>
        <w:t>.</w:t>
      </w:r>
    </w:p>
  </w:footnote>
  <w:footnote w:id="44">
    <w:p>
      <w:pPr>
        <w:pStyle w:val="Footnote"/>
        <w:spacing w:before="58" w:after="58"/>
        <w:rPr>
          <w:b/>
          <w:b/>
          <w:bCs/>
        </w:rPr>
      </w:pPr>
      <w:r>
        <w:rPr>
          <w:rStyle w:val="FootnoteCharacters"/>
        </w:rPr>
        <w:t xml:space="preserve"> </w:t>
      </w:r>
      <w:r>
        <w:rPr>
          <w:b/>
          <w:b/>
          <w:bCs/>
          <w:rtl w:val="true"/>
        </w:rPr>
        <w:tab/>
        <w:t>משנה ד</w:t>
      </w:r>
    </w:p>
  </w:footnote>
  <w:footnote w:id="45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מביא בהמות שם</w:t>
      </w:r>
      <w:r>
        <w:rPr>
          <w:rtl w:val="true"/>
        </w:rPr>
        <w:t xml:space="preserve">, </w:t>
      </w:r>
      <w:r>
        <w:rPr>
          <w:rtl w:val="true"/>
        </w:rPr>
        <w:t>ומזבלים את השדה</w:t>
      </w:r>
      <w:r>
        <w:rPr>
          <w:rtl w:val="true"/>
        </w:rPr>
        <w:t>.</w:t>
      </w:r>
    </w:p>
  </w:footnote>
  <w:footnote w:id="46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מבאר למה אסור לעשות יותר</w:t>
      </w:r>
      <w:r>
        <w:rPr>
          <w:rtl w:val="true"/>
        </w:rPr>
        <w:t xml:space="preserve">. </w:t>
      </w:r>
      <w:r>
        <w:rPr>
          <w:rtl w:val="true"/>
        </w:rPr>
        <w:t>אולי נראה הוא שמזבל את שדה שלו</w:t>
      </w:r>
      <w:r>
        <w:rPr>
          <w:rtl w:val="true"/>
        </w:rPr>
        <w:t xml:space="preserve">, </w:t>
      </w:r>
      <w:r>
        <w:rPr>
          <w:rtl w:val="true"/>
        </w:rPr>
        <w:t xml:space="preserve">ואז נראה לבני אדם כמלאכה </w:t>
      </w:r>
      <w:r>
        <w:rPr>
          <w:rtl w:val="true"/>
        </w:rPr>
        <w:t>(</w:t>
      </w:r>
      <w:r>
        <w:rPr>
          <w:rtl w:val="true"/>
        </w:rPr>
        <w:t>ואף שבאמת מותר כיון שהוא עושה אותו על ידי בהמות</w:t>
      </w:r>
      <w:r>
        <w:rPr>
          <w:rtl w:val="true"/>
        </w:rPr>
        <w:t>).</w:t>
      </w:r>
    </w:p>
  </w:footnote>
  <w:footnote w:id="47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פשטים בזה</w:t>
      </w:r>
      <w:r>
        <w:rPr>
          <w:rtl w:val="true"/>
        </w:rPr>
        <w:t xml:space="preserve">. </w:t>
      </w:r>
      <w:r>
        <w:rPr>
          <w:rtl w:val="true"/>
        </w:rPr>
        <w:t>אולי אומר שבין הכל</w:t>
      </w:r>
      <w:r>
        <w:rPr>
          <w:rtl w:val="true"/>
        </w:rPr>
        <w:t xml:space="preserve">, </w:t>
      </w:r>
      <w:r>
        <w:rPr>
          <w:rtl w:val="true"/>
        </w:rPr>
        <w:t>לא מזבל בית ארבע סאים</w:t>
      </w:r>
      <w:r>
        <w:rPr>
          <w:rtl w:val="true"/>
        </w:rPr>
        <w:t xml:space="preserve">, </w:t>
      </w:r>
      <w:r>
        <w:rPr>
          <w:rtl w:val="true"/>
        </w:rPr>
        <w:t>אלא מזבל בית שמנה סאים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עושה ארבע מקומות</w:t>
      </w:r>
      <w:r>
        <w:rPr>
          <w:rtl w:val="true"/>
        </w:rPr>
        <w:t xml:space="preserve">, </w:t>
      </w:r>
      <w:r>
        <w:rPr>
          <w:rtl w:val="true"/>
        </w:rPr>
        <w:t>כל אחד נוגע לחבירו בצד אחד</w:t>
      </w:r>
      <w:r>
        <w:rPr>
          <w:rtl w:val="true"/>
        </w:rPr>
        <w:t xml:space="preserve">, </w:t>
      </w:r>
      <w:r>
        <w:rPr>
          <w:rtl w:val="true"/>
        </w:rPr>
        <w:t>ויתד אחד לכל אחד</w:t>
      </w:r>
      <w:r>
        <w:rPr>
          <w:rtl w:val="true"/>
        </w:rPr>
        <w:t xml:space="preserve">. </w:t>
      </w:r>
      <w:r>
        <w:rPr>
          <w:rtl w:val="true"/>
        </w:rPr>
        <w:t>פני משה כתב שמוסיף שמונה סאים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עושה כעין </w:t>
      </w:r>
      <w:r>
        <w:rPr/>
        <w:t>cross</w:t>
      </w:r>
      <w:r>
        <w:rPr>
          <w:rtl w:val="true"/>
        </w:rPr>
        <w:t>.</w:t>
      </w:r>
    </w:p>
  </w:footnote>
  <w:footnote w:id="48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מוציא זבל</w:t>
      </w:r>
      <w:r>
        <w:rPr>
          <w:rtl w:val="true"/>
        </w:rPr>
        <w:t>.</w:t>
      </w:r>
    </w:p>
  </w:footnote>
  <w:footnote w:id="49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לתוך אשפתות</w:t>
      </w:r>
      <w:r>
        <w:rPr>
          <w:rtl w:val="true"/>
        </w:rPr>
        <w:t>.</w:t>
      </w:r>
    </w:p>
  </w:footnote>
  <w:footnote w:id="50">
    <w:p>
      <w:pPr>
        <w:pStyle w:val="Footnote"/>
        <w:spacing w:before="0" w:after="12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 xml:space="preserve">.) </w:t>
      </w:r>
      <w:r>
        <w:rPr>
          <w:rtl w:val="true"/>
        </w:rPr>
        <w:t>דם אם מתיר אף קודם שפסקו עובדי עבודה</w:t>
      </w:r>
      <w:r>
        <w:rPr>
          <w:rtl w:val="true"/>
        </w:rPr>
        <w:t xml:space="preserve">, </w:t>
      </w:r>
      <w:r>
        <w:rPr>
          <w:rtl w:val="true"/>
        </w:rPr>
        <w:t>כיון שלא נראה כמזבל</w:t>
      </w:r>
      <w:r>
        <w:rPr>
          <w:rtl w:val="true"/>
        </w:rPr>
        <w:t xml:space="preserve">, </w:t>
      </w:r>
      <w:r>
        <w:rPr>
          <w:rtl w:val="true"/>
        </w:rPr>
        <w:t>אלא כמפנה סהר</w:t>
      </w:r>
      <w:r>
        <w:rPr>
          <w:rtl w:val="true"/>
        </w:rPr>
        <w:t xml:space="preserve">, </w:t>
      </w:r>
      <w:r>
        <w:rPr>
          <w:rtl w:val="true"/>
        </w:rPr>
        <w:t>כיון שהוא לעולם מלא</w:t>
      </w:r>
      <w:r>
        <w:rPr>
          <w:rtl w:val="true"/>
        </w:rPr>
        <w:t xml:space="preserve">, </w:t>
      </w:r>
      <w:r>
        <w:rPr>
          <w:rtl w:val="true"/>
        </w:rPr>
        <w:t>או שמתיר אחר שפסקו עובדי עבודה</w:t>
      </w:r>
      <w:r>
        <w:rPr>
          <w:rtl w:val="true"/>
        </w:rPr>
        <w:t xml:space="preserve">, </w:t>
      </w:r>
      <w:r>
        <w:rPr>
          <w:rtl w:val="true"/>
        </w:rPr>
        <w:t>וצריך משנה להשמיע כן כיון ש הו</w:t>
      </w:r>
      <w:r>
        <w:rPr>
          <w:rtl w:val="true"/>
        </w:rPr>
        <w:t>"</w:t>
      </w:r>
      <w:r>
        <w:rPr>
          <w:rtl w:val="true"/>
        </w:rPr>
        <w:t>א שרק מחצר</w:t>
      </w:r>
      <w:r>
        <w:rPr>
          <w:rtl w:val="true"/>
        </w:rPr>
        <w:t xml:space="preserve">, </w:t>
      </w:r>
      <w:r>
        <w:rPr>
          <w:rtl w:val="true"/>
        </w:rPr>
        <w:t>שדרך לפנות ממנו לנקותו</w:t>
      </w:r>
      <w:r>
        <w:rPr>
          <w:rtl w:val="true"/>
        </w:rPr>
        <w:t xml:space="preserve">, </w:t>
      </w:r>
      <w:r>
        <w:rPr>
          <w:rtl w:val="true"/>
        </w:rPr>
        <w:t>מותר</w:t>
      </w:r>
      <w:r>
        <w:rPr>
          <w:rtl w:val="true"/>
        </w:rPr>
        <w:t>.</w:t>
      </w:r>
    </w:p>
  </w:footnote>
  <w:footnote w:id="51">
    <w:p>
      <w:pPr>
        <w:pStyle w:val="Footnote"/>
        <w:spacing w:before="58" w:after="58"/>
        <w:rPr>
          <w:b/>
          <w:b/>
          <w:bCs/>
        </w:rPr>
      </w:pPr>
      <w:r>
        <w:rPr>
          <w:rStyle w:val="FootnoteCharacters"/>
        </w:rPr>
        <w:t xml:space="preserve"> </w:t>
      </w:r>
      <w:r>
        <w:rPr>
          <w:b/>
          <w:b/>
          <w:bCs/>
          <w:rtl w:val="true"/>
        </w:rPr>
        <w:tab/>
        <w:t>משנה ה</w:t>
      </w:r>
    </w:p>
  </w:footnote>
  <w:footnote w:id="52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 xml:space="preserve">.) </w:t>
      </w:r>
      <w:r>
        <w:rPr>
          <w:rtl w:val="true"/>
        </w:rPr>
        <w:t>שזה אף אם לא פותח</w:t>
      </w:r>
      <w:r>
        <w:rPr>
          <w:rtl w:val="true"/>
        </w:rPr>
        <w:t xml:space="preserve">, </w:t>
      </w:r>
      <w:r>
        <w:rPr>
          <w:rtl w:val="true"/>
        </w:rPr>
        <w:t>אלא שכבר פתח</w:t>
      </w:r>
      <w:r>
        <w:rPr>
          <w:rtl w:val="true"/>
        </w:rPr>
        <w:t xml:space="preserve">, </w:t>
      </w:r>
      <w:r>
        <w:rPr>
          <w:rtl w:val="true"/>
        </w:rPr>
        <w:t>אם אין לו אבנים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כן מוכח מן המשנה</w:t>
      </w:r>
      <w:r>
        <w:rPr>
          <w:rtl w:val="true"/>
        </w:rPr>
        <w:t xml:space="preserve">, </w:t>
      </w:r>
      <w:r>
        <w:rPr>
          <w:rtl w:val="true"/>
        </w:rPr>
        <w:t>שהרי מתיר רק אם יש פא’ אבנים</w:t>
      </w:r>
      <w:r>
        <w:rPr>
          <w:rtl w:val="true"/>
        </w:rPr>
        <w:t xml:space="preserve">. </w:t>
      </w:r>
      <w:r>
        <w:rPr>
          <w:rtl w:val="true"/>
        </w:rPr>
        <w:t>אם אין שם</w:t>
      </w:r>
      <w:r>
        <w:rPr>
          <w:rtl w:val="true"/>
        </w:rPr>
        <w:t xml:space="preserve">, </w:t>
      </w:r>
      <w:r>
        <w:rPr>
          <w:rtl w:val="true"/>
        </w:rPr>
        <w:t>צריך לומר שכבר התחיל</w:t>
      </w:r>
      <w:r>
        <w:rPr>
          <w:rtl w:val="true"/>
        </w:rPr>
        <w:t xml:space="preserve">, </w:t>
      </w:r>
      <w:r>
        <w:rPr>
          <w:rtl w:val="true"/>
        </w:rPr>
        <w:t>שיש אבנים</w:t>
      </w:r>
      <w:r>
        <w:rPr>
          <w:rtl w:val="true"/>
        </w:rPr>
        <w:t xml:space="preserve">, </w:t>
      </w:r>
      <w:r>
        <w:rPr>
          <w:rtl w:val="true"/>
        </w:rPr>
        <w:t>אבל עדיין אסור</w:t>
      </w:r>
      <w:r>
        <w:rPr>
          <w:rtl w:val="true"/>
        </w:rPr>
        <w:t>.</w:t>
      </w:r>
    </w:p>
  </w:footnote>
  <w:footnote w:id="53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מחצב הוא מקום שחוצבים ממנו אבנים</w:t>
      </w:r>
      <w:r>
        <w:rPr>
          <w:rtl w:val="true"/>
        </w:rPr>
        <w:t xml:space="preserve">. </w:t>
      </w:r>
      <w:r>
        <w:rPr>
          <w:rtl w:val="true"/>
        </w:rPr>
        <w:t>פתיחת מחצב הוא כשאדם מתחיל לחצוב משם</w:t>
      </w:r>
      <w:r>
        <w:rPr>
          <w:rtl w:val="true"/>
        </w:rPr>
        <w:t>.</w:t>
      </w:r>
    </w:p>
  </w:footnote>
  <w:footnote w:id="54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איסור זה הוא מפני מראית עין</w:t>
      </w:r>
      <w:r>
        <w:rPr>
          <w:rtl w:val="true"/>
        </w:rPr>
        <w:t xml:space="preserve">, </w:t>
      </w:r>
      <w:r>
        <w:rPr>
          <w:rtl w:val="true"/>
        </w:rPr>
        <w:t xml:space="preserve">שנראה שמוציא משם כדי לתקן את שדהו </w:t>
      </w:r>
      <w:r>
        <w:rPr>
          <w:rtl w:val="true"/>
        </w:rPr>
        <w:t>(</w:t>
      </w:r>
      <w:r>
        <w:rPr>
          <w:rtl w:val="true"/>
        </w:rPr>
        <w:t>שלא יהיו בו אבנים</w:t>
      </w:r>
      <w:r>
        <w:rPr>
          <w:rtl w:val="true"/>
        </w:rPr>
        <w:t xml:space="preserve">).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הבעיה בתיקון זה הוא שמוכיח שכוונתו לזרוע</w:t>
      </w:r>
      <w:r>
        <w:rPr>
          <w:rtl w:val="true"/>
        </w:rPr>
        <w:t>.</w:t>
      </w:r>
    </w:p>
  </w:footnote>
  <w:footnote w:id="55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 שלש תלים</w:t>
      </w:r>
      <w:r>
        <w:rPr>
          <w:rtl w:val="true"/>
        </w:rPr>
        <w:t>.</w:t>
      </w:r>
    </w:p>
  </w:footnote>
  <w:footnote w:id="56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פני משה מבאר שכל אחד הוא שלש על שלש ברום שלש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לכל אחד</w:t>
      </w:r>
      <w:r>
        <w:rPr>
          <w:rtl w:val="true"/>
        </w:rPr>
        <w:t xml:space="preserve">, </w:t>
      </w:r>
      <w:r>
        <w:rPr>
          <w:rtl w:val="true"/>
        </w:rPr>
        <w:t>יש עשרים ושבע אבנים</w:t>
      </w:r>
      <w:r>
        <w:rPr>
          <w:rtl w:val="true"/>
        </w:rPr>
        <w:t>.</w:t>
      </w:r>
    </w:p>
  </w:footnote>
  <w:footnote w:id="57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לדון אם השלש מרביות מעכב </w:t>
      </w:r>
      <w:r>
        <w:rPr>
          <w:rtl w:val="true"/>
        </w:rPr>
        <w:t>(</w:t>
      </w:r>
      <w:r>
        <w:rPr>
          <w:rtl w:val="true"/>
        </w:rPr>
        <w:t>וצריך להיות אותם עשרים ושבע מסודרים כך</w:t>
      </w:r>
      <w:r>
        <w:rPr>
          <w:rtl w:val="true"/>
        </w:rPr>
        <w:t xml:space="preserve">) </w:t>
      </w:r>
      <w:r>
        <w:rPr>
          <w:rtl w:val="true"/>
        </w:rPr>
        <w:t xml:space="preserve">או לא </w:t>
      </w:r>
      <w:r>
        <w:rPr>
          <w:rtl w:val="true"/>
        </w:rPr>
        <w:t>(</w:t>
      </w:r>
      <w:r>
        <w:rPr>
          <w:rtl w:val="true"/>
        </w:rPr>
        <w:t>ומשנה רק מזכיר אותם לדרך להזכיר כמה צריכים</w:t>
      </w:r>
      <w:r>
        <w:rPr>
          <w:rtl w:val="true"/>
        </w:rPr>
        <w:t xml:space="preserve">, </w:t>
      </w:r>
      <w:r>
        <w:rPr>
          <w:rtl w:val="true"/>
        </w:rPr>
        <w:t>שכך היו מסודרים</w:t>
      </w:r>
      <w:r>
        <w:rPr>
          <w:rtl w:val="true"/>
        </w:rPr>
        <w:t xml:space="preserve">). </w:t>
      </w:r>
      <w:r>
        <w:rPr>
          <w:rtl w:val="true"/>
        </w:rPr>
        <w:t>נראה כצד ראשון</w:t>
      </w:r>
      <w:r>
        <w:rPr>
          <w:rtl w:val="true"/>
        </w:rPr>
        <w:t xml:space="preserve">, </w:t>
      </w:r>
      <w:r>
        <w:rPr>
          <w:rtl w:val="true"/>
        </w:rPr>
        <w:t>שאי לאו הכי</w:t>
      </w:r>
      <w:r>
        <w:rPr>
          <w:rtl w:val="true"/>
        </w:rPr>
        <w:t xml:space="preserve">, </w:t>
      </w:r>
      <w:r>
        <w:rPr>
          <w:rtl w:val="true"/>
        </w:rPr>
        <w:t>היה לו רק לומר עשרים ושבע</w:t>
      </w:r>
      <w:r>
        <w:rPr>
          <w:rtl w:val="true"/>
        </w:rPr>
        <w:t>.</w:t>
      </w:r>
    </w:p>
    <w:p>
      <w:pPr>
        <w:pStyle w:val="Footnote"/>
        <w:spacing w:before="58" w:after="58"/>
        <w:rPr/>
      </w:pPr>
      <w:r>
        <w:rPr>
          <w:rtl w:val="true"/>
        </w:rPr>
        <w:tab/>
      </w:r>
      <w:r>
        <w:rPr>
          <w:rtl w:val="true"/>
        </w:rPr>
        <w:t xml:space="preserve">גם יש לדון אם צריך להיות שאלו היו לו מתחילה </w:t>
      </w:r>
      <w:r>
        <w:rPr>
          <w:rtl w:val="true"/>
        </w:rPr>
        <w:t>(</w:t>
      </w:r>
      <w:r>
        <w:rPr>
          <w:rtl w:val="true"/>
        </w:rPr>
        <w:t>יש לדון בשיעורו</w:t>
      </w:r>
      <w:r>
        <w:rPr>
          <w:rtl w:val="true"/>
        </w:rPr>
        <w:t xml:space="preserve">), </w:t>
      </w:r>
      <w:r>
        <w:rPr>
          <w:rtl w:val="true"/>
        </w:rPr>
        <w:t>ושוב מחצב</w:t>
      </w:r>
      <w:r>
        <w:rPr>
          <w:rtl w:val="true"/>
        </w:rPr>
        <w:t xml:space="preserve">, </w:t>
      </w:r>
      <w:r>
        <w:rPr>
          <w:rtl w:val="true"/>
        </w:rPr>
        <w:t>או אם יכול אדם לעשות אלו ומיד לחצב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8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 xml:space="preserve">:) </w:t>
      </w:r>
      <w:r>
        <w:rPr>
          <w:rtl w:val="true"/>
        </w:rPr>
        <w:t>מביא מחלקת בציור של משנה</w:t>
      </w:r>
      <w:r>
        <w:rPr>
          <w:rtl w:val="true"/>
        </w:rPr>
        <w:t xml:space="preserve">. </w:t>
      </w:r>
      <w:r>
        <w:rPr>
          <w:rtl w:val="true"/>
        </w:rPr>
        <w:t>רבי יהודה אומר שמשנה שלנו הוא בסתם אדם</w:t>
      </w:r>
      <w:r>
        <w:rPr>
          <w:rtl w:val="true"/>
        </w:rPr>
        <w:t xml:space="preserve">, </w:t>
      </w:r>
      <w:r>
        <w:rPr>
          <w:rtl w:val="true"/>
        </w:rPr>
        <w:t xml:space="preserve">אבל אם נראה שלא מתקן שדהו </w:t>
      </w:r>
      <w:r>
        <w:rPr>
          <w:rtl w:val="true"/>
        </w:rPr>
        <w:t>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אין דרך שלו לתקן שדה שלו</w:t>
      </w:r>
      <w:r>
        <w:rPr>
          <w:rtl w:val="true"/>
        </w:rPr>
        <w:t xml:space="preserve">), </w:t>
      </w:r>
      <w:r>
        <w:rPr>
          <w:rtl w:val="true"/>
        </w:rPr>
        <w:t>אז מותר אף בלי זה</w:t>
      </w:r>
      <w:r>
        <w:rPr>
          <w:rtl w:val="true"/>
        </w:rPr>
        <w:t xml:space="preserve">. </w:t>
      </w:r>
      <w:r>
        <w:rPr>
          <w:rtl w:val="true"/>
        </w:rPr>
        <w:t>רשב</w:t>
      </w:r>
      <w:r>
        <w:rPr>
          <w:rtl w:val="true"/>
        </w:rPr>
        <w:t>"</w:t>
      </w:r>
      <w:r>
        <w:rPr>
          <w:rtl w:val="true"/>
        </w:rPr>
        <w:t>ג סובר שמשנה הוא רק במי שלא נראה שמתקן שדהו</w:t>
      </w:r>
      <w:r>
        <w:rPr>
          <w:rtl w:val="true"/>
        </w:rPr>
        <w:t xml:space="preserve">, </w:t>
      </w:r>
      <w:r>
        <w:rPr>
          <w:rtl w:val="true"/>
        </w:rPr>
        <w:t>אבל באדם סתם</w:t>
      </w:r>
      <w:r>
        <w:rPr>
          <w:rtl w:val="true"/>
        </w:rPr>
        <w:t xml:space="preserve">, </w:t>
      </w:r>
      <w:r>
        <w:rPr>
          <w:rtl w:val="true"/>
        </w:rPr>
        <w:t>אף בכעין משנה שלנו</w:t>
      </w:r>
      <w:r>
        <w:rPr>
          <w:rtl w:val="true"/>
        </w:rPr>
        <w:t xml:space="preserve">, </w:t>
      </w:r>
      <w:r>
        <w:rPr>
          <w:rtl w:val="true"/>
        </w:rPr>
        <w:t>אסור</w:t>
      </w:r>
      <w:r>
        <w:rPr>
          <w:rtl w:val="true"/>
        </w:rPr>
        <w:t>.</w:t>
      </w:r>
    </w:p>
  </w:footnote>
  <w:footnote w:id="59">
    <w:p>
      <w:pPr>
        <w:pStyle w:val="Footnote"/>
        <w:spacing w:before="58" w:after="58"/>
        <w:rPr>
          <w:b/>
          <w:b/>
          <w:bCs/>
        </w:rPr>
      </w:pPr>
      <w:r>
        <w:rPr>
          <w:rStyle w:val="FootnoteCharacters"/>
        </w:rPr>
        <w:t xml:space="preserve"> </w:t>
      </w:r>
      <w:r>
        <w:rPr>
          <w:b/>
          <w:b/>
          <w:bCs/>
          <w:rtl w:val="true"/>
        </w:rPr>
        <w:tab/>
        <w:t>משנה ו</w:t>
      </w:r>
    </w:p>
  </w:footnote>
  <w:footnote w:id="60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לקמן</w:t>
      </w:r>
      <w:r>
        <w:rPr>
          <w:rtl w:val="true"/>
        </w:rPr>
        <w:t xml:space="preserve">, </w:t>
      </w:r>
      <w:r>
        <w:rPr>
          <w:rtl w:val="true"/>
        </w:rPr>
        <w:t>שאין זה השיעור לנטילת אבנים מאת שדה שלו</w:t>
      </w:r>
      <w:r>
        <w:rPr>
          <w:rtl w:val="true"/>
        </w:rPr>
        <w:t xml:space="preserve">. </w:t>
      </w:r>
      <w:r>
        <w:rPr>
          <w:rtl w:val="true"/>
        </w:rPr>
        <w:t>נראה שאולי החילוק הוא שלא היה</w:t>
      </w:r>
      <w:r>
        <w:rPr>
          <w:rtl w:val="true"/>
        </w:rPr>
        <w:t xml:space="preserve">, </w:t>
      </w:r>
      <w:r>
        <w:rPr>
          <w:rtl w:val="true"/>
        </w:rPr>
        <w:t>בדר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אדם סותר גדר כדי לבנות</w:t>
      </w:r>
      <w:r>
        <w:rPr>
          <w:rtl w:val="true"/>
        </w:rPr>
        <w:t xml:space="preserve">, </w:t>
      </w:r>
      <w:r>
        <w:rPr>
          <w:rtl w:val="true"/>
        </w:rPr>
        <w:t>ורק היה סותר גדר כדי לזרוע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>.</w:t>
      </w:r>
    </w:p>
  </w:footnote>
  <w:footnote w:id="61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כל אחד הוא של משאוי של שני בני אדם</w:t>
      </w:r>
      <w:r>
        <w:rPr>
          <w:rtl w:val="true"/>
        </w:rPr>
        <w:t>.</w:t>
      </w:r>
    </w:p>
  </w:footnote>
  <w:footnote w:id="62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 xml:space="preserve">מותר ליטול את כל האבנים </w:t>
      </w:r>
      <w:r>
        <w:rPr>
          <w:rtl w:val="true"/>
        </w:rPr>
        <w:t>(</w:t>
      </w:r>
      <w:r>
        <w:rPr>
          <w:rtl w:val="true"/>
        </w:rPr>
        <w:t>ואף הקטנים מאלו</w:t>
      </w:r>
      <w:r>
        <w:rPr>
          <w:rtl w:val="true"/>
        </w:rPr>
        <w:t xml:space="preserve">; </w:t>
      </w:r>
      <w:r>
        <w:rPr>
          <w:rtl w:val="true"/>
        </w:rPr>
        <w:t>פ</w:t>
      </w:r>
      <w:r>
        <w:rPr>
          <w:rtl w:val="true"/>
        </w:rPr>
        <w:t>"</w:t>
      </w:r>
      <w:r>
        <w:rPr>
          <w:rtl w:val="true"/>
        </w:rPr>
        <w:t>מ כ’ ש</w:t>
      </w:r>
      <w:r>
        <w:rPr>
          <w:rtl w:val="true"/>
        </w:rPr>
        <w:t>"</w:t>
      </w:r>
      <w:r>
        <w:rPr>
          <w:rtl w:val="true"/>
        </w:rPr>
        <w:t>מתוך שהותרו אלו</w:t>
      </w:r>
      <w:r>
        <w:rPr>
          <w:rtl w:val="true"/>
        </w:rPr>
        <w:t xml:space="preserve">, </w:t>
      </w:r>
      <w:r>
        <w:rPr>
          <w:rtl w:val="true"/>
        </w:rPr>
        <w:t>הותרו כל האבנים</w:t>
      </w:r>
      <w:r>
        <w:rPr>
          <w:rtl w:val="true"/>
        </w:rPr>
        <w:t>).</w:t>
      </w:r>
    </w:p>
  </w:footnote>
  <w:footnote w:id="63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בלי זה</w:t>
      </w:r>
      <w:r>
        <w:rPr>
          <w:rtl w:val="true"/>
        </w:rPr>
        <w:t xml:space="preserve">, </w:t>
      </w:r>
      <w:r>
        <w:rPr>
          <w:rtl w:val="true"/>
        </w:rPr>
        <w:t>לא ינטלו</w:t>
      </w:r>
      <w:r>
        <w:rPr>
          <w:rtl w:val="true"/>
        </w:rPr>
        <w:t xml:space="preserve">, </w:t>
      </w:r>
      <w:r>
        <w:rPr>
          <w:rtl w:val="true"/>
        </w:rPr>
        <w:t>מאותו טעם של משנה הקודם</w:t>
      </w:r>
      <w:r>
        <w:rPr>
          <w:rtl w:val="true"/>
        </w:rPr>
        <w:t xml:space="preserve">. </w:t>
      </w:r>
      <w:r>
        <w:rPr>
          <w:rtl w:val="true"/>
        </w:rPr>
        <w:t>במשנה זה גם כן חלקו רבי יהודה ורשב</w:t>
      </w:r>
      <w:r>
        <w:rPr>
          <w:rtl w:val="true"/>
        </w:rPr>
        <w:t>"</w:t>
      </w:r>
      <w:r>
        <w:rPr>
          <w:rtl w:val="true"/>
        </w:rPr>
        <w:t>ג אם משנה שלנו רק בסתם אדם או רק במי שלא נראה כמקתן</w:t>
      </w:r>
      <w:r>
        <w:rPr>
          <w:rtl w:val="true"/>
        </w:rPr>
        <w:t>.</w:t>
      </w:r>
    </w:p>
  </w:footnote>
  <w:footnote w:id="64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 עד שנשאר טפח סמוך לקרקע</w:t>
      </w:r>
      <w:r>
        <w:rPr>
          <w:rtl w:val="true"/>
        </w:rPr>
        <w:t xml:space="preserve">, </w:t>
      </w:r>
      <w:r>
        <w:rPr>
          <w:rtl w:val="true"/>
        </w:rPr>
        <w:t>אבל לא יעשה שמה שנשאר בארץ הוא פחות מטפח</w:t>
      </w:r>
      <w:r>
        <w:rPr>
          <w:rtl w:val="true"/>
        </w:rPr>
        <w:t>. (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כ פ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>)</w:t>
      </w:r>
    </w:p>
  </w:footnote>
  <w:footnote w:id="65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שלא נראה כמתקן</w:t>
      </w:r>
      <w:r>
        <w:rPr>
          <w:rtl w:val="true"/>
        </w:rPr>
        <w:t xml:space="preserve">, </w:t>
      </w:r>
      <w:r>
        <w:rPr>
          <w:rtl w:val="true"/>
        </w:rPr>
        <w:t>כיון שאינו שלו</w:t>
      </w:r>
      <w:r>
        <w:rPr>
          <w:rtl w:val="true"/>
        </w:rPr>
        <w:t>.</w:t>
      </w:r>
    </w:p>
  </w:footnote>
  <w:footnote w:id="66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קטע זה אינו מבואר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מה שיוכיח לנו ביאור שלו הוא הקושיה שיש להקשות ממה שאומר גמרא שריקה אסור</w:t>
      </w:r>
      <w:r>
        <w:rPr>
          <w:rtl w:val="true"/>
        </w:rPr>
        <w:t xml:space="preserve">, </w:t>
      </w:r>
      <w:r>
        <w:rPr>
          <w:rtl w:val="true"/>
        </w:rPr>
        <w:t>ומפרש פני משה שכבר פתחו לפני שביעית</w:t>
      </w:r>
      <w:r>
        <w:rPr>
          <w:rtl w:val="true"/>
        </w:rPr>
        <w:t xml:space="preserve">, </w:t>
      </w:r>
      <w:r>
        <w:rPr>
          <w:rtl w:val="true"/>
        </w:rPr>
        <w:t>אבל לא נשאר משם אבנים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שני דינים אלו סותרים זה את זה</w:t>
      </w:r>
      <w:r>
        <w:rPr>
          <w:rtl w:val="true"/>
        </w:rPr>
        <w:t xml:space="preserve">. </w:t>
      </w:r>
      <w:r>
        <w:rPr>
          <w:rtl w:val="true"/>
        </w:rPr>
        <w:t>נראה שיש שלש חילוקים שיכולים לומר</w:t>
      </w:r>
      <w:r>
        <w:rPr>
          <w:rtl w:val="true"/>
        </w:rPr>
        <w:t>:</w:t>
      </w:r>
    </w:p>
    <w:p>
      <w:pPr>
        <w:pStyle w:val="Footnote"/>
        <w:numPr>
          <w:ilvl w:val="0"/>
          <w:numId w:val="6"/>
        </w:numPr>
        <w:rPr/>
      </w:pPr>
      <w:r>
        <w:rPr>
          <w:rtl w:val="true"/>
        </w:rPr>
        <w:t>אולי יש לחלק בין מחצב לגדר</w:t>
      </w:r>
      <w:r>
        <w:rPr>
          <w:rtl w:val="true"/>
        </w:rPr>
        <w:t xml:space="preserve">. </w:t>
      </w:r>
      <w:r>
        <w:rPr>
          <w:rtl w:val="true"/>
        </w:rPr>
        <w:t>אולי אותו דין הוא רק במחצב</w:t>
      </w:r>
      <w:r>
        <w:rPr>
          <w:rtl w:val="true"/>
        </w:rPr>
        <w:t xml:space="preserve">, </w:t>
      </w:r>
      <w:r>
        <w:rPr>
          <w:rtl w:val="true"/>
        </w:rPr>
        <w:t>ודין זה הוא רק בגדר</w:t>
      </w:r>
      <w:r>
        <w:rPr>
          <w:rtl w:val="true"/>
        </w:rPr>
        <w:t>.</w:t>
      </w:r>
    </w:p>
    <w:p>
      <w:pPr>
        <w:pStyle w:val="Footnote"/>
        <w:numPr>
          <w:ilvl w:val="0"/>
          <w:numId w:val="6"/>
        </w:numPr>
        <w:rPr/>
      </w:pPr>
      <w:r>
        <w:rPr>
          <w:rtl w:val="true"/>
        </w:rPr>
        <w:t>אולי יש לחלק בין אם היה נוטל ממנו כל זמן לאם הפסיק באמצע</w:t>
      </w:r>
      <w:r>
        <w:rPr>
          <w:rtl w:val="true"/>
        </w:rPr>
        <w:t xml:space="preserve">. </w:t>
      </w:r>
      <w:r>
        <w:rPr>
          <w:rtl w:val="true"/>
        </w:rPr>
        <w:t>ויש לדון מהו השיעור של ההפסק</w:t>
      </w:r>
      <w:r>
        <w:rPr>
          <w:rtl w:val="true"/>
        </w:rPr>
        <w:t>.</w:t>
      </w:r>
    </w:p>
    <w:p>
      <w:pPr>
        <w:pStyle w:val="Footnote"/>
        <w:numPr>
          <w:ilvl w:val="0"/>
          <w:numId w:val="6"/>
        </w:numPr>
        <w:spacing w:before="58" w:after="58"/>
        <w:rPr/>
      </w:pPr>
      <w:r>
        <w:rPr>
          <w:rtl w:val="true"/>
        </w:rPr>
        <w:t>אולי שם אין אבנים נשארים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יודעים שכבר התחילו</w:t>
      </w:r>
      <w:r>
        <w:rPr>
          <w:rtl w:val="true"/>
        </w:rPr>
        <w:t xml:space="preserve">. </w:t>
      </w:r>
      <w:r>
        <w:rPr>
          <w:rtl w:val="true"/>
        </w:rPr>
        <w:t>אבל בגדר</w:t>
      </w:r>
      <w:r>
        <w:rPr>
          <w:rtl w:val="true"/>
        </w:rPr>
        <w:t xml:space="preserve">, </w:t>
      </w:r>
      <w:r>
        <w:rPr>
          <w:rtl w:val="true"/>
        </w:rPr>
        <w:t>אם התחילו</w:t>
      </w:r>
      <w:r>
        <w:rPr>
          <w:rtl w:val="true"/>
        </w:rPr>
        <w:t xml:space="preserve">, </w:t>
      </w:r>
      <w:r>
        <w:rPr>
          <w:rtl w:val="true"/>
        </w:rPr>
        <w:t>ידוע הוא</w:t>
      </w:r>
      <w:r>
        <w:rPr>
          <w:rtl w:val="true"/>
        </w:rPr>
        <w:t xml:space="preserve">. </w:t>
      </w:r>
    </w:p>
  </w:footnote>
  <w:footnote w:id="67">
    <w:p>
      <w:pPr>
        <w:pStyle w:val="Footnote"/>
        <w:spacing w:before="58" w:after="58"/>
        <w:rPr>
          <w:b/>
          <w:b/>
          <w:bCs/>
        </w:rPr>
      </w:pPr>
      <w:r>
        <w:rPr>
          <w:rStyle w:val="FootnoteCharacters"/>
        </w:rPr>
        <w:t xml:space="preserve"> </w:t>
      </w:r>
      <w:r>
        <w:rPr>
          <w:b/>
          <w:b/>
          <w:bCs/>
          <w:rtl w:val="true"/>
        </w:rPr>
        <w:tab/>
        <w:t>משנה ז</w:t>
      </w:r>
    </w:p>
  </w:footnote>
  <w:footnote w:id="68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 xml:space="preserve">:) </w:t>
      </w:r>
      <w:r>
        <w:rPr>
          <w:rtl w:val="true"/>
        </w:rPr>
        <w:t>מבאר שלא צריכים שממש זעזעתם</w:t>
      </w:r>
      <w:r>
        <w:rPr>
          <w:rtl w:val="true"/>
        </w:rPr>
        <w:t xml:space="preserve">, </w:t>
      </w:r>
      <w:r>
        <w:rPr>
          <w:rtl w:val="true"/>
        </w:rPr>
        <w:t>אלא זה שיעור בעומקם</w:t>
      </w:r>
      <w:r>
        <w:rPr>
          <w:rtl w:val="true"/>
        </w:rPr>
        <w:t xml:space="preserve">, </w:t>
      </w:r>
      <w:r>
        <w:rPr>
          <w:rtl w:val="true"/>
        </w:rPr>
        <w:t>שצריכים להיות בעומד שיזעזע אותם המחרישה</w:t>
      </w:r>
      <w:r>
        <w:rPr>
          <w:rtl w:val="true"/>
        </w:rPr>
        <w:t xml:space="preserve">. </w:t>
      </w:r>
      <w:r>
        <w:rPr>
          <w:rtl w:val="true"/>
        </w:rPr>
        <w:t>הראיה לזה הוא שאבנים גדולים כאלו בוודאי לא יזעזו</w:t>
      </w:r>
      <w:r>
        <w:rPr>
          <w:rtl w:val="true"/>
        </w:rPr>
        <w:t>. (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ב מה בכלל שיעור זה</w:t>
      </w:r>
      <w:r>
        <w:rPr>
          <w:rtl w:val="true"/>
        </w:rPr>
        <w:t xml:space="preserve">, </w:t>
      </w:r>
      <w:r>
        <w:rPr>
          <w:rtl w:val="true"/>
        </w:rPr>
        <w:t>אם הולכים אחר עומקם או אם הולכים בתר איזה פרסנ</w:t>
      </w:r>
      <w:r>
        <w:rPr>
          <w:rtl w:val="true"/>
        </w:rPr>
        <w:t>"</w:t>
      </w:r>
      <w:r>
        <w:rPr>
          <w:rtl w:val="true"/>
        </w:rPr>
        <w:t>ט הם הוא בקרקע</w:t>
      </w:r>
      <w:r>
        <w:rPr>
          <w:rtl w:val="true"/>
        </w:rPr>
        <w:t>.)</w:t>
      </w:r>
    </w:p>
  </w:footnote>
  <w:footnote w:id="69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בא לחדש שאף שיותר הם כחלק מן השדה</w:t>
      </w:r>
      <w:r>
        <w:rPr>
          <w:rtl w:val="true"/>
        </w:rPr>
        <w:t xml:space="preserve">, </w:t>
      </w:r>
      <w:r>
        <w:rPr>
          <w:rtl w:val="true"/>
        </w:rPr>
        <w:t>היו מתחילה מכוסות</w:t>
      </w:r>
      <w:r>
        <w:rPr>
          <w:rtl w:val="true"/>
        </w:rPr>
        <w:t xml:space="preserve">, </w:t>
      </w:r>
      <w:r>
        <w:rPr>
          <w:rtl w:val="true"/>
        </w:rPr>
        <w:t>ולא היו נתזעזים</w:t>
      </w:r>
      <w:r>
        <w:rPr>
          <w:rtl w:val="true"/>
        </w:rPr>
        <w:t xml:space="preserve">, </w:t>
      </w:r>
      <w:r>
        <w:rPr>
          <w:rtl w:val="true"/>
        </w:rPr>
        <w:t>כיון שעכשיו הם רק בעומק שיזעזו</w:t>
      </w:r>
      <w:r>
        <w:rPr>
          <w:rtl w:val="true"/>
        </w:rPr>
        <w:t xml:space="preserve">, </w:t>
      </w:r>
      <w:r>
        <w:rPr>
          <w:rtl w:val="true"/>
        </w:rPr>
        <w:t>מותר להוציא אותם</w:t>
      </w:r>
      <w:r>
        <w:rPr>
          <w:rtl w:val="true"/>
        </w:rPr>
        <w:t>.</w:t>
      </w:r>
    </w:p>
  </w:footnote>
  <w:footnote w:id="70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כ</w:t>
      </w:r>
      <w:r>
        <w:rPr>
          <w:rtl w:val="true"/>
        </w:rPr>
        <w:t>"</w:t>
      </w:r>
      <w:r>
        <w:rPr>
          <w:rtl w:val="true"/>
        </w:rPr>
        <w:t>א הוא משאוי של שני בני אדם</w:t>
      </w:r>
      <w:r>
        <w:rPr>
          <w:rtl w:val="true"/>
        </w:rPr>
        <w:t>.</w:t>
      </w:r>
    </w:p>
  </w:footnote>
  <w:footnote w:id="71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יודע אם רק אלו מותר להוציאם או שאז מותר להוציא את הכל</w:t>
      </w:r>
      <w:r>
        <w:rPr>
          <w:rtl w:val="true"/>
        </w:rPr>
        <w:t xml:space="preserve">. </w:t>
      </w:r>
      <w:r>
        <w:rPr>
          <w:rtl w:val="true"/>
        </w:rPr>
        <w:t>לשונו משמע שרק שנים אלו מותרים</w:t>
      </w:r>
      <w:r>
        <w:rPr>
          <w:rtl w:val="true"/>
        </w:rPr>
        <w:t>.</w:t>
      </w:r>
    </w:p>
  </w:footnote>
  <w:footnote w:id="72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אם אינו כשיעור זה</w:t>
      </w:r>
      <w:r>
        <w:rPr>
          <w:rtl w:val="true"/>
        </w:rPr>
        <w:t xml:space="preserve">, </w:t>
      </w:r>
      <w:r>
        <w:rPr>
          <w:rtl w:val="true"/>
        </w:rPr>
        <w:t>אז רק יכול להוציא מה שאינו נוגע בקרקע</w:t>
      </w:r>
      <w:r>
        <w:rPr>
          <w:rtl w:val="true"/>
        </w:rPr>
        <w:t>.</w:t>
      </w:r>
    </w:p>
  </w:footnote>
  <w:footnote w:id="73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שווה לאבנים</w:t>
      </w:r>
      <w:r>
        <w:rPr>
          <w:rtl w:val="true"/>
        </w:rPr>
        <w:t xml:space="preserve">, </w:t>
      </w:r>
      <w:r>
        <w:rPr>
          <w:rtl w:val="true"/>
        </w:rPr>
        <w:t>אלא הם יותר קטנים</w:t>
      </w:r>
      <w:r>
        <w:rPr>
          <w:rtl w:val="true"/>
        </w:rPr>
        <w:t>.</w:t>
      </w:r>
    </w:p>
  </w:footnote>
  <w:footnote w:id="74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ואז לא נוגעים בארץ שרוי להיזרע</w:t>
      </w:r>
      <w:r>
        <w:rPr>
          <w:rtl w:val="true"/>
        </w:rPr>
        <w:t>.</w:t>
      </w:r>
    </w:p>
  </w:footnote>
  <w:footnote w:id="75">
    <w:p>
      <w:pPr>
        <w:pStyle w:val="Footnote"/>
        <w:spacing w:before="58" w:after="58"/>
        <w:rPr>
          <w:b/>
          <w:b/>
          <w:bCs/>
        </w:rPr>
      </w:pPr>
      <w:r>
        <w:rPr>
          <w:rStyle w:val="FootnoteCharacters"/>
        </w:rPr>
        <w:t xml:space="preserve"> </w:t>
      </w:r>
      <w:r>
        <w:rPr>
          <w:b/>
          <w:b/>
          <w:bCs/>
          <w:rtl w:val="true"/>
        </w:rPr>
        <w:tab/>
        <w:t>משנה ח</w:t>
      </w:r>
    </w:p>
  </w:footnote>
  <w:footnote w:id="76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לפעמים</w:t>
      </w:r>
      <w:r>
        <w:rPr>
          <w:rtl w:val="true"/>
        </w:rPr>
        <w:t xml:space="preserve">, </w:t>
      </w:r>
      <w:r>
        <w:rPr>
          <w:rtl w:val="true"/>
        </w:rPr>
        <w:t>היו זורעים על הרים</w:t>
      </w:r>
      <w:r>
        <w:rPr>
          <w:rtl w:val="true"/>
        </w:rPr>
        <w:t xml:space="preserve">. </w:t>
      </w:r>
      <w:r>
        <w:rPr>
          <w:rtl w:val="true"/>
        </w:rPr>
        <w:t>כשעשו כן</w:t>
      </w:r>
      <w:r>
        <w:rPr>
          <w:rtl w:val="true"/>
        </w:rPr>
        <w:t xml:space="preserve">, </w:t>
      </w:r>
      <w:r>
        <w:rPr>
          <w:rtl w:val="true"/>
        </w:rPr>
        <w:t>עשו מדרגות כדי שיוכלו לזרוע שם</w:t>
      </w:r>
      <w:r>
        <w:rPr>
          <w:rtl w:val="true"/>
        </w:rPr>
        <w:t xml:space="preserve">. </w:t>
      </w:r>
    </w:p>
  </w:footnote>
  <w:footnote w:id="77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 xml:space="preserve">:, </w:t>
      </w:r>
      <w:r>
        <w:rPr>
          <w:rtl w:val="true"/>
        </w:rPr>
        <w:t>ט</w:t>
      </w:r>
      <w:r>
        <w:rPr>
          <w:rtl w:val="true"/>
        </w:rPr>
        <w:t xml:space="preserve">.) </w:t>
      </w:r>
      <w:r>
        <w:rPr>
          <w:rtl w:val="true"/>
        </w:rPr>
        <w:t>נותן שני ביאורים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7"/>
        </w:numPr>
        <w:rPr/>
      </w:pPr>
      <w:r>
        <w:rPr>
          <w:rtl w:val="true"/>
        </w:rPr>
        <w:t>אסור כיון שהוא מתקן לשביעית</w:t>
      </w:r>
      <w:r>
        <w:rPr>
          <w:rtl w:val="true"/>
        </w:rPr>
        <w:t xml:space="preserve">, </w:t>
      </w:r>
      <w:r>
        <w:rPr>
          <w:rtl w:val="true"/>
        </w:rPr>
        <w:t>והתורה אמרה שלא לתקן לשביעית בערב שביעית</w:t>
      </w:r>
      <w:r>
        <w:rPr>
          <w:rtl w:val="true"/>
        </w:rPr>
        <w:t xml:space="preserve">, </w:t>
      </w:r>
      <w:r>
        <w:rPr>
          <w:rtl w:val="true"/>
        </w:rPr>
        <w:t>שהוא תוספת שביעית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זה רק קודם שבטלו אותו דין</w:t>
      </w:r>
      <w:r>
        <w:rPr>
          <w:rtl w:val="true"/>
        </w:rPr>
        <w:t xml:space="preserve">. </w:t>
      </w:r>
      <w:r>
        <w:rPr>
          <w:rtl w:val="true"/>
        </w:rPr>
        <w:t>מקשה גמ’ שא</w:t>
      </w:r>
      <w:r>
        <w:rPr>
          <w:rtl w:val="true"/>
        </w:rPr>
        <w:t>"</w:t>
      </w:r>
      <w:r>
        <w:rPr>
          <w:rtl w:val="true"/>
        </w:rPr>
        <w:t>כ אף ייאסר לעשות בשביעית לשמינית</w:t>
      </w:r>
      <w:r>
        <w:rPr>
          <w:rtl w:val="true"/>
        </w:rPr>
        <w:t xml:space="preserve">, </w:t>
      </w:r>
      <w:r>
        <w:rPr>
          <w:rtl w:val="true"/>
        </w:rPr>
        <w:t>ומתרץ שרק אסרו דבר שהוא מעשה לשדה</w:t>
      </w:r>
      <w:r>
        <w:rPr>
          <w:rtl w:val="true"/>
        </w:rPr>
        <w:t>. (</w:t>
      </w:r>
      <w:r>
        <w:rPr>
          <w:rtl w:val="true"/>
        </w:rPr>
        <w:t>לא מבאר למה מניחים שאסרו דבר שאינו מעשה בשדה בהכנה לשביעית</w:t>
      </w:r>
      <w:r>
        <w:rPr>
          <w:rtl w:val="true"/>
        </w:rPr>
        <w:t xml:space="preserve">. </w:t>
      </w:r>
      <w:r>
        <w:rPr>
          <w:rtl w:val="true"/>
        </w:rPr>
        <w:t>נראה שמלאכת שביעית צריך להיות בגוף השדה</w:t>
      </w:r>
      <w:r>
        <w:rPr>
          <w:rtl w:val="true"/>
        </w:rPr>
        <w:t xml:space="preserve">. </w:t>
      </w:r>
      <w:r>
        <w:rPr>
          <w:rtl w:val="true"/>
        </w:rPr>
        <w:t>בתוספת קודם</w:t>
      </w:r>
      <w:r>
        <w:rPr>
          <w:rtl w:val="true"/>
        </w:rPr>
        <w:t xml:space="preserve">, </w:t>
      </w:r>
      <w:r>
        <w:rPr>
          <w:rtl w:val="true"/>
        </w:rPr>
        <w:t>הוא לזריעת שביעית</w:t>
      </w:r>
      <w:r>
        <w:rPr>
          <w:rtl w:val="true"/>
        </w:rPr>
        <w:t xml:space="preserve">, </w:t>
      </w:r>
      <w:r>
        <w:rPr>
          <w:rtl w:val="true"/>
        </w:rPr>
        <w:t>וזריעה הוא מלאכה בשדה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בתוספת לאחר כן</w:t>
      </w:r>
      <w:r>
        <w:rPr>
          <w:rtl w:val="true"/>
        </w:rPr>
        <w:t xml:space="preserve">, </w:t>
      </w:r>
      <w:r>
        <w:rPr>
          <w:rtl w:val="true"/>
        </w:rPr>
        <w:t>הוא בנין בשביעית</w:t>
      </w:r>
      <w:r>
        <w:rPr>
          <w:rtl w:val="true"/>
        </w:rPr>
        <w:t xml:space="preserve">, </w:t>
      </w:r>
      <w:r>
        <w:rPr>
          <w:rtl w:val="true"/>
        </w:rPr>
        <w:t>וזה אינו בשדה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Footnote"/>
        <w:numPr>
          <w:ilvl w:val="0"/>
          <w:numId w:val="7"/>
        </w:numPr>
        <w:spacing w:before="58" w:after="58"/>
        <w:rPr/>
      </w:pPr>
      <w:r>
        <w:rPr>
          <w:rtl w:val="true"/>
        </w:rPr>
        <w:t>אסור כיון שמראה שהוא יזרע בשביעית</w:t>
      </w:r>
      <w:r>
        <w:rPr>
          <w:rtl w:val="true"/>
        </w:rPr>
        <w:t xml:space="preserve">, </w:t>
      </w:r>
      <w:r>
        <w:rPr>
          <w:rtl w:val="true"/>
        </w:rPr>
        <w:t>שאל</w:t>
      </w:r>
      <w:r>
        <w:rPr>
          <w:rtl w:val="true"/>
        </w:rPr>
        <w:t>"</w:t>
      </w:r>
      <w:r>
        <w:rPr>
          <w:rtl w:val="true"/>
        </w:rPr>
        <w:t>ה היה שוהה עד זמן יותר קרוב לשמינית</w:t>
      </w:r>
      <w:r>
        <w:rPr>
          <w:rtl w:val="true"/>
        </w:rPr>
        <w:t xml:space="preserve">. </w:t>
      </w:r>
      <w:r>
        <w:rPr>
          <w:rtl w:val="true"/>
        </w:rPr>
        <w:t xml:space="preserve">מקשה גמרא שכיון שלא מניחים שאדם יזרע בשביעית </w:t>
      </w:r>
      <w:r>
        <w:rPr>
          <w:rtl w:val="true"/>
        </w:rPr>
        <w:t>(</w:t>
      </w:r>
      <w:r>
        <w:rPr>
          <w:rtl w:val="true"/>
        </w:rPr>
        <w:t>שהרי מותר לחרוש בתוספת לפני שביעית</w:t>
      </w:r>
      <w:r>
        <w:rPr>
          <w:rtl w:val="true"/>
        </w:rPr>
        <w:t xml:space="preserve">), </w:t>
      </w:r>
      <w:r>
        <w:rPr>
          <w:rtl w:val="true"/>
        </w:rPr>
        <w:t>יהיה מותר לתקן כל שביעית</w:t>
      </w:r>
      <w:r>
        <w:rPr>
          <w:rtl w:val="true"/>
        </w:rPr>
        <w:t xml:space="preserve">, </w:t>
      </w:r>
      <w:r>
        <w:rPr>
          <w:rtl w:val="true"/>
        </w:rPr>
        <w:t>ולא רק לאחר שפסקו גשמים</w:t>
      </w:r>
      <w:r>
        <w:rPr>
          <w:rtl w:val="true"/>
        </w:rPr>
        <w:t>. (</w:t>
      </w:r>
      <w:r>
        <w:rPr>
          <w:rtl w:val="true"/>
        </w:rPr>
        <w:t>לא מבאר למה לא מקשה מזה על איסור תוספת שביעית</w:t>
      </w:r>
      <w:r>
        <w:rPr>
          <w:rtl w:val="true"/>
        </w:rPr>
        <w:t xml:space="preserve">. </w:t>
      </w:r>
      <w:r>
        <w:rPr>
          <w:rtl w:val="true"/>
        </w:rPr>
        <w:t>אולי יש הוכחה שהיה לו לשהות עד יותר קרוב לזנה שמיני רק אם בנה בתוספת שביעית</w:t>
      </w:r>
      <w:r>
        <w:rPr>
          <w:rtl w:val="true"/>
        </w:rPr>
        <w:t xml:space="preserve">, </w:t>
      </w:r>
      <w:r>
        <w:rPr>
          <w:rtl w:val="true"/>
        </w:rPr>
        <w:t>ולא אם הקדימו בשנה שביעית עצמו</w:t>
      </w:r>
      <w:r>
        <w:rPr>
          <w:rtl w:val="true"/>
        </w:rPr>
        <w:t>.)</w:t>
      </w:r>
    </w:p>
  </w:footnote>
  <w:footnote w:id="78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יתקן את עפר השדה שקרוב לו</w:t>
      </w:r>
      <w:r>
        <w:rPr>
          <w:rtl w:val="true"/>
        </w:rPr>
        <w:t>.</w:t>
      </w:r>
    </w:p>
  </w:footnote>
  <w:footnote w:id="79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עושה מחיצה קטנה בינו לשדה</w:t>
      </w:r>
      <w:r>
        <w:rPr>
          <w:rtl w:val="true"/>
        </w:rPr>
        <w:t xml:space="preserve">. </w:t>
      </w:r>
      <w:r>
        <w:rPr>
          <w:rtl w:val="true"/>
        </w:rPr>
        <w:t>יש לדון מהו הדין במחיצה גדולה</w:t>
      </w:r>
      <w:r>
        <w:rPr>
          <w:rtl w:val="true"/>
        </w:rPr>
        <w:t>.</w:t>
      </w:r>
    </w:p>
  </w:footnote>
  <w:footnote w:id="80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כשהוא עומד על המדרגות</w:t>
      </w:r>
      <w:r>
        <w:rPr>
          <w:rtl w:val="true"/>
        </w:rPr>
        <w:t xml:space="preserve">, </w:t>
      </w:r>
      <w:r>
        <w:rPr>
          <w:rtl w:val="true"/>
        </w:rPr>
        <w:t>יכול לשלוח ידו וליטול אבן</w:t>
      </w:r>
      <w:r>
        <w:rPr>
          <w:rtl w:val="true"/>
        </w:rPr>
        <w:t>.</w:t>
      </w:r>
    </w:p>
  </w:footnote>
  <w:footnote w:id="81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מסתמא</w:t>
      </w:r>
      <w:r>
        <w:rPr>
          <w:rtl w:val="true"/>
        </w:rPr>
        <w:t xml:space="preserve">, </w:t>
      </w:r>
      <w:r>
        <w:rPr>
          <w:rtl w:val="true"/>
        </w:rPr>
        <w:t>הוא מפני שאז נראה כתיקון מדרגות</w:t>
      </w:r>
      <w:r>
        <w:rPr>
          <w:rtl w:val="true"/>
        </w:rPr>
        <w:t xml:space="preserve">, </w:t>
      </w:r>
      <w:r>
        <w:rPr>
          <w:rtl w:val="true"/>
        </w:rPr>
        <w:t>ולא כתיקון השדה</w:t>
      </w:r>
      <w:r>
        <w:rPr>
          <w:rtl w:val="true"/>
        </w:rPr>
        <w:t>. (</w:t>
      </w:r>
      <w:r>
        <w:rPr>
          <w:rtl w:val="true"/>
        </w:rPr>
        <w:t>ויש לדון למה</w:t>
      </w:r>
      <w:r>
        <w:rPr>
          <w:rtl w:val="true"/>
        </w:rPr>
        <w:t xml:space="preserve">, </w:t>
      </w:r>
      <w:r>
        <w:rPr>
          <w:rtl w:val="true"/>
        </w:rPr>
        <w:t>שאינו על המדרגה</w:t>
      </w:r>
      <w:r>
        <w:rPr>
          <w:rtl w:val="true"/>
        </w:rPr>
        <w:t xml:space="preserve">, </w:t>
      </w:r>
      <w:r>
        <w:rPr>
          <w:rtl w:val="true"/>
        </w:rPr>
        <w:t>ואז אינו מונע את המדרגה כלל</w:t>
      </w:r>
      <w:r>
        <w:rPr>
          <w:rtl w:val="true"/>
        </w:rPr>
        <w:t>.)</w:t>
      </w:r>
    </w:p>
  </w:footnote>
  <w:footnote w:id="82">
    <w:p>
      <w:pPr>
        <w:pStyle w:val="Footnote"/>
        <w:spacing w:before="58" w:after="58"/>
        <w:rPr>
          <w:b/>
          <w:b/>
          <w:bCs/>
        </w:rPr>
      </w:pPr>
      <w:r>
        <w:rPr>
          <w:rStyle w:val="FootnoteCharacters"/>
        </w:rPr>
        <w:t xml:space="preserve"> </w:t>
      </w:r>
      <w:r>
        <w:rPr>
          <w:b/>
          <w:b/>
          <w:bCs/>
          <w:rtl w:val="true"/>
        </w:rPr>
        <w:tab/>
        <w:t>משנה ט</w:t>
      </w:r>
    </w:p>
  </w:footnote>
  <w:footnote w:id="83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יפרש מה הם</w:t>
      </w:r>
      <w:r>
        <w:rPr>
          <w:rtl w:val="true"/>
        </w:rPr>
        <w:t>.</w:t>
      </w:r>
    </w:p>
  </w:footnote>
  <w:footnote w:id="84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נוטלות אותם מכל שדה</w:t>
      </w:r>
      <w:r>
        <w:rPr>
          <w:rtl w:val="true"/>
        </w:rPr>
        <w:t xml:space="preserve">, </w:t>
      </w:r>
      <w:r>
        <w:rPr>
          <w:rtl w:val="true"/>
        </w:rPr>
        <w:t>ואף שדה שהוא שלו</w:t>
      </w:r>
      <w:r>
        <w:rPr>
          <w:rtl w:val="true"/>
        </w:rPr>
        <w:t>.</w:t>
      </w:r>
    </w:p>
  </w:footnote>
  <w:footnote w:id="85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 יכול ליטול פחותים מן השדה שמקבל</w:t>
      </w:r>
      <w:r>
        <w:rPr>
          <w:rtl w:val="true"/>
        </w:rPr>
        <w:t>.</w:t>
      </w:r>
    </w:p>
  </w:footnote>
  <w:footnote w:id="86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איני יודע למה אין דין זה נגד מה שאומר לעיל </w:t>
      </w:r>
      <w:r>
        <w:rPr>
          <w:rtl w:val="true"/>
        </w:rPr>
        <w:t>(</w:t>
      </w:r>
      <w:r>
        <w:rPr>
          <w:rtl w:val="true"/>
        </w:rPr>
        <w:t>גבי אבנים שיזעזע אותם המחרישה</w:t>
      </w:r>
      <w:r>
        <w:rPr>
          <w:rtl w:val="true"/>
        </w:rPr>
        <w:t xml:space="preserve">). </w:t>
      </w:r>
      <w:r>
        <w:rPr>
          <w:rtl w:val="true"/>
        </w:rPr>
        <w:t>אולי דין זה כשלא נוגעים בארץ</w:t>
      </w:r>
      <w:r>
        <w:rPr>
          <w:rtl w:val="true"/>
        </w:rPr>
        <w:t xml:space="preserve">, </w:t>
      </w:r>
      <w:r>
        <w:rPr>
          <w:rtl w:val="true"/>
        </w:rPr>
        <w:t>וכסיפא שאל אותו משנה</w:t>
      </w:r>
      <w:r>
        <w:rPr>
          <w:rtl w:val="true"/>
        </w:rPr>
        <w:t>.</w:t>
      </w:r>
    </w:p>
  </w:footnote>
  <w:footnote w:id="87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ואז ניטלים על כתף</w:t>
      </w:r>
      <w:r>
        <w:rPr>
          <w:rtl w:val="true"/>
        </w:rPr>
        <w:t>.</w:t>
      </w:r>
    </w:p>
  </w:footnote>
  <w:footnote w:id="88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הבנתי מילים אלו</w:t>
      </w:r>
      <w:r>
        <w:rPr>
          <w:rtl w:val="true"/>
        </w:rPr>
        <w:t xml:space="preserve">, </w:t>
      </w:r>
      <w:r>
        <w:rPr>
          <w:rtl w:val="true"/>
        </w:rPr>
        <w:t>שאף לר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נקראים כן ע</w:t>
      </w:r>
      <w:r>
        <w:rPr>
          <w:rtl w:val="true"/>
        </w:rPr>
        <w:t>"</w:t>
      </w:r>
      <w:r>
        <w:rPr>
          <w:rtl w:val="true"/>
        </w:rPr>
        <w:t>ש כתף</w:t>
      </w:r>
      <w:r>
        <w:rPr>
          <w:rtl w:val="true"/>
        </w:rPr>
        <w:t xml:space="preserve">, </w:t>
      </w:r>
      <w:r>
        <w:rPr>
          <w:rtl w:val="true"/>
        </w:rPr>
        <w:t>שאחת ניטלת על הכתף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ניטלת בשני ידים</w:t>
      </w:r>
      <w:r>
        <w:rPr>
          <w:rtl w:val="true"/>
        </w:rPr>
        <w:t xml:space="preserve">.) </w:t>
      </w:r>
      <w:r>
        <w:rPr>
          <w:rtl w:val="true"/>
        </w:rPr>
        <w:t>גם יש להעיר שלכאורה</w:t>
      </w:r>
      <w:r>
        <w:rPr>
          <w:rtl w:val="true"/>
        </w:rPr>
        <w:t xml:space="preserve">, </w:t>
      </w:r>
      <w:r>
        <w:rPr>
          <w:rtl w:val="true"/>
        </w:rPr>
        <w:t>יש דברים שצריך ארבע עד שניטל בכתף</w:t>
      </w:r>
      <w:r>
        <w:rPr>
          <w:rtl w:val="true"/>
        </w:rPr>
        <w:t xml:space="preserve">, </w:t>
      </w:r>
      <w:r>
        <w:rPr>
          <w:rtl w:val="true"/>
        </w:rPr>
        <w:t>וממעט אותם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כל שהוא בכלל השם</w:t>
      </w:r>
      <w:r>
        <w:rPr>
          <w:rtl w:val="true"/>
        </w:rPr>
        <w:t>.</w:t>
      </w:r>
    </w:p>
  </w:footnote>
  <w:footnote w:id="89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שר</w:t>
      </w:r>
      <w:r>
        <w:rPr>
          <w:rtl w:val="true"/>
        </w:rPr>
        <w:t>"</w:t>
      </w:r>
      <w:r>
        <w:rPr>
          <w:rtl w:val="true"/>
        </w:rPr>
        <w:t>ל שכשיש שיעור זה ניטלים על הכתף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ממעט אלו שצריך יותר להיות ניטלים על הכתף</w:t>
      </w:r>
      <w:r>
        <w:rPr>
          <w:rtl w:val="true"/>
        </w:rPr>
        <w:t>.</w:t>
      </w:r>
    </w:p>
  </w:footnote>
  <w:footnote w:id="90">
    <w:p>
      <w:pPr>
        <w:pStyle w:val="Footnote"/>
        <w:spacing w:before="58" w:after="58"/>
        <w:rPr>
          <w:b/>
          <w:b/>
          <w:bCs/>
        </w:rPr>
      </w:pPr>
      <w:r>
        <w:rPr>
          <w:rStyle w:val="FootnoteCharacters"/>
        </w:rPr>
        <w:t xml:space="preserve"> </w:t>
      </w:r>
      <w:r>
        <w:rPr>
          <w:b/>
          <w:b/>
          <w:bCs/>
          <w:rtl w:val="true"/>
        </w:rPr>
        <w:tab/>
        <w:t>משנה י</w:t>
      </w:r>
    </w:p>
  </w:footnote>
  <w:footnote w:id="91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דווקא בינו לר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שאז יוזק בלי כותל</w:t>
      </w:r>
      <w:r>
        <w:rPr>
          <w:rtl w:val="true"/>
        </w:rPr>
        <w:t xml:space="preserve">. </w:t>
      </w:r>
      <w:r>
        <w:rPr>
          <w:rtl w:val="true"/>
        </w:rPr>
        <w:t>הוא גם דווקא אם לא נשאר שם קצת גדר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נשאר שם קצת גדר</w:t>
      </w:r>
      <w:r>
        <w:rPr>
          <w:rtl w:val="true"/>
        </w:rPr>
        <w:t xml:space="preserve">, </w:t>
      </w:r>
      <w:r>
        <w:rPr>
          <w:rtl w:val="true"/>
        </w:rPr>
        <w:t>אסור</w:t>
      </w:r>
      <w:r>
        <w:rPr>
          <w:rtl w:val="true"/>
        </w:rPr>
        <w:t>"</w:t>
      </w:r>
      <w:r>
        <w:rPr>
          <w:rtl w:val="true"/>
        </w:rPr>
        <w:t>ש לא יוזק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מה שנשאר יזיק בני ר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מותר</w:t>
      </w:r>
      <w:r>
        <w:rPr>
          <w:rtl w:val="true"/>
        </w:rPr>
        <w:t>.) (</w:t>
      </w:r>
      <w:r>
        <w:rPr>
          <w:rtl w:val="true"/>
        </w:rPr>
        <w:t>ט</w:t>
      </w:r>
      <w:r>
        <w:rPr>
          <w:rtl w:val="true"/>
        </w:rPr>
        <w:t>.)</w:t>
      </w:r>
    </w:p>
  </w:footnote>
  <w:footnote w:id="92">
    <w:p>
      <w:pPr>
        <w:pStyle w:val="Footnote"/>
        <w:spacing w:before="58" w:after="58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שאין מקלקלים רשות הרבים</w:t>
      </w:r>
      <w:r>
        <w:rPr>
          <w:rtl w:val="true"/>
        </w:rPr>
        <w:t xml:space="preserve">, </w:t>
      </w:r>
      <w:r>
        <w:rPr>
          <w:rtl w:val="true"/>
        </w:rPr>
        <w:t>אף על מנת לתקן אותו לאחר זמן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1"/>
      <w:spacing w:before="58" w:after="58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Footnote">
    <w:name w:val="Footnote Text"/>
    <w:basedOn w:val="Normal"/>
    <w:pPr>
      <w:suppressLineNumbers/>
      <w:bidi w:val="1"/>
      <w:ind w:left="340" w:hanging="340"/>
      <w:jc w:val="left"/>
    </w:pPr>
    <w:rPr>
      <w:bCs w:val="false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1129</TotalTime>
  <Application>LibreOffice/7.3.2.2$Windows_X86_64 LibreOffice_project/49f2b1bff42cfccbd8f788c8dc32c1c309559be0</Application>
  <AppVersion>15.0000</AppVersion>
  <Pages>29</Pages>
  <Words>5156</Words>
  <Characters>26577</Characters>
  <CharactersWithSpaces>31747</CharactersWithSpaces>
  <Paragraphs>395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2023-05-03T15:38:47Z</dcterms:created>
  <dc:creator/>
  <dc:description/>
  <dc:language>en-US</dc:language>
  <cp:lastModifiedBy/>
  <dcterms:modified xsi:type="dcterms:W3CDTF">2023-05-04T10:28:21Z</dcterms:modified>
  <cp:revision>56</cp:revision>
  <dc:subject/>
  <dc:title/>
</cp:coreProperties>
</file>