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8A1E9" w14:textId="77777777" w:rsidR="00AB1F35" w:rsidRDefault="00000000">
      <w:pPr>
        <w:pStyle w:val="Heading1"/>
      </w:pPr>
      <w:r>
        <w:rPr>
          <w:rtl/>
        </w:rPr>
        <w:t>פרק במה מדליקים:</w:t>
      </w:r>
      <w:r>
        <w:rPr>
          <w:rStyle w:val="FootnoteReference"/>
          <w:rtl/>
        </w:rPr>
        <w:footnoteReference w:customMarkFollows="1" w:id="1"/>
        <w:t xml:space="preserve"> </w:t>
      </w:r>
    </w:p>
    <w:p w14:paraId="37B86ED1" w14:textId="77777777" w:rsidR="00AB1F35" w:rsidRDefault="00000000">
      <w:pPr>
        <w:pStyle w:val="Heading2"/>
      </w:pPr>
      <w:r>
        <w:rPr>
          <w:rtl/>
        </w:rPr>
        <w:t>משנה א</w:t>
      </w:r>
      <w:r>
        <w:rPr>
          <w:rStyle w:val="FootnoteReference"/>
          <w:rtl/>
        </w:rPr>
        <w:footnoteReference w:customMarkFollows="1" w:id="2"/>
        <w:t xml:space="preserve"> </w:t>
      </w:r>
    </w:p>
    <w:p w14:paraId="4219F696" w14:textId="77777777" w:rsidR="00AC1D04" w:rsidRDefault="00000000">
      <w:pPr>
        <w:pStyle w:val="BodyText"/>
        <w:rPr>
          <w:rtl/>
          <w:lang w:bidi="he-IL"/>
        </w:rPr>
      </w:pPr>
      <w:r>
        <w:rPr>
          <w:rStyle w:val="FootnoteReference"/>
          <w:rtl/>
          <w:lang w:bidi="he-IL"/>
        </w:rPr>
        <w:footnoteReference w:id="3"/>
      </w:r>
      <w:r>
        <w:rPr>
          <w:rtl/>
          <w:lang w:bidi="he-IL"/>
        </w:rPr>
        <w:t>בַּמֶּה מַדְלִיקִין [א] וּבַמָּה אֵין מַדְלִיקִין</w:t>
      </w:r>
      <w:r w:rsidR="00AC1D04">
        <w:rPr>
          <w:rFonts w:hint="cs"/>
          <w:rtl/>
          <w:lang w:bidi="he-IL"/>
        </w:rPr>
        <w:t>:</w:t>
      </w:r>
    </w:p>
    <w:p w14:paraId="429F2690" w14:textId="77777777" w:rsidR="00E22CD5" w:rsidRDefault="00000000">
      <w:pPr>
        <w:pStyle w:val="BodyText"/>
        <w:rPr>
          <w:rtl/>
          <w:lang w:bidi="he-IL"/>
        </w:rPr>
      </w:pPr>
      <w:r>
        <w:rPr>
          <w:rtl/>
          <w:lang w:bidi="he-IL"/>
        </w:rPr>
        <w:t>אֵין מַדְלִיקִין [ב] לֹא בְלֶכֶשׁ</w:t>
      </w:r>
      <w:r>
        <w:rPr>
          <w:rStyle w:val="FootnoteReference"/>
          <w:rtl/>
          <w:lang w:bidi="he-IL"/>
        </w:rPr>
        <w:footnoteReference w:id="4"/>
      </w:r>
      <w:r>
        <w:rPr>
          <w:rtl/>
          <w:lang w:bidi="he-IL"/>
        </w:rPr>
        <w:t>, וְלֹא בְחֹסֶן</w:t>
      </w:r>
      <w:r>
        <w:rPr>
          <w:rStyle w:val="FootnoteReference"/>
          <w:rtl/>
          <w:lang w:bidi="he-IL"/>
        </w:rPr>
        <w:footnoteReference w:id="5"/>
      </w:r>
      <w:r>
        <w:rPr>
          <w:rtl/>
          <w:lang w:bidi="he-IL"/>
        </w:rPr>
        <w:t>, וְלֹא בְכָלָךְ</w:t>
      </w:r>
      <w:r>
        <w:rPr>
          <w:rStyle w:val="FootnoteReference"/>
          <w:rtl/>
          <w:lang w:bidi="he-IL"/>
        </w:rPr>
        <w:footnoteReference w:id="6"/>
      </w:r>
      <w:r>
        <w:rPr>
          <w:rtl/>
          <w:lang w:bidi="he-IL"/>
        </w:rPr>
        <w:t>, וְלֹא בִפְתִילַת הָאִידָן</w:t>
      </w:r>
      <w:r>
        <w:rPr>
          <w:rStyle w:val="FootnoteReference"/>
          <w:rtl/>
          <w:lang w:bidi="he-IL"/>
        </w:rPr>
        <w:footnoteReference w:id="7"/>
      </w:r>
      <w:r>
        <w:rPr>
          <w:rtl/>
          <w:lang w:bidi="he-IL"/>
        </w:rPr>
        <w:t>, וְלֹא בִפְתִילַת הַמִּדְבָּר</w:t>
      </w:r>
      <w:r>
        <w:rPr>
          <w:rStyle w:val="FootnoteReference"/>
          <w:rtl/>
          <w:lang w:bidi="he-IL"/>
        </w:rPr>
        <w:footnoteReference w:id="8"/>
      </w:r>
      <w:r>
        <w:rPr>
          <w:rtl/>
          <w:lang w:bidi="he-IL"/>
        </w:rPr>
        <w:t>, וְלֹא בִירוֹקָה שֶׁעַל פְּנֵי הַמָּיִם</w:t>
      </w:r>
      <w:r>
        <w:rPr>
          <w:rStyle w:val="FootnoteReference"/>
          <w:rtl/>
          <w:lang w:bidi="he-IL"/>
        </w:rPr>
        <w:footnoteReference w:id="9"/>
      </w:r>
      <w:r>
        <w:rPr>
          <w:rtl/>
          <w:lang w:bidi="he-IL"/>
        </w:rPr>
        <w:t>.</w:t>
      </w:r>
      <w:r>
        <w:rPr>
          <w:rStyle w:val="FootnoteReference"/>
          <w:rtl/>
          <w:lang w:bidi="he-IL"/>
        </w:rPr>
        <w:footnoteReference w:id="10"/>
      </w:r>
      <w:r>
        <w:rPr>
          <w:rtl/>
          <w:lang w:bidi="he-IL"/>
        </w:rPr>
        <w:t xml:space="preserve"> </w:t>
      </w:r>
    </w:p>
    <w:p w14:paraId="3980157A" w14:textId="6E9740CB" w:rsidR="00AB1F35" w:rsidRDefault="00E22CD5">
      <w:pPr>
        <w:pStyle w:val="BodyText"/>
        <w:rPr>
          <w:lang w:bidi="he-IL"/>
        </w:rPr>
      </w:pPr>
      <w:r>
        <w:rPr>
          <w:rStyle w:val="FootnoteReference"/>
          <w:rtl/>
          <w:lang w:bidi="he-IL"/>
        </w:rPr>
        <w:lastRenderedPageBreak/>
        <w:footnoteReference w:id="11"/>
      </w:r>
      <w:r>
        <w:rPr>
          <w:rtl/>
          <w:lang w:bidi="he-IL"/>
        </w:rPr>
        <w:t>וְלֹא בְזֶפֶת</w:t>
      </w:r>
      <w:r>
        <w:rPr>
          <w:rStyle w:val="FootnoteReference"/>
          <w:rtl/>
          <w:lang w:bidi="he-IL"/>
        </w:rPr>
        <w:footnoteReference w:id="12"/>
      </w:r>
      <w:r>
        <w:rPr>
          <w:rtl/>
          <w:lang w:bidi="he-IL"/>
        </w:rPr>
        <w:t>, וְלֹא בְשַׁעֲוָה</w:t>
      </w:r>
      <w:r>
        <w:rPr>
          <w:rStyle w:val="FootnoteReference"/>
          <w:rtl/>
          <w:lang w:bidi="he-IL"/>
        </w:rPr>
        <w:footnoteReference w:id="13"/>
      </w:r>
      <w:r>
        <w:rPr>
          <w:rtl/>
          <w:lang w:bidi="he-IL"/>
        </w:rPr>
        <w:t>, וְלֹא בְשֶׁמֶן קִיק</w:t>
      </w:r>
      <w:r>
        <w:rPr>
          <w:rStyle w:val="FootnoteReference"/>
          <w:rtl/>
          <w:lang w:bidi="he-IL"/>
        </w:rPr>
        <w:footnoteReference w:id="14"/>
      </w:r>
      <w:r>
        <w:rPr>
          <w:rtl/>
          <w:lang w:bidi="he-IL"/>
        </w:rPr>
        <w:t>, וְלֹא בְשֶׁמֶן שְׂרֵפָה</w:t>
      </w:r>
      <w:r>
        <w:rPr>
          <w:rStyle w:val="FootnoteReference"/>
          <w:rtl/>
          <w:lang w:bidi="he-IL"/>
        </w:rPr>
        <w:footnoteReference w:id="15"/>
      </w:r>
      <w:r>
        <w:rPr>
          <w:rtl/>
          <w:lang w:bidi="he-IL"/>
        </w:rPr>
        <w:t>, וְלֹא בְאַלְיָה</w:t>
      </w:r>
      <w:r>
        <w:rPr>
          <w:rStyle w:val="FootnoteReference"/>
          <w:rtl/>
          <w:lang w:bidi="he-IL"/>
        </w:rPr>
        <w:footnoteReference w:id="16"/>
      </w:r>
      <w:r>
        <w:rPr>
          <w:rtl/>
          <w:lang w:bidi="he-IL"/>
        </w:rPr>
        <w:t>, וְלֹא בְחֵלֶב</w:t>
      </w:r>
      <w:r>
        <w:rPr>
          <w:rStyle w:val="FootnoteReference"/>
          <w:rtl/>
          <w:lang w:bidi="he-IL"/>
        </w:rPr>
        <w:footnoteReference w:id="17"/>
      </w:r>
      <w:r>
        <w:rPr>
          <w:rStyle w:val="FootnoteReference"/>
          <w:rtl/>
          <w:lang w:bidi="he-IL"/>
        </w:rPr>
        <w:footnoteReference w:id="18"/>
      </w:r>
      <w:r>
        <w:rPr>
          <w:rStyle w:val="FootnoteReference"/>
          <w:rtl/>
          <w:lang w:bidi="he-IL"/>
        </w:rPr>
        <w:footnoteReference w:id="19"/>
      </w:r>
      <w:r>
        <w:rPr>
          <w:rtl/>
          <w:lang w:bidi="he-IL"/>
        </w:rPr>
        <w:t>. נַחוּם הַמָּדִי אוֹמֵר, מַדְלִיקִין בְּחֵלֶב מְבֻשָּׁל</w:t>
      </w:r>
      <w:r>
        <w:rPr>
          <w:rStyle w:val="FootnoteReference"/>
          <w:rtl/>
          <w:lang w:bidi="he-IL"/>
        </w:rPr>
        <w:footnoteReference w:id="20"/>
      </w:r>
      <w:r>
        <w:rPr>
          <w:rtl/>
          <w:lang w:bidi="he-IL"/>
        </w:rPr>
        <w:t>. וַחֲכָמִים אוֹמְרִים, אֶחָד מְבֻשָּׁל וְאֶחָד שֶׁאֵינוֹ מְבֻשָּׁל, אֵין מַדְלִיקִין בּוֹ</w:t>
      </w:r>
      <w:r>
        <w:rPr>
          <w:rStyle w:val="FootnoteReference"/>
          <w:rtl/>
          <w:lang w:bidi="he-IL"/>
        </w:rPr>
        <w:footnoteReference w:id="21"/>
      </w:r>
      <w:r>
        <w:rPr>
          <w:rStyle w:val="FootnoteReference"/>
          <w:rtl/>
          <w:lang w:bidi="he-IL"/>
        </w:rPr>
        <w:footnoteReference w:id="22"/>
      </w:r>
      <w:r>
        <w:rPr>
          <w:rStyle w:val="FootnoteReference"/>
          <w:rtl/>
          <w:lang w:bidi="he-IL"/>
        </w:rPr>
        <w:footnoteReference w:id="23"/>
      </w:r>
      <w:r>
        <w:rPr>
          <w:rtl/>
          <w:lang w:bidi="he-IL"/>
        </w:rPr>
        <w:t xml:space="preserve">: </w:t>
      </w:r>
    </w:p>
    <w:p w14:paraId="01C4C317" w14:textId="77777777" w:rsidR="00AB1F35" w:rsidRDefault="00000000">
      <w:pPr>
        <w:pStyle w:val="Heading2"/>
      </w:pPr>
      <w:r>
        <w:rPr>
          <w:rtl/>
        </w:rPr>
        <w:lastRenderedPageBreak/>
        <w:t>משנה ב</w:t>
      </w:r>
      <w:r>
        <w:rPr>
          <w:rStyle w:val="FootnoteReference"/>
          <w:rtl/>
        </w:rPr>
        <w:footnoteReference w:customMarkFollows="1" w:id="24"/>
        <w:t xml:space="preserve"> </w:t>
      </w:r>
    </w:p>
    <w:p w14:paraId="747CEDB1" w14:textId="66B20380" w:rsidR="00AB1F35" w:rsidRDefault="00000000">
      <w:pPr>
        <w:pStyle w:val="BodyText"/>
        <w:rPr>
          <w:lang w:bidi="he-IL"/>
        </w:rPr>
      </w:pPr>
      <w:r>
        <w:rPr>
          <w:rStyle w:val="FootnoteReference"/>
          <w:rtl/>
          <w:lang w:bidi="he-IL"/>
        </w:rPr>
        <w:footnoteReference w:id="25"/>
      </w:r>
      <w:r>
        <w:rPr>
          <w:rtl/>
          <w:lang w:bidi="he-IL"/>
        </w:rPr>
        <w:t>אֵין מַדְלִיקִין בְּשֶׁמֶן שְׂרֵפָה בְּיוֹם טוֹב</w:t>
      </w:r>
      <w:r>
        <w:rPr>
          <w:rStyle w:val="FootnoteReference"/>
          <w:rtl/>
          <w:lang w:bidi="he-IL"/>
        </w:rPr>
        <w:footnoteReference w:id="26"/>
      </w:r>
      <w:r>
        <w:rPr>
          <w:rStyle w:val="FootnoteReference"/>
          <w:rtl/>
          <w:lang w:bidi="he-IL"/>
        </w:rPr>
        <w:footnoteReference w:id="27"/>
      </w:r>
      <w:r>
        <w:rPr>
          <w:rtl/>
          <w:lang w:bidi="he-IL"/>
        </w:rPr>
        <w:t>. רַבִּי יִשְׁמָעֵאל אוֹמֵר, אֵין מַדְלִיקִין בְּעִטְרָן</w:t>
      </w:r>
      <w:r>
        <w:rPr>
          <w:rStyle w:val="FootnoteReference"/>
          <w:rtl/>
          <w:lang w:bidi="he-IL"/>
        </w:rPr>
        <w:footnoteReference w:id="28"/>
      </w:r>
      <w:r>
        <w:rPr>
          <w:rtl/>
          <w:lang w:bidi="he-IL"/>
        </w:rPr>
        <w:t>, מִפְּנֵי כְבוֹד הַשַּׁבָּת</w:t>
      </w:r>
      <w:r w:rsidR="00236538">
        <w:rPr>
          <w:rStyle w:val="FootnoteReference"/>
          <w:rtl/>
          <w:lang w:bidi="he-IL"/>
        </w:rPr>
        <w:footnoteReference w:id="29"/>
      </w:r>
      <w:r>
        <w:rPr>
          <w:rtl/>
          <w:lang w:bidi="he-IL"/>
        </w:rPr>
        <w:t>. וַחֲכָמִים מַתִּירִין בְּכָל הַשְּׁמָנִים, בְּשֶׁמֶן שֻׁמְשְׁמִין</w:t>
      </w:r>
      <w:r w:rsidR="00E9630B">
        <w:rPr>
          <w:rStyle w:val="FootnoteReference"/>
          <w:rtl/>
          <w:lang w:bidi="he-IL"/>
        </w:rPr>
        <w:footnoteReference w:id="30"/>
      </w:r>
      <w:r>
        <w:rPr>
          <w:rtl/>
          <w:lang w:bidi="he-IL"/>
        </w:rPr>
        <w:t>, בְּשֶׁמֶן אֱגוֹזִים</w:t>
      </w:r>
      <w:r w:rsidR="00E9630B">
        <w:rPr>
          <w:rStyle w:val="FootnoteReference"/>
          <w:rtl/>
          <w:lang w:bidi="he-IL"/>
        </w:rPr>
        <w:footnoteReference w:id="31"/>
      </w:r>
      <w:r>
        <w:rPr>
          <w:rtl/>
          <w:lang w:bidi="he-IL"/>
        </w:rPr>
        <w:t>, בְּשֶׁמֶן צְנוֹנוֹת</w:t>
      </w:r>
      <w:r w:rsidR="00E9630B">
        <w:rPr>
          <w:rStyle w:val="FootnoteReference"/>
          <w:rtl/>
          <w:lang w:bidi="he-IL"/>
        </w:rPr>
        <w:footnoteReference w:id="32"/>
      </w:r>
      <w:r>
        <w:rPr>
          <w:rtl/>
          <w:lang w:bidi="he-IL"/>
        </w:rPr>
        <w:t>, בְּשֶׁמֶן דָּגִים</w:t>
      </w:r>
      <w:r w:rsidR="00E9630B">
        <w:rPr>
          <w:rStyle w:val="FootnoteReference"/>
          <w:rtl/>
          <w:lang w:bidi="he-IL"/>
        </w:rPr>
        <w:footnoteReference w:id="33"/>
      </w:r>
      <w:r>
        <w:rPr>
          <w:rtl/>
          <w:lang w:bidi="he-IL"/>
        </w:rPr>
        <w:t>, בְּשֶׁמֶן פַּקּוּעוֹת,</w:t>
      </w:r>
      <w:r w:rsidR="00E9630B">
        <w:rPr>
          <w:rStyle w:val="FootnoteReference"/>
          <w:rtl/>
          <w:lang w:bidi="he-IL"/>
        </w:rPr>
        <w:footnoteReference w:id="34"/>
      </w:r>
      <w:r>
        <w:rPr>
          <w:rtl/>
          <w:lang w:bidi="he-IL"/>
        </w:rPr>
        <w:t xml:space="preserve"> בְּעִטְרָן</w:t>
      </w:r>
      <w:r w:rsidR="00E9630B">
        <w:rPr>
          <w:rStyle w:val="FootnoteReference"/>
          <w:rtl/>
          <w:lang w:bidi="he-IL"/>
        </w:rPr>
        <w:footnoteReference w:id="35"/>
      </w:r>
      <w:r>
        <w:rPr>
          <w:rtl/>
          <w:lang w:bidi="he-IL"/>
        </w:rPr>
        <w:t xml:space="preserve"> וּבְנֵפְט</w:t>
      </w:r>
      <w:r w:rsidR="0085773E">
        <w:rPr>
          <w:rStyle w:val="FootnoteReference"/>
          <w:rtl/>
          <w:lang w:bidi="he-IL"/>
        </w:rPr>
        <w:footnoteReference w:id="36"/>
      </w:r>
      <w:r>
        <w:rPr>
          <w:rStyle w:val="FootnoteReference"/>
          <w:rtl/>
          <w:lang w:bidi="he-IL"/>
        </w:rPr>
        <w:footnoteReference w:id="37"/>
      </w:r>
      <w:r>
        <w:rPr>
          <w:rtl/>
          <w:lang w:bidi="he-IL"/>
        </w:rPr>
        <w:t>. רַבִּי טַרְפוֹן אוֹמֵר, אֵין מַדְלִיקִין אֶלָּא בְשֶׁמֶן זַיִת בִּלְבָד</w:t>
      </w:r>
      <w:r>
        <w:rPr>
          <w:rStyle w:val="FootnoteReference"/>
          <w:rtl/>
          <w:lang w:bidi="he-IL"/>
        </w:rPr>
        <w:footnoteReference w:id="38"/>
      </w:r>
      <w:r>
        <w:rPr>
          <w:rStyle w:val="FootnoteReference"/>
          <w:rtl/>
          <w:lang w:bidi="he-IL"/>
        </w:rPr>
        <w:footnoteReference w:id="39"/>
      </w:r>
      <w:r>
        <w:rPr>
          <w:rtl/>
          <w:lang w:bidi="he-IL"/>
        </w:rPr>
        <w:t xml:space="preserve">: </w:t>
      </w:r>
    </w:p>
    <w:p w14:paraId="77B7A32D" w14:textId="77777777" w:rsidR="00AB1F35" w:rsidRDefault="00000000">
      <w:pPr>
        <w:pStyle w:val="Heading2"/>
      </w:pPr>
      <w:r>
        <w:rPr>
          <w:rtl/>
        </w:rPr>
        <w:lastRenderedPageBreak/>
        <w:t>משנה ג</w:t>
      </w:r>
      <w:r>
        <w:rPr>
          <w:rStyle w:val="FootnoteReference"/>
          <w:rtl/>
        </w:rPr>
        <w:footnoteReference w:customMarkFollows="1" w:id="40"/>
        <w:t xml:space="preserve"> </w:t>
      </w:r>
    </w:p>
    <w:p w14:paraId="6DE31B56" w14:textId="020F09D8" w:rsidR="00AC1D04" w:rsidRDefault="00000000">
      <w:pPr>
        <w:pStyle w:val="BodyText"/>
        <w:rPr>
          <w:rtl/>
          <w:lang w:bidi="he-IL"/>
        </w:rPr>
      </w:pPr>
      <w:r>
        <w:rPr>
          <w:rStyle w:val="FootnoteReference"/>
          <w:rtl/>
          <w:lang w:bidi="he-IL"/>
        </w:rPr>
        <w:footnoteReference w:id="41"/>
      </w:r>
      <w:r>
        <w:rPr>
          <w:rtl/>
          <w:lang w:bidi="he-IL"/>
        </w:rPr>
        <w:t>כָּל הַיּוֹצֵא מִן הָעֵץ אֵין מַדְלִיקִין בּוֹ אֶלָּא פִשְׁתָּן</w:t>
      </w:r>
      <w:r>
        <w:rPr>
          <w:rStyle w:val="FootnoteReference"/>
          <w:rtl/>
          <w:lang w:bidi="he-IL"/>
        </w:rPr>
        <w:footnoteReference w:id="42"/>
      </w:r>
      <w:r>
        <w:rPr>
          <w:rtl/>
          <w:lang w:bidi="he-IL"/>
        </w:rPr>
        <w:t xml:space="preserve"> [</w:t>
      </w:r>
      <w:r w:rsidR="00354E57">
        <w:rPr>
          <w:rFonts w:hint="cs"/>
          <w:rtl/>
          <w:lang w:bidi="he-IL"/>
        </w:rPr>
        <w:t>מג</w:t>
      </w:r>
      <w:r>
        <w:rPr>
          <w:rtl/>
          <w:lang w:bidi="he-IL"/>
        </w:rPr>
        <w:t>]. וְכָל הַיּוֹצֵא מִן הָעֵץ אֵינוֹ מִטַּמֵּא טֻמְאַת אֹהָלִים אֶלָּא פִשְׁתָּן</w:t>
      </w:r>
      <w:r>
        <w:rPr>
          <w:rStyle w:val="FootnoteReference"/>
          <w:rtl/>
          <w:lang w:bidi="he-IL"/>
        </w:rPr>
        <w:footnoteReference w:id="43"/>
      </w:r>
      <w:r>
        <w:rPr>
          <w:rtl/>
          <w:lang w:bidi="he-IL"/>
        </w:rPr>
        <w:t xml:space="preserve">. </w:t>
      </w:r>
    </w:p>
    <w:p w14:paraId="5AFBDA46" w14:textId="43B41053" w:rsidR="00AB1F35" w:rsidRDefault="00000000">
      <w:pPr>
        <w:pStyle w:val="BodyText"/>
        <w:rPr>
          <w:lang w:bidi="he-IL"/>
        </w:rPr>
      </w:pPr>
      <w:r>
        <w:rPr>
          <w:rStyle w:val="FootnoteReference"/>
          <w:rtl/>
          <w:lang w:bidi="he-IL"/>
        </w:rPr>
        <w:lastRenderedPageBreak/>
        <w:footnoteReference w:id="44"/>
      </w:r>
      <w:r>
        <w:rPr>
          <w:rtl/>
          <w:lang w:bidi="he-IL"/>
        </w:rPr>
        <w:t>פְּתִילַת הַבֶּגֶד</w:t>
      </w:r>
      <w:r>
        <w:rPr>
          <w:rStyle w:val="FootnoteReference"/>
          <w:rtl/>
          <w:lang w:bidi="he-IL"/>
        </w:rPr>
        <w:footnoteReference w:id="45"/>
      </w:r>
      <w:r>
        <w:rPr>
          <w:rtl/>
          <w:lang w:bidi="he-IL"/>
        </w:rPr>
        <w:t xml:space="preserve"> שֶׁקִּפְּלָהּ וְלֹא הִבְהֲבָהּ, רַבִּי אֱלִיעֶזֶר אוֹמֵר, טְמֵאָה, וְאֵין מַדְלִיקִין בָּהּ. רַבִּי עֲקִיבָא אוֹמֵר, טְהוֹרָה, וּמַדְלִיקִין בָּהּ</w:t>
      </w:r>
      <w:r>
        <w:rPr>
          <w:rStyle w:val="FootnoteReference"/>
          <w:rtl/>
          <w:lang w:bidi="he-IL"/>
        </w:rPr>
        <w:footnoteReference w:id="46"/>
      </w:r>
      <w:r>
        <w:rPr>
          <w:rtl/>
          <w:lang w:bidi="he-IL"/>
        </w:rPr>
        <w:t xml:space="preserve">: </w:t>
      </w:r>
    </w:p>
    <w:p w14:paraId="0AF1A30C" w14:textId="77777777" w:rsidR="00AB1F35" w:rsidRDefault="00000000">
      <w:pPr>
        <w:pStyle w:val="Heading2"/>
      </w:pPr>
      <w:r>
        <w:rPr>
          <w:rtl/>
        </w:rPr>
        <w:lastRenderedPageBreak/>
        <w:t>משנה ד</w:t>
      </w:r>
      <w:r>
        <w:rPr>
          <w:rStyle w:val="FootnoteReference"/>
          <w:rtl/>
        </w:rPr>
        <w:footnoteReference w:customMarkFollows="1" w:id="47"/>
        <w:t xml:space="preserve"> </w:t>
      </w:r>
    </w:p>
    <w:p w14:paraId="62C9ED55" w14:textId="77777777" w:rsidR="00AC1D04" w:rsidRDefault="00000000">
      <w:pPr>
        <w:pStyle w:val="BodyText"/>
        <w:rPr>
          <w:rtl/>
          <w:lang w:bidi="he-IL"/>
        </w:rPr>
      </w:pPr>
      <w:r>
        <w:rPr>
          <w:rStyle w:val="FootnoteReference"/>
          <w:rtl/>
          <w:lang w:bidi="he-IL"/>
        </w:rPr>
        <w:footnoteReference w:id="48"/>
      </w:r>
      <w:r>
        <w:rPr>
          <w:rtl/>
          <w:lang w:bidi="he-IL"/>
        </w:rPr>
        <w:t>לֹא יִקֹּב אָדָם שְׁפוֹפֶרֶת שֶׁל בֵּיצָה וִימַלְאֶנָּה שֶׁמֶן וְיִתְּנֶנָּה עַל פִּי הַנֵּר בִּשְׁבִיל שֶׁתְּהֵא מְנַטֶּפֶת</w:t>
      </w:r>
      <w:r>
        <w:rPr>
          <w:rStyle w:val="FootnoteReference"/>
          <w:rtl/>
          <w:lang w:bidi="he-IL"/>
        </w:rPr>
        <w:footnoteReference w:id="49"/>
      </w:r>
      <w:r>
        <w:rPr>
          <w:rtl/>
          <w:lang w:bidi="he-IL"/>
        </w:rPr>
        <w:t>, אֲפִלּוּ הִיא שֶׁל חֶרֶס</w:t>
      </w:r>
      <w:r>
        <w:rPr>
          <w:rStyle w:val="FootnoteReference"/>
          <w:rtl/>
          <w:lang w:bidi="he-IL"/>
        </w:rPr>
        <w:footnoteReference w:id="50"/>
      </w:r>
      <w:r>
        <w:rPr>
          <w:rtl/>
          <w:lang w:bidi="he-IL"/>
        </w:rPr>
        <w:t>. וְרַבִּי יְהוּדָה מַתִּיר</w:t>
      </w:r>
      <w:r>
        <w:rPr>
          <w:rStyle w:val="FootnoteReference"/>
          <w:rtl/>
          <w:lang w:bidi="he-IL"/>
        </w:rPr>
        <w:footnoteReference w:id="51"/>
      </w:r>
      <w:r>
        <w:rPr>
          <w:rtl/>
          <w:lang w:bidi="he-IL"/>
        </w:rPr>
        <w:t>. אֲבָל אִם חִבְּרָהּ הַיּוֹצֵר מִתְּחִלָּה</w:t>
      </w:r>
      <w:r>
        <w:rPr>
          <w:rStyle w:val="FootnoteReference"/>
          <w:rtl/>
          <w:lang w:bidi="he-IL"/>
        </w:rPr>
        <w:footnoteReference w:id="52"/>
      </w:r>
      <w:r>
        <w:rPr>
          <w:rtl/>
          <w:lang w:bidi="he-IL"/>
        </w:rPr>
        <w:t>, מֻתָּר, מִפְּנֵי שֶׁהוּא כְלִי אֶחָד</w:t>
      </w:r>
      <w:r>
        <w:rPr>
          <w:rStyle w:val="FootnoteReference"/>
          <w:rtl/>
          <w:lang w:bidi="he-IL"/>
        </w:rPr>
        <w:footnoteReference w:id="53"/>
      </w:r>
      <w:r>
        <w:rPr>
          <w:rtl/>
          <w:lang w:bidi="he-IL"/>
        </w:rPr>
        <w:t xml:space="preserve">. </w:t>
      </w:r>
    </w:p>
    <w:p w14:paraId="7308C13F" w14:textId="3C9CB49E" w:rsidR="00AB1F35" w:rsidRDefault="00000000">
      <w:pPr>
        <w:pStyle w:val="BodyText"/>
        <w:rPr>
          <w:lang w:bidi="he-IL"/>
        </w:rPr>
      </w:pPr>
      <w:r>
        <w:rPr>
          <w:rtl/>
          <w:lang w:bidi="he-IL"/>
        </w:rPr>
        <w:t>לֹא יְמַלֵּא אָדָם אֶת הַקְּעָרָה שֶׁמֶן וְיִתְּנֶנָּה בְצַד הַנֵּר וְיִתֵּן רֹאשׁ הַפְּתִילָה בְתוֹכָהּ, בִּשְׁבִיל שֶׁתְּהֵא שׁוֹאֶבֶת</w:t>
      </w:r>
      <w:r>
        <w:rPr>
          <w:rStyle w:val="FootnoteReference"/>
          <w:rtl/>
          <w:lang w:bidi="he-IL"/>
        </w:rPr>
        <w:footnoteReference w:id="54"/>
      </w:r>
      <w:r>
        <w:rPr>
          <w:rtl/>
          <w:lang w:bidi="he-IL"/>
        </w:rPr>
        <w:t>. וְרַבִּי יְהוּדָה מַתִּיר</w:t>
      </w:r>
      <w:r>
        <w:rPr>
          <w:rStyle w:val="FootnoteReference"/>
          <w:rtl/>
          <w:lang w:bidi="he-IL"/>
        </w:rPr>
        <w:footnoteReference w:id="55"/>
      </w:r>
      <w:r>
        <w:rPr>
          <w:rStyle w:val="FootnoteReference"/>
          <w:rtl/>
          <w:lang w:bidi="he-IL"/>
        </w:rPr>
        <w:footnoteReference w:id="56"/>
      </w:r>
      <w:r>
        <w:rPr>
          <w:rtl/>
          <w:lang w:bidi="he-IL"/>
        </w:rPr>
        <w:t xml:space="preserve">: </w:t>
      </w:r>
    </w:p>
    <w:p w14:paraId="31EA8F70" w14:textId="77777777" w:rsidR="00AB1F35" w:rsidRDefault="00000000">
      <w:pPr>
        <w:pStyle w:val="Heading2"/>
      </w:pPr>
      <w:r>
        <w:rPr>
          <w:rtl/>
        </w:rPr>
        <w:t>משנה ה</w:t>
      </w:r>
      <w:r>
        <w:rPr>
          <w:rStyle w:val="FootnoteReference"/>
          <w:rtl/>
        </w:rPr>
        <w:footnoteReference w:customMarkFollows="1" w:id="57"/>
        <w:t xml:space="preserve"> </w:t>
      </w:r>
    </w:p>
    <w:p w14:paraId="0E8D97C7" w14:textId="73C7D8A8" w:rsidR="00AB1F35" w:rsidRDefault="00000000">
      <w:pPr>
        <w:pStyle w:val="BodyText"/>
        <w:rPr>
          <w:lang w:bidi="he-IL"/>
        </w:rPr>
      </w:pPr>
      <w:r>
        <w:rPr>
          <w:rStyle w:val="FootnoteReference"/>
          <w:rtl/>
          <w:lang w:bidi="he-IL"/>
        </w:rPr>
        <w:footnoteReference w:id="58"/>
      </w:r>
      <w:r>
        <w:rPr>
          <w:rtl/>
          <w:lang w:bidi="he-IL"/>
        </w:rPr>
        <w:t>הַמְכַבֶּה אֶת הַנֵּר מִפְּנֵי שֶׁהוּא מִתְיָרֵא מִפְּנֵי גוֹיִם</w:t>
      </w:r>
      <w:r>
        <w:rPr>
          <w:rStyle w:val="FootnoteReference"/>
          <w:rtl/>
          <w:lang w:bidi="he-IL"/>
        </w:rPr>
        <w:footnoteReference w:id="59"/>
      </w:r>
      <w:r>
        <w:rPr>
          <w:rtl/>
          <w:lang w:bidi="he-IL"/>
        </w:rPr>
        <w:t>, מִפְּנֵי לִסְטִים</w:t>
      </w:r>
      <w:r>
        <w:rPr>
          <w:rStyle w:val="FootnoteReference"/>
          <w:rtl/>
          <w:lang w:bidi="he-IL"/>
        </w:rPr>
        <w:footnoteReference w:id="60"/>
      </w:r>
      <w:r>
        <w:rPr>
          <w:rtl/>
          <w:lang w:bidi="he-IL"/>
        </w:rPr>
        <w:t>, מִפְּנֵי רוּחַ רָעָה</w:t>
      </w:r>
      <w:r>
        <w:rPr>
          <w:rStyle w:val="FootnoteReference"/>
          <w:rtl/>
          <w:lang w:bidi="he-IL"/>
        </w:rPr>
        <w:footnoteReference w:id="61"/>
      </w:r>
      <w:r>
        <w:rPr>
          <w:rtl/>
          <w:lang w:bidi="he-IL"/>
        </w:rPr>
        <w:t>, וְאִם בִּשְׁבִיל הַחוֹלֶה שֶׁיִּישַׁן</w:t>
      </w:r>
      <w:r>
        <w:rPr>
          <w:rStyle w:val="FootnoteReference"/>
          <w:rtl/>
          <w:lang w:bidi="he-IL"/>
        </w:rPr>
        <w:footnoteReference w:id="62"/>
      </w:r>
      <w:r>
        <w:rPr>
          <w:rtl/>
          <w:lang w:bidi="he-IL"/>
        </w:rPr>
        <w:t>, פָּטוּר</w:t>
      </w:r>
      <w:r w:rsidR="000A35EC">
        <w:rPr>
          <w:rStyle w:val="FootnoteReference"/>
          <w:rtl/>
          <w:lang w:bidi="he-IL"/>
        </w:rPr>
        <w:footnoteReference w:id="63"/>
      </w:r>
      <w:r>
        <w:rPr>
          <w:rtl/>
          <w:lang w:bidi="he-IL"/>
        </w:rPr>
        <w:t>. כְּחָס עַל הַנֵּר</w:t>
      </w:r>
      <w:r>
        <w:rPr>
          <w:rStyle w:val="FootnoteReference"/>
          <w:rtl/>
          <w:lang w:bidi="he-IL"/>
        </w:rPr>
        <w:footnoteReference w:id="64"/>
      </w:r>
      <w:r>
        <w:rPr>
          <w:rtl/>
          <w:lang w:bidi="he-IL"/>
        </w:rPr>
        <w:t>, כְּחָס עַל הַשֶּׁמֶן</w:t>
      </w:r>
      <w:r>
        <w:rPr>
          <w:rStyle w:val="FootnoteReference"/>
          <w:rtl/>
          <w:lang w:bidi="he-IL"/>
        </w:rPr>
        <w:footnoteReference w:id="65"/>
      </w:r>
      <w:r>
        <w:rPr>
          <w:rtl/>
          <w:lang w:bidi="he-IL"/>
        </w:rPr>
        <w:t>, כְּחָס עַל הַפְּתִילָה</w:t>
      </w:r>
      <w:r>
        <w:rPr>
          <w:rStyle w:val="FootnoteReference"/>
          <w:rtl/>
          <w:lang w:bidi="he-IL"/>
        </w:rPr>
        <w:footnoteReference w:id="66"/>
      </w:r>
      <w:r>
        <w:rPr>
          <w:rtl/>
          <w:lang w:bidi="he-IL"/>
        </w:rPr>
        <w:t>, חַיָּב. וְרַבִּי יוֹסֵי פּוֹטֵר בְּכֻלָּן חוּץ מִן הַפְּתִילָה, מִפְּנֵי שֶׁהוּא עוֹשָׂהּ פֶּחָם</w:t>
      </w:r>
      <w:r>
        <w:rPr>
          <w:rStyle w:val="FootnoteReference"/>
          <w:rtl/>
          <w:lang w:bidi="he-IL"/>
        </w:rPr>
        <w:footnoteReference w:id="67"/>
      </w:r>
      <w:r>
        <w:rPr>
          <w:rtl/>
          <w:lang w:bidi="he-IL"/>
        </w:rPr>
        <w:t xml:space="preserve">: </w:t>
      </w:r>
    </w:p>
    <w:p w14:paraId="690469D5" w14:textId="77777777" w:rsidR="00AB1F35" w:rsidRDefault="00000000">
      <w:pPr>
        <w:pStyle w:val="Heading2"/>
      </w:pPr>
      <w:r>
        <w:rPr>
          <w:rtl/>
        </w:rPr>
        <w:lastRenderedPageBreak/>
        <w:t>משנה ו</w:t>
      </w:r>
      <w:r>
        <w:rPr>
          <w:rStyle w:val="FootnoteReference"/>
          <w:rtl/>
        </w:rPr>
        <w:footnoteReference w:customMarkFollows="1" w:id="68"/>
        <w:t xml:space="preserve"> </w:t>
      </w:r>
    </w:p>
    <w:p w14:paraId="695D0796" w14:textId="4A9CAF31" w:rsidR="00AB1F35" w:rsidRDefault="00000000">
      <w:pPr>
        <w:pStyle w:val="BodyText"/>
        <w:rPr>
          <w:lang w:bidi="he-IL"/>
        </w:rPr>
      </w:pPr>
      <w:r>
        <w:rPr>
          <w:rtl/>
          <w:lang w:bidi="he-IL"/>
        </w:rPr>
        <w:t>עַל שָׁלשׁ עֲבֵרוֹת נָשִׁים מֵתוֹת בִּשְׁעַת לֵדָתָן</w:t>
      </w:r>
      <w:r>
        <w:rPr>
          <w:rStyle w:val="FootnoteReference"/>
          <w:rtl/>
          <w:lang w:bidi="he-IL"/>
        </w:rPr>
        <w:footnoteReference w:id="69"/>
      </w:r>
      <w:r>
        <w:rPr>
          <w:rtl/>
          <w:lang w:bidi="he-IL"/>
        </w:rPr>
        <w:t>, עַל שֶׁאֵינָן זְהִירוֹת [</w:t>
      </w:r>
      <w:r w:rsidR="00B212E6">
        <w:rPr>
          <w:rFonts w:hint="cs"/>
          <w:rtl/>
          <w:lang w:bidi="he-IL"/>
        </w:rPr>
        <w:t>נח</w:t>
      </w:r>
      <w:r>
        <w:rPr>
          <w:rtl/>
          <w:lang w:bidi="he-IL"/>
        </w:rPr>
        <w:t>] בַּנִּדָּה</w:t>
      </w:r>
      <w:r>
        <w:rPr>
          <w:rStyle w:val="FootnoteReference"/>
          <w:rtl/>
          <w:lang w:bidi="he-IL"/>
        </w:rPr>
        <w:footnoteReference w:id="70"/>
      </w:r>
      <w:r>
        <w:rPr>
          <w:rtl/>
          <w:lang w:bidi="he-IL"/>
        </w:rPr>
        <w:t xml:space="preserve"> וּבַחַלָּה</w:t>
      </w:r>
      <w:r>
        <w:rPr>
          <w:rStyle w:val="FootnoteReference"/>
          <w:rtl/>
          <w:lang w:bidi="he-IL"/>
        </w:rPr>
        <w:footnoteReference w:id="71"/>
      </w:r>
      <w:r>
        <w:rPr>
          <w:rtl/>
          <w:lang w:bidi="he-IL"/>
        </w:rPr>
        <w:t xml:space="preserve"> וּבְהַדְלָקַת הַנֵּר</w:t>
      </w:r>
      <w:r>
        <w:rPr>
          <w:rStyle w:val="FootnoteReference"/>
          <w:rtl/>
          <w:lang w:bidi="he-IL"/>
        </w:rPr>
        <w:footnoteReference w:id="72"/>
      </w:r>
      <w:r>
        <w:rPr>
          <w:rtl/>
          <w:lang w:bidi="he-IL"/>
        </w:rPr>
        <w:t xml:space="preserve">: </w:t>
      </w:r>
    </w:p>
    <w:p w14:paraId="30F90552" w14:textId="77777777" w:rsidR="00AB1F35" w:rsidRDefault="00000000">
      <w:pPr>
        <w:pStyle w:val="Heading2"/>
      </w:pPr>
      <w:r>
        <w:rPr>
          <w:rtl/>
        </w:rPr>
        <w:lastRenderedPageBreak/>
        <w:t>משנה ז</w:t>
      </w:r>
      <w:r>
        <w:rPr>
          <w:rStyle w:val="FootnoteReference"/>
          <w:rtl/>
        </w:rPr>
        <w:footnoteReference w:customMarkFollows="1" w:id="73"/>
        <w:t xml:space="preserve"> </w:t>
      </w:r>
    </w:p>
    <w:p w14:paraId="3C40DDB5" w14:textId="6A431687" w:rsidR="00AC1D04" w:rsidRDefault="00000000">
      <w:pPr>
        <w:pStyle w:val="BodyText"/>
        <w:rPr>
          <w:rtl/>
          <w:lang w:bidi="he-IL"/>
        </w:rPr>
      </w:pPr>
      <w:r>
        <w:rPr>
          <w:rStyle w:val="FootnoteReference"/>
          <w:rtl/>
          <w:lang w:bidi="he-IL"/>
        </w:rPr>
        <w:footnoteReference w:id="74"/>
      </w:r>
      <w:r>
        <w:rPr>
          <w:rtl/>
          <w:lang w:bidi="he-IL"/>
        </w:rPr>
        <w:t>שְׁלשָׁה דְבָרִים צָרִיךְ אָדָם לוֹמַר</w:t>
      </w:r>
      <w:r>
        <w:rPr>
          <w:rStyle w:val="FootnoteReference"/>
          <w:rtl/>
          <w:lang w:bidi="he-IL"/>
        </w:rPr>
        <w:footnoteReference w:id="75"/>
      </w:r>
      <w:r>
        <w:rPr>
          <w:rtl/>
          <w:lang w:bidi="he-IL"/>
        </w:rPr>
        <w:t xml:space="preserve"> בְּתוֹךְ בֵּיתוֹ עֶרֶב שַׁבָּת עִם חֲשֵׁכָה</w:t>
      </w:r>
      <w:r>
        <w:rPr>
          <w:rStyle w:val="FootnoteReference"/>
          <w:rtl/>
          <w:lang w:bidi="he-IL"/>
        </w:rPr>
        <w:footnoteReference w:id="76"/>
      </w:r>
      <w:r>
        <w:rPr>
          <w:rtl/>
          <w:lang w:bidi="he-IL"/>
        </w:rPr>
        <w:t>. עִשַּׂרְתֶּם</w:t>
      </w:r>
      <w:r>
        <w:rPr>
          <w:rStyle w:val="FootnoteReference"/>
          <w:rtl/>
          <w:lang w:bidi="he-IL"/>
        </w:rPr>
        <w:footnoteReference w:id="77"/>
      </w:r>
      <w:r>
        <w:rPr>
          <w:rtl/>
          <w:lang w:bidi="he-IL"/>
        </w:rPr>
        <w:t>. עֵרַבְתֶּם</w:t>
      </w:r>
      <w:r>
        <w:rPr>
          <w:rStyle w:val="FootnoteReference"/>
          <w:rtl/>
          <w:lang w:bidi="he-IL"/>
        </w:rPr>
        <w:footnoteReference w:id="78"/>
      </w:r>
      <w:r>
        <w:rPr>
          <w:rtl/>
          <w:lang w:bidi="he-IL"/>
        </w:rPr>
        <w:t>. הַדְלִיקוּ אֶת הַנֵּר</w:t>
      </w:r>
      <w:r>
        <w:rPr>
          <w:rStyle w:val="FootnoteReference"/>
          <w:rtl/>
          <w:lang w:bidi="he-IL"/>
        </w:rPr>
        <w:footnoteReference w:id="79"/>
      </w:r>
      <w:r w:rsidR="00C9774F">
        <w:rPr>
          <w:rStyle w:val="FootnoteReference"/>
          <w:rtl/>
          <w:lang w:bidi="he-IL"/>
        </w:rPr>
        <w:footnoteReference w:id="80"/>
      </w:r>
      <w:r>
        <w:rPr>
          <w:rtl/>
          <w:lang w:bidi="he-IL"/>
        </w:rPr>
        <w:t xml:space="preserve">. </w:t>
      </w:r>
    </w:p>
    <w:p w14:paraId="5C4DEFFB" w14:textId="5780F057" w:rsidR="00AB1F35" w:rsidRDefault="00000000">
      <w:pPr>
        <w:pStyle w:val="BodyText"/>
      </w:pPr>
      <w:r>
        <w:rPr>
          <w:rtl/>
          <w:lang w:bidi="he-IL"/>
        </w:rPr>
        <w:t>סָפֵק חֲשֵׁכָה סָפֵק אֵין חֲשֵׁכָה, אֵין מְעַשְּׂרִין אֶת הַוַּדַּאי</w:t>
      </w:r>
      <w:r w:rsidR="00D12D08">
        <w:rPr>
          <w:rStyle w:val="FootnoteReference"/>
          <w:rtl/>
          <w:lang w:bidi="he-IL"/>
        </w:rPr>
        <w:footnoteReference w:id="81"/>
      </w:r>
      <w:r>
        <w:rPr>
          <w:rtl/>
          <w:lang w:bidi="he-IL"/>
        </w:rPr>
        <w:t>, וְאֵין מַטְבִּילִין אֶת הַכֵּלִים</w:t>
      </w:r>
      <w:r w:rsidR="00DD0C9C">
        <w:rPr>
          <w:rStyle w:val="FootnoteReference"/>
          <w:rtl/>
          <w:lang w:bidi="he-IL"/>
        </w:rPr>
        <w:footnoteReference w:id="82"/>
      </w:r>
      <w:r>
        <w:rPr>
          <w:rtl/>
          <w:lang w:bidi="he-IL"/>
        </w:rPr>
        <w:t>, וְאֵין מַדְלִיקִין אֶת הַנֵּרוֹת</w:t>
      </w:r>
      <w:r w:rsidR="00485CD3">
        <w:rPr>
          <w:rStyle w:val="FootnoteReference"/>
          <w:rtl/>
          <w:lang w:bidi="he-IL"/>
        </w:rPr>
        <w:footnoteReference w:id="83"/>
      </w:r>
      <w:r>
        <w:rPr>
          <w:rtl/>
          <w:lang w:bidi="he-IL"/>
        </w:rPr>
        <w:t>, אֲבָל מְעַשְּׂרִין אֶת הַדְּמַאי</w:t>
      </w:r>
      <w:r>
        <w:rPr>
          <w:rStyle w:val="FootnoteReference"/>
          <w:rtl/>
          <w:lang w:bidi="he-IL"/>
        </w:rPr>
        <w:footnoteReference w:id="84"/>
      </w:r>
      <w:r>
        <w:rPr>
          <w:rtl/>
          <w:lang w:bidi="he-IL"/>
        </w:rPr>
        <w:t>, וּמְעָרְבִין</w:t>
      </w:r>
      <w:r>
        <w:rPr>
          <w:rStyle w:val="FootnoteReference"/>
          <w:rtl/>
          <w:lang w:bidi="he-IL"/>
        </w:rPr>
        <w:footnoteReference w:id="85"/>
      </w:r>
      <w:r>
        <w:rPr>
          <w:rtl/>
          <w:lang w:bidi="he-IL"/>
        </w:rPr>
        <w:t>, וְטוֹמְנִין אֶת הַחַמִּין</w:t>
      </w:r>
      <w:r>
        <w:rPr>
          <w:rStyle w:val="FootnoteReference"/>
          <w:rtl/>
          <w:lang w:bidi="he-IL"/>
        </w:rPr>
        <w:footnoteReference w:id="86"/>
      </w:r>
      <w:r>
        <w:rPr>
          <w:rtl/>
          <w:lang w:bidi="he-IL"/>
        </w:rPr>
        <w:t>: [</w:t>
      </w:r>
      <w:r w:rsidR="001B3810">
        <w:rPr>
          <w:rFonts w:hint="cs"/>
          <w:rtl/>
          <w:lang w:bidi="he-IL"/>
        </w:rPr>
        <w:t>סח</w:t>
      </w:r>
      <w:r>
        <w:rPr>
          <w:rtl/>
          <w:lang w:bidi="he-IL"/>
        </w:rPr>
        <w:t>]</w:t>
      </w:r>
    </w:p>
    <w:sectPr w:rsidR="00AB1F35">
      <w:footnotePr>
        <w:numFmt w:val="hebrew1"/>
      </w:footnotePr>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41496" w14:textId="77777777" w:rsidR="008764E1" w:rsidRDefault="008764E1">
      <w:pPr>
        <w:spacing w:before="0" w:after="0" w:line="240" w:lineRule="auto"/>
      </w:pPr>
      <w:r>
        <w:separator/>
      </w:r>
    </w:p>
  </w:endnote>
  <w:endnote w:type="continuationSeparator" w:id="0">
    <w:p w14:paraId="220B431F" w14:textId="77777777" w:rsidR="008764E1" w:rsidRDefault="008764E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BL Hebrew">
    <w:panose1 w:val="02000000000000000000"/>
    <w:charset w:val="00"/>
    <w:family w:val="auto"/>
    <w:pitch w:val="variable"/>
    <w:sig w:usb0="8000086F" w:usb1="4000204A"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04667" w14:textId="77777777" w:rsidR="008764E1" w:rsidRDefault="008764E1">
      <w:r>
        <w:separator/>
      </w:r>
    </w:p>
  </w:footnote>
  <w:footnote w:type="continuationSeparator" w:id="0">
    <w:p w14:paraId="16C0793E" w14:textId="77777777" w:rsidR="008764E1" w:rsidRDefault="008764E1">
      <w:r>
        <w:continuationSeparator/>
      </w:r>
    </w:p>
  </w:footnote>
  <w:footnote w:id="1">
    <w:p w14:paraId="7BFAA01A" w14:textId="77777777" w:rsidR="00AB1F35" w:rsidRDefault="00000000">
      <w:pPr>
        <w:pStyle w:val="FootnoteText"/>
        <w:jc w:val="center"/>
        <w:rPr>
          <w:b/>
          <w:bCs/>
          <w:u w:val="single"/>
        </w:rPr>
      </w:pPr>
      <w:r>
        <w:rPr>
          <w:rStyle w:val="FootnoteCharacters"/>
        </w:rPr>
        <w:t xml:space="preserve"> </w:t>
      </w:r>
      <w:r>
        <w:rPr>
          <w:rStyle w:val="FootnoteCharactersuser"/>
          <w:rtl/>
        </w:rPr>
        <w:tab/>
        <w:t xml:space="preserve"> </w:t>
      </w:r>
      <w:r>
        <w:rPr>
          <w:b/>
          <w:bCs/>
          <w:u w:val="single"/>
          <w:rtl/>
        </w:rPr>
        <w:t>פרק במה מדליקים</w:t>
      </w:r>
    </w:p>
  </w:footnote>
  <w:footnote w:id="2">
    <w:p w14:paraId="58DCF77C" w14:textId="77777777" w:rsidR="00AB1F35" w:rsidRDefault="00000000">
      <w:pPr>
        <w:pStyle w:val="FootnoteText"/>
      </w:pPr>
      <w:r>
        <w:rPr>
          <w:rStyle w:val="FootnoteCharacters"/>
        </w:rPr>
        <w:t xml:space="preserve"> </w:t>
      </w:r>
      <w:r>
        <w:rPr>
          <w:rStyle w:val="FootnoteCharactersuser"/>
          <w:rtl/>
        </w:rPr>
        <w:tab/>
        <w:t xml:space="preserve"> </w:t>
      </w:r>
      <w:r>
        <w:rPr>
          <w:b/>
          <w:bCs/>
          <w:rtl/>
        </w:rPr>
        <w:t>משנה א</w:t>
      </w:r>
    </w:p>
  </w:footnote>
  <w:footnote w:id="3">
    <w:p w14:paraId="445F746C" w14:textId="77777777" w:rsidR="00D7309A" w:rsidRDefault="00000000" w:rsidP="00EA030A">
      <w:pPr>
        <w:pStyle w:val="FootnoteText"/>
        <w:rPr>
          <w:rtl/>
        </w:rPr>
      </w:pPr>
      <w:r>
        <w:rPr>
          <w:rStyle w:val="FootnoteCharacters"/>
        </w:rPr>
        <w:footnoteRef/>
      </w:r>
      <w:r>
        <w:rPr>
          <w:rtl/>
        </w:rPr>
        <w:tab/>
        <w:t xml:space="preserve"> חייב אדם להדליק נרות בביתו בע"ש לליל שבת, כדי שיהיה שם אור. נרות אלו צריכים להיות משמן ופתילה שידלקו יפה, שאם לא דולק יפה, יש חשש שיטה אותו כדי שידלוק יפה, ובזה יעבור על איסור הבערה (כיון שגורם </w:t>
      </w:r>
      <w:r w:rsidR="00D7309A">
        <w:rPr>
          <w:rFonts w:hint="cs"/>
          <w:rtl/>
        </w:rPr>
        <w:t>שיש יותר אור ושמבער יותר שמן</w:t>
      </w:r>
      <w:r>
        <w:rPr>
          <w:rtl/>
        </w:rPr>
        <w:t xml:space="preserve">). </w:t>
      </w:r>
    </w:p>
    <w:p w14:paraId="300F3B92" w14:textId="7C402885" w:rsidR="00AB1F35" w:rsidRDefault="00000000" w:rsidP="00D7309A">
      <w:pPr>
        <w:pStyle w:val="FootnoteText"/>
        <w:ind w:firstLine="0"/>
      </w:pPr>
      <w:r>
        <w:rPr>
          <w:rtl/>
        </w:rPr>
        <w:t>המשנה מונה הנרות הפסולים והכשרים. בעיקר, הפסולים פסולים כיון שלא דולקים יפה.</w:t>
      </w:r>
      <w:r w:rsidR="00853816">
        <w:rPr>
          <w:rFonts w:hint="cs"/>
          <w:rtl/>
        </w:rPr>
        <w:t xml:space="preserve"> [ג]</w:t>
      </w:r>
      <w:r>
        <w:rPr>
          <w:rtl/>
        </w:rPr>
        <w:t xml:space="preserve">  הסיבה שאין להדליק בהם אינו </w:t>
      </w:r>
      <w:r w:rsidR="00AC1D04">
        <w:rPr>
          <w:rFonts w:hint="cs"/>
          <w:rtl/>
        </w:rPr>
        <w:t xml:space="preserve">רק </w:t>
      </w:r>
      <w:r>
        <w:rPr>
          <w:rtl/>
        </w:rPr>
        <w:t>מפני שלא מקיים את מצוות נר שבת, אלא מפני איסור, ואז לא יכול להדליק בהם גם שלא לצורך נרות שבת. אבל, יכול לעשות מהם מדורה (מסתמא מפני שברוב האש, אין חשש שלא ידלק יפה).</w:t>
      </w:r>
      <w:r w:rsidR="0088683D">
        <w:rPr>
          <w:rFonts w:hint="cs"/>
          <w:rtl/>
        </w:rPr>
        <w:t xml:space="preserve"> [</w:t>
      </w:r>
      <w:r w:rsidR="00853816">
        <w:rPr>
          <w:rFonts w:hint="cs"/>
          <w:rtl/>
        </w:rPr>
        <w:t>ד]</w:t>
      </w:r>
      <w:r w:rsidR="003F75D5">
        <w:rPr>
          <w:rFonts w:hint="cs"/>
          <w:rtl/>
        </w:rPr>
        <w:t>[</w:t>
      </w:r>
      <w:r w:rsidR="00853816">
        <w:rPr>
          <w:rFonts w:hint="cs"/>
          <w:rtl/>
        </w:rPr>
        <w:t>ה]</w:t>
      </w:r>
      <w:r w:rsidR="003F75D5">
        <w:rPr>
          <w:rFonts w:hint="cs"/>
          <w:rtl/>
        </w:rPr>
        <w:t xml:space="preserve"> </w:t>
      </w:r>
      <w:r>
        <w:rPr>
          <w:b/>
          <w:bCs/>
          <w:u w:val="single"/>
          <w:rtl/>
        </w:rPr>
        <w:t>(כא.)</w:t>
      </w:r>
      <w:r>
        <w:rPr>
          <w:rtl/>
        </w:rPr>
        <w:t xml:space="preserve"> </w:t>
      </w:r>
    </w:p>
    <w:p w14:paraId="536D1C9D" w14:textId="3E2F1869" w:rsidR="00AB1F35" w:rsidRDefault="00000000">
      <w:pPr>
        <w:pStyle w:val="FootnoteText"/>
        <w:rPr>
          <w:b/>
          <w:bCs/>
        </w:rPr>
      </w:pPr>
      <w:r>
        <w:rPr>
          <w:rtl/>
        </w:rPr>
        <w:tab/>
        <w:t>באלו שלא דולקים יפה, גמרא מפרש שאם נותן בהם מעט שמן שדולק יפה (או, בפתילה, אם נותן עמו פתילה קטנה שדולק</w:t>
      </w:r>
      <w:r w:rsidR="00D7309A">
        <w:rPr>
          <w:rFonts w:hint="cs"/>
          <w:rtl/>
        </w:rPr>
        <w:t>ת</w:t>
      </w:r>
      <w:r>
        <w:rPr>
          <w:rtl/>
        </w:rPr>
        <w:t xml:space="preserve"> יפה), התערובת תדלק יפה. אבל, עדיין לא פשוט שיכול לעשות כן. רבה אומר שאסור להדליק בו, לגזירה שמא ידליק בשמן שאינו דולק טוב בלי התערובת. אבל, גמרא מבאר שאולי חולקים תנאים בזה. (</w:t>
      </w:r>
      <w:r>
        <w:rPr>
          <w:b/>
          <w:bCs/>
          <w:u w:val="single"/>
          <w:rtl/>
        </w:rPr>
        <w:t>כא.)</w:t>
      </w:r>
      <w:r>
        <w:rPr>
          <w:b/>
          <w:bCs/>
          <w:rtl/>
        </w:rPr>
        <w:t xml:space="preserve"> </w:t>
      </w:r>
    </w:p>
    <w:p w14:paraId="1BEFA54E" w14:textId="201220AD" w:rsidR="00AB1F35" w:rsidRDefault="00000000">
      <w:pPr>
        <w:pStyle w:val="FootnoteText"/>
      </w:pPr>
      <w:r>
        <w:rPr>
          <w:rtl/>
        </w:rPr>
        <w:tab/>
        <w:t>יש שני יוצאים מכלל</w:t>
      </w:r>
      <w:r w:rsidR="00EE6EDB">
        <w:rPr>
          <w:rFonts w:hint="cs"/>
          <w:rtl/>
        </w:rPr>
        <w:t xml:space="preserve"> איסור</w:t>
      </w:r>
      <w:r>
        <w:rPr>
          <w:rtl/>
        </w:rPr>
        <w:t xml:space="preserve"> זה. היוצא הראשון תלוי באופן שנותן בו הפסול, והיוצא השני תלוי באיזה פסול משתמש בו.</w:t>
      </w:r>
    </w:p>
    <w:p w14:paraId="53A554E3" w14:textId="03927B02" w:rsidR="00AB1F35" w:rsidRDefault="00000000">
      <w:pPr>
        <w:pStyle w:val="FootnoteText"/>
        <w:numPr>
          <w:ilvl w:val="0"/>
          <w:numId w:val="11"/>
        </w:numPr>
      </w:pPr>
      <w:r>
        <w:rPr>
          <w:rtl/>
        </w:rPr>
        <w:t>היוצא הראשון הוא שאם רק משתמש בפתילה פסולה כדי לעשות שהכשרה תצוף, כשר. [</w:t>
      </w:r>
      <w:r w:rsidR="00D35865">
        <w:rPr>
          <w:rFonts w:hint="cs"/>
          <w:rtl/>
        </w:rPr>
        <w:t>ו</w:t>
      </w:r>
      <w:r>
        <w:rPr>
          <w:rtl/>
        </w:rPr>
        <w:t>]</w:t>
      </w:r>
    </w:p>
    <w:p w14:paraId="08B6611C" w14:textId="60F0DC50" w:rsidR="00AB1F35" w:rsidRDefault="00000000">
      <w:pPr>
        <w:pStyle w:val="FootnoteText"/>
        <w:numPr>
          <w:ilvl w:val="0"/>
          <w:numId w:val="11"/>
        </w:numPr>
      </w:pPr>
      <w:r>
        <w:rPr>
          <w:rtl/>
        </w:rPr>
        <w:t xml:space="preserve">היוצא השני הוא שבחלב מהותך וקרבי דגים שנימוחו, וכן בשמן דגים, אף אם שאר תערובות פסולים, אפשר שיכולים להדליק בתערובת עם שמן. (גמרא מפרש שחולקים תנאים בזה.) גמרא מפרש שזה מפני </w:t>
      </w:r>
      <w:r w:rsidR="00080CE2">
        <w:rPr>
          <w:rFonts w:hint="cs"/>
          <w:rtl/>
        </w:rPr>
        <w:t>ש</w:t>
      </w:r>
      <w:r>
        <w:rPr>
          <w:rtl/>
        </w:rPr>
        <w:t xml:space="preserve">אלו דולקים יפה, ורק אסורים מפני גזירה אגב חלב שאינו מהותך, וקרבי דגים שלא נימוחו. כיון שאלו רק גזירות, לא מוסיפים גזירה על גזירה. </w:t>
      </w:r>
      <w:r>
        <w:rPr>
          <w:b/>
          <w:bCs/>
          <w:u w:val="single"/>
          <w:rtl/>
        </w:rPr>
        <w:t>(כא.)</w:t>
      </w:r>
    </w:p>
    <w:p w14:paraId="57B81E13" w14:textId="2EB52BD8" w:rsidR="00AB1F35" w:rsidRDefault="00000000">
      <w:pPr>
        <w:pStyle w:val="FootnoteText"/>
      </w:pPr>
      <w:r>
        <w:rPr>
          <w:rtl/>
        </w:rPr>
        <w:tab/>
        <w:t xml:space="preserve">חולקים </w:t>
      </w:r>
      <w:r w:rsidR="006A69CA">
        <w:rPr>
          <w:rFonts w:hint="cs"/>
          <w:rtl/>
        </w:rPr>
        <w:t>אמוראים (עיין לקמן, ובהערות)</w:t>
      </w:r>
      <w:r>
        <w:rPr>
          <w:rtl/>
        </w:rPr>
        <w:t xml:space="preserve"> אם </w:t>
      </w:r>
      <w:r w:rsidR="00632FE6">
        <w:rPr>
          <w:rFonts w:hint="cs"/>
          <w:rtl/>
        </w:rPr>
        <w:t xml:space="preserve">כל </w:t>
      </w:r>
      <w:r>
        <w:rPr>
          <w:rtl/>
        </w:rPr>
        <w:t xml:space="preserve">זה נוהג גם בנרות י"ט או רק בנרות שבת. יש חילוק יסודי בין י"ט לשבת, שבי"ט, הותרו מלאכות לצורך אוכל נפש. מתוך שהותרו לצורך אוכל נפש, הותרו גם שלא לצורך. אז, אין איסור הבערה בי"ט, ואז אין טעם הגזירה שייך בי"ט. רב הונא סובר (ומביא בריי') שאז, אלו שנאסרו כיון שלא דולקים יפה כשרים לנרות י"ט. אבל, רבה חולק, וסובר שהם אסורים גם לנרות י"ט, כיון שגזרו רבנן נרות יום טוב אטו נרות שבת. </w:t>
      </w:r>
      <w:r>
        <w:rPr>
          <w:b/>
          <w:bCs/>
          <w:u w:val="single"/>
          <w:rtl/>
        </w:rPr>
        <w:t>(כג:)</w:t>
      </w:r>
    </w:p>
  </w:footnote>
  <w:footnote w:id="4">
    <w:p w14:paraId="4D66B3DD" w14:textId="5542B4F1" w:rsidR="00AB1F35" w:rsidRDefault="00000000">
      <w:pPr>
        <w:pStyle w:val="FootnoteText"/>
      </w:pPr>
      <w:r>
        <w:rPr>
          <w:rStyle w:val="FootnoteCharacters"/>
        </w:rPr>
        <w:footnoteRef/>
      </w:r>
      <w:r>
        <w:rPr>
          <w:rtl/>
        </w:rPr>
        <w:tab/>
        <w:t xml:space="preserve"> גמרא </w:t>
      </w:r>
      <w:r>
        <w:rPr>
          <w:b/>
          <w:bCs/>
          <w:u w:val="single"/>
          <w:rtl/>
        </w:rPr>
        <w:t>(כ:)</w:t>
      </w:r>
      <w:r>
        <w:rPr>
          <w:rtl/>
        </w:rPr>
        <w:t xml:space="preserve"> מפרש שהוא חלק עץ שנראה כצמר, ונמצא ב</w:t>
      </w:r>
      <w:r w:rsidR="009D72EB">
        <w:rPr>
          <w:rFonts w:hint="cs"/>
          <w:rtl/>
        </w:rPr>
        <w:t xml:space="preserve">אמצע </w:t>
      </w:r>
      <w:r w:rsidR="002867DB">
        <w:rPr>
          <w:rFonts w:hint="cs"/>
          <w:rtl/>
        </w:rPr>
        <w:t>ע</w:t>
      </w:r>
      <w:r w:rsidR="009D72EB">
        <w:rPr>
          <w:rFonts w:hint="cs"/>
          <w:rtl/>
        </w:rPr>
        <w:t xml:space="preserve">ץ </w:t>
      </w:r>
      <w:r>
        <w:rPr>
          <w:rtl/>
        </w:rPr>
        <w:t xml:space="preserve">ארז, בין הקליפה לעץ. </w:t>
      </w:r>
      <w:r w:rsidR="00EE3B7A">
        <w:rPr>
          <w:rFonts w:hint="cs"/>
          <w:rtl/>
        </w:rPr>
        <w:t xml:space="preserve">בירושלמי מוסיף שבארמית נקרא "לוגשא" וגם נקרא "דנינון." </w:t>
      </w:r>
      <w:r>
        <w:rPr>
          <w:rtl/>
        </w:rPr>
        <w:t>(באנגלית, זה הנקרא "באס"ט" או "פלו"ם," ונחשב חלק פנימי של הקליפה.) הוא פסול להיות פתילה.</w:t>
      </w:r>
    </w:p>
  </w:footnote>
  <w:footnote w:id="5">
    <w:p w14:paraId="780F13E0" w14:textId="179B27A7" w:rsidR="00AB1F35" w:rsidRDefault="00000000">
      <w:pPr>
        <w:pStyle w:val="FootnoteText"/>
      </w:pPr>
      <w:r>
        <w:rPr>
          <w:rStyle w:val="FootnoteCharacters"/>
        </w:rPr>
        <w:footnoteRef/>
      </w:r>
      <w:r>
        <w:rPr>
          <w:rtl/>
        </w:rPr>
        <w:tab/>
        <w:t xml:space="preserve"> גמרא </w:t>
      </w:r>
      <w:r>
        <w:rPr>
          <w:b/>
          <w:bCs/>
          <w:u w:val="single"/>
          <w:rtl/>
        </w:rPr>
        <w:t>(כ:)</w:t>
      </w:r>
      <w:r>
        <w:rPr>
          <w:rtl/>
        </w:rPr>
        <w:t xml:space="preserve"> מפרש שני שיטות בזה:</w:t>
      </w:r>
    </w:p>
    <w:p w14:paraId="757A7C78" w14:textId="00979462" w:rsidR="00AB1F35" w:rsidRDefault="00000000">
      <w:pPr>
        <w:pStyle w:val="FootnoteText"/>
        <w:numPr>
          <w:ilvl w:val="0"/>
          <w:numId w:val="1"/>
        </w:numPr>
      </w:pPr>
      <w:r>
        <w:rPr>
          <w:rtl/>
        </w:rPr>
        <w:t>רב יוסף אומר שהוא נעורת של פשתן. ראיתי שזה פסולת קטן שנופל מפשתן כשנפצים אותו, ובאנגלית נקרא "טו." גמרא דוחה את זה</w:t>
      </w:r>
      <w:r w:rsidR="00791A6E">
        <w:rPr>
          <w:rFonts w:hint="cs"/>
          <w:rtl/>
        </w:rPr>
        <w:t>,</w:t>
      </w:r>
      <w:r>
        <w:rPr>
          <w:rtl/>
        </w:rPr>
        <w:t xml:space="preserve"> כיון שכתיב, "והיה החסון לנעורת." מניחים ש"חסון" ו"חוסן" שווים, </w:t>
      </w:r>
      <w:r w:rsidR="00124704">
        <w:rPr>
          <w:rFonts w:hint="cs"/>
          <w:rtl/>
        </w:rPr>
        <w:t xml:space="preserve">ואז </w:t>
      </w:r>
      <w:r>
        <w:rPr>
          <w:rtl/>
        </w:rPr>
        <w:t>נמצא שאי אפשר שחוסן שווה לנעורת, שפסוק אומר שיהיה חוסן נשתנה לנעורת.</w:t>
      </w:r>
    </w:p>
    <w:p w14:paraId="770610C9" w14:textId="03BB3075" w:rsidR="00AB1F35" w:rsidRDefault="00000000">
      <w:pPr>
        <w:pStyle w:val="FootnoteText"/>
        <w:numPr>
          <w:ilvl w:val="0"/>
          <w:numId w:val="1"/>
        </w:numPr>
      </w:pPr>
      <w:r>
        <w:rPr>
          <w:rtl/>
        </w:rPr>
        <w:t>אביי אומר שהוא פשתן ששחקו, ולא נפצו.</w:t>
      </w:r>
      <w:r w:rsidR="005577BD">
        <w:rPr>
          <w:rFonts w:hint="cs"/>
          <w:rtl/>
        </w:rPr>
        <w:t xml:space="preserve"> בירושלמי לומד זה מ"והיה החסון לנעורת," שמשמע שחסון הוא דבר שיכול להגיע לנעורת, ועוד לא הגיע, וזה פשתן ששחק ולא נפץ.</w:t>
      </w:r>
      <w:r w:rsidR="0040438B">
        <w:rPr>
          <w:rFonts w:hint="cs"/>
          <w:rtl/>
        </w:rPr>
        <w:t xml:space="preserve"> [</w:t>
      </w:r>
      <w:r w:rsidR="00D35865">
        <w:rPr>
          <w:rFonts w:hint="cs"/>
          <w:rtl/>
        </w:rPr>
        <w:t>ז</w:t>
      </w:r>
      <w:r w:rsidR="0040438B">
        <w:rPr>
          <w:rFonts w:hint="cs"/>
          <w:rtl/>
        </w:rPr>
        <w:t>]</w:t>
      </w:r>
    </w:p>
    <w:p w14:paraId="3EBEDF56" w14:textId="77777777" w:rsidR="00AB1F35" w:rsidRDefault="00000000">
      <w:pPr>
        <w:pStyle w:val="FootnoteText"/>
      </w:pPr>
      <w:r>
        <w:rPr>
          <w:rtl/>
        </w:rPr>
        <w:tab/>
        <w:t>הוא פסול להיות פתילה.</w:t>
      </w:r>
    </w:p>
  </w:footnote>
  <w:footnote w:id="6">
    <w:p w14:paraId="3B8ACADF" w14:textId="504F5830" w:rsidR="00AB1F35" w:rsidRDefault="00000000">
      <w:pPr>
        <w:pStyle w:val="FootnoteText"/>
      </w:pPr>
      <w:r>
        <w:rPr>
          <w:rStyle w:val="FootnoteCharacters"/>
        </w:rPr>
        <w:footnoteRef/>
      </w:r>
      <w:r>
        <w:rPr>
          <w:rtl/>
        </w:rPr>
        <w:tab/>
        <w:t xml:space="preserve"> גמרא </w:t>
      </w:r>
      <w:r>
        <w:rPr>
          <w:b/>
          <w:bCs/>
          <w:u w:val="single"/>
          <w:rtl/>
        </w:rPr>
        <w:t>(כ:)</w:t>
      </w:r>
      <w:r>
        <w:rPr>
          <w:rtl/>
        </w:rPr>
        <w:t xml:space="preserve"> מפרש ש</w:t>
      </w:r>
      <w:r w:rsidR="00124704">
        <w:rPr>
          <w:rFonts w:hint="cs"/>
          <w:rtl/>
        </w:rPr>
        <w:t>ת</w:t>
      </w:r>
      <w:r>
        <w:rPr>
          <w:rtl/>
        </w:rPr>
        <w:t>י שיטות בזה:</w:t>
      </w:r>
    </w:p>
    <w:p w14:paraId="5695A4AD" w14:textId="561FDD43" w:rsidR="00AB1F35" w:rsidRDefault="00000000">
      <w:pPr>
        <w:pStyle w:val="FootnoteText"/>
        <w:numPr>
          <w:ilvl w:val="0"/>
          <w:numId w:val="2"/>
        </w:numPr>
      </w:pPr>
      <w:r>
        <w:rPr>
          <w:rtl/>
        </w:rPr>
        <w:t>שמואל אומר בשם ההולכים לים שהוא נקרא "כולכא." [</w:t>
      </w:r>
      <w:r w:rsidR="00D35865">
        <w:rPr>
          <w:rFonts w:hint="cs"/>
          <w:rtl/>
        </w:rPr>
        <w:t>ח</w:t>
      </w:r>
      <w:r>
        <w:rPr>
          <w:rtl/>
        </w:rPr>
        <w:t>]</w:t>
      </w:r>
      <w:r w:rsidR="002E0A93">
        <w:rPr>
          <w:rFonts w:hint="cs"/>
          <w:rtl/>
        </w:rPr>
        <w:t xml:space="preserve"> [</w:t>
      </w:r>
      <w:r w:rsidR="00D35865">
        <w:rPr>
          <w:rFonts w:hint="cs"/>
          <w:rtl/>
        </w:rPr>
        <w:t>ט</w:t>
      </w:r>
      <w:r w:rsidR="002E0A93">
        <w:rPr>
          <w:rFonts w:hint="cs"/>
          <w:rtl/>
        </w:rPr>
        <w:t>]</w:t>
      </w:r>
    </w:p>
    <w:p w14:paraId="45DB6E9E" w14:textId="248AD50A" w:rsidR="00AB1F35" w:rsidRDefault="00000000">
      <w:pPr>
        <w:pStyle w:val="FootnoteText"/>
        <w:numPr>
          <w:ilvl w:val="0"/>
          <w:numId w:val="2"/>
        </w:numPr>
      </w:pPr>
      <w:r>
        <w:rPr>
          <w:rtl/>
        </w:rPr>
        <w:t>רבי יצחק בר זעירא אומר שהוא גושקרא. [</w:t>
      </w:r>
      <w:r w:rsidR="006A7E17">
        <w:rPr>
          <w:rFonts w:hint="cs"/>
          <w:rtl/>
        </w:rPr>
        <w:t>י]</w:t>
      </w:r>
      <w:r>
        <w:rPr>
          <w:rtl/>
        </w:rPr>
        <w:t xml:space="preserve"> רש"י מפרש </w:t>
      </w:r>
      <w:r w:rsidR="00C56DA2">
        <w:rPr>
          <w:rtl/>
        </w:rPr>
        <w:t>שהוא</w:t>
      </w:r>
      <w:r>
        <w:rPr>
          <w:rtl/>
        </w:rPr>
        <w:t xml:space="preserve"> בגד שנעשה מפסולת של משי שעשוי לבית התולעת. אז, זה הקוקו"ן, ב</w:t>
      </w:r>
      <w:r w:rsidR="00791A6E">
        <w:rPr>
          <w:rFonts w:hint="cs"/>
          <w:rtl/>
        </w:rPr>
        <w:t>א</w:t>
      </w:r>
      <w:r>
        <w:rPr>
          <w:rtl/>
        </w:rPr>
        <w:t>נגלית, של הסילקוור"ם</w:t>
      </w:r>
      <w:r w:rsidR="00791A6E">
        <w:rPr>
          <w:rFonts w:hint="cs"/>
          <w:rtl/>
        </w:rPr>
        <w:t xml:space="preserve">. </w:t>
      </w:r>
      <w:r>
        <w:rPr>
          <w:rtl/>
        </w:rPr>
        <w:t xml:space="preserve">גם הוא עשוי ממשי, אבל לא </w:t>
      </w:r>
      <w:r w:rsidR="001E5AFF">
        <w:rPr>
          <w:rFonts w:hint="cs"/>
          <w:rtl/>
        </w:rPr>
        <w:t xml:space="preserve">עושים ממנו </w:t>
      </w:r>
      <w:r>
        <w:rPr>
          <w:rtl/>
        </w:rPr>
        <w:t>משי טוב. אביי אומר שזה גם נקרא "שירא פרנדא." [</w:t>
      </w:r>
      <w:r w:rsidR="002617A7">
        <w:rPr>
          <w:rFonts w:hint="cs"/>
          <w:rtl/>
        </w:rPr>
        <w:t>יא</w:t>
      </w:r>
      <w:r>
        <w:rPr>
          <w:rtl/>
        </w:rPr>
        <w:t>] [</w:t>
      </w:r>
      <w:r w:rsidR="002617A7">
        <w:rPr>
          <w:rFonts w:hint="cs"/>
          <w:rtl/>
        </w:rPr>
        <w:t>יב</w:t>
      </w:r>
      <w:r>
        <w:rPr>
          <w:rtl/>
        </w:rPr>
        <w:t>]</w:t>
      </w:r>
      <w:r w:rsidR="00FF48DF">
        <w:rPr>
          <w:rFonts w:hint="cs"/>
          <w:rtl/>
        </w:rPr>
        <w:t xml:space="preserve"> [</w:t>
      </w:r>
      <w:r w:rsidR="002617A7">
        <w:rPr>
          <w:rFonts w:hint="cs"/>
          <w:rtl/>
        </w:rPr>
        <w:t>יג</w:t>
      </w:r>
      <w:r w:rsidR="00FF48DF">
        <w:rPr>
          <w:rFonts w:hint="cs"/>
          <w:rtl/>
        </w:rPr>
        <w:t>]</w:t>
      </w:r>
      <w:r w:rsidR="00AC6942">
        <w:rPr>
          <w:rFonts w:hint="cs"/>
          <w:rtl/>
        </w:rPr>
        <w:t xml:space="preserve"> [</w:t>
      </w:r>
      <w:r w:rsidR="002617A7">
        <w:rPr>
          <w:rFonts w:hint="cs"/>
          <w:rtl/>
        </w:rPr>
        <w:t>יד</w:t>
      </w:r>
      <w:r w:rsidR="00AC6942">
        <w:rPr>
          <w:rFonts w:hint="cs"/>
          <w:rtl/>
        </w:rPr>
        <w:t>]</w:t>
      </w:r>
      <w:r>
        <w:rPr>
          <w:rtl/>
        </w:rPr>
        <w:t xml:space="preserve"> </w:t>
      </w:r>
    </w:p>
    <w:p w14:paraId="0E2F8136" w14:textId="77777777" w:rsidR="00AB1F35" w:rsidRDefault="00000000">
      <w:pPr>
        <w:pStyle w:val="FootnoteText"/>
      </w:pPr>
      <w:r>
        <w:rPr>
          <w:rtl/>
        </w:rPr>
        <w:tab/>
        <w:t>הוא פסול להיות פתילה.</w:t>
      </w:r>
    </w:p>
  </w:footnote>
  <w:footnote w:id="7">
    <w:p w14:paraId="4F7CB7FA" w14:textId="41F77B3A" w:rsidR="00AB1F35" w:rsidRDefault="00000000">
      <w:pPr>
        <w:pStyle w:val="FootnoteText"/>
      </w:pPr>
      <w:r>
        <w:rPr>
          <w:rStyle w:val="FootnoteCharacters"/>
        </w:rPr>
        <w:footnoteRef/>
      </w:r>
      <w:r>
        <w:rPr>
          <w:rtl/>
        </w:rPr>
        <w:tab/>
        <w:t xml:space="preserve"> גמרא </w:t>
      </w:r>
      <w:r>
        <w:rPr>
          <w:b/>
          <w:bCs/>
          <w:u w:val="single"/>
          <w:rtl/>
        </w:rPr>
        <w:t>(כ:)</w:t>
      </w:r>
      <w:r>
        <w:rPr>
          <w:rtl/>
        </w:rPr>
        <w:t xml:space="preserve"> מפרש שהוא צמר הנמצא בין קליפה ועץ של אחוינא.</w:t>
      </w:r>
      <w:r w:rsidR="00C02B04">
        <w:rPr>
          <w:rFonts w:hint="cs"/>
          <w:rtl/>
        </w:rPr>
        <w:t xml:space="preserve"> (בירושלמי אומר שהוא עיריניתא.)</w:t>
      </w:r>
      <w:r>
        <w:rPr>
          <w:rtl/>
        </w:rPr>
        <w:t xml:space="preserve"> רש"י פי' שאחוינא הוא ערבה</w:t>
      </w:r>
      <w:r w:rsidR="00C02B04">
        <w:rPr>
          <w:rFonts w:hint="cs"/>
          <w:rtl/>
        </w:rPr>
        <w:t xml:space="preserve"> (וכן מפרש פני משה בעיריניתא)</w:t>
      </w:r>
      <w:r>
        <w:rPr>
          <w:rtl/>
        </w:rPr>
        <w:t>, וראיתי שבאנגלית הוא וויל"ו. [</w:t>
      </w:r>
      <w:r w:rsidR="002617A7">
        <w:rPr>
          <w:rFonts w:hint="cs"/>
          <w:rtl/>
        </w:rPr>
        <w:t>טו</w:t>
      </w:r>
      <w:r>
        <w:rPr>
          <w:rtl/>
        </w:rPr>
        <w:t>] הוא פסול להיות פתילה.</w:t>
      </w:r>
    </w:p>
  </w:footnote>
  <w:footnote w:id="8">
    <w:p w14:paraId="7EAAD6F8" w14:textId="75281328" w:rsidR="00AB1F35" w:rsidRDefault="00000000">
      <w:pPr>
        <w:pStyle w:val="FootnoteText"/>
      </w:pPr>
      <w:r>
        <w:rPr>
          <w:rStyle w:val="FootnoteCharacters"/>
        </w:rPr>
        <w:footnoteRef/>
      </w:r>
      <w:r>
        <w:rPr>
          <w:rtl/>
        </w:rPr>
        <w:tab/>
        <w:t xml:space="preserve"> גמרא </w:t>
      </w:r>
      <w:r>
        <w:rPr>
          <w:b/>
          <w:bCs/>
          <w:u w:val="single"/>
          <w:rtl/>
        </w:rPr>
        <w:t>(כ:)</w:t>
      </w:r>
      <w:r>
        <w:rPr>
          <w:rtl/>
        </w:rPr>
        <w:t xml:space="preserve"> מפרש שהוא שברא. באנגלית, זה נקרא מולי"ן. הוא פסול להיות פתילה.</w:t>
      </w:r>
      <w:r w:rsidR="008D4F1C">
        <w:rPr>
          <w:rFonts w:hint="cs"/>
          <w:rtl/>
        </w:rPr>
        <w:t xml:space="preserve"> </w:t>
      </w:r>
      <w:r w:rsidR="00521F74">
        <w:rPr>
          <w:rFonts w:hint="cs"/>
          <w:rtl/>
        </w:rPr>
        <w:t xml:space="preserve">[טז] </w:t>
      </w:r>
      <w:r w:rsidR="001522AF">
        <w:rPr>
          <w:rFonts w:hint="cs"/>
          <w:rtl/>
        </w:rPr>
        <w:t>[</w:t>
      </w:r>
      <w:r w:rsidR="00521F74">
        <w:rPr>
          <w:rFonts w:hint="cs"/>
          <w:rtl/>
        </w:rPr>
        <w:t>יז</w:t>
      </w:r>
      <w:r w:rsidR="001522AF">
        <w:rPr>
          <w:rFonts w:hint="cs"/>
          <w:rtl/>
        </w:rPr>
        <w:t>]</w:t>
      </w:r>
    </w:p>
  </w:footnote>
  <w:footnote w:id="9">
    <w:p w14:paraId="7B05F089" w14:textId="37B97F5F" w:rsidR="00AB1F35" w:rsidRDefault="00000000">
      <w:pPr>
        <w:pStyle w:val="FootnoteText"/>
      </w:pPr>
      <w:r>
        <w:rPr>
          <w:rStyle w:val="FootnoteCharacters"/>
        </w:rPr>
        <w:footnoteRef/>
      </w:r>
      <w:r>
        <w:rPr>
          <w:rtl/>
        </w:rPr>
        <w:tab/>
        <w:t xml:space="preserve"> גמרא </w:t>
      </w:r>
      <w:r>
        <w:rPr>
          <w:b/>
          <w:bCs/>
          <w:u w:val="single"/>
          <w:rtl/>
        </w:rPr>
        <w:t>(כ:)</w:t>
      </w:r>
      <w:r>
        <w:rPr>
          <w:rtl/>
        </w:rPr>
        <w:t xml:space="preserve"> מפרש שני צדדים בזה:</w:t>
      </w:r>
    </w:p>
    <w:p w14:paraId="2DE9AF22" w14:textId="0D93E73C" w:rsidR="00AB1F35" w:rsidRDefault="00000000">
      <w:pPr>
        <w:pStyle w:val="FootnoteText"/>
        <w:numPr>
          <w:ilvl w:val="0"/>
          <w:numId w:val="3"/>
        </w:numPr>
      </w:pPr>
      <w:r>
        <w:rPr>
          <w:rtl/>
        </w:rPr>
        <w:t>מצדד שהוא אוכמתא דחריצי. רש</w:t>
      </w:r>
      <w:r w:rsidR="00791A6E">
        <w:rPr>
          <w:rFonts w:hint="cs"/>
          <w:rtl/>
        </w:rPr>
        <w:t>"</w:t>
      </w:r>
      <w:r>
        <w:rPr>
          <w:rtl/>
        </w:rPr>
        <w:t xml:space="preserve">י מפרש </w:t>
      </w:r>
      <w:r w:rsidR="00C12CDC">
        <w:rPr>
          <w:rFonts w:hint="cs"/>
          <w:rtl/>
        </w:rPr>
        <w:t>שהוא</w:t>
      </w:r>
      <w:r>
        <w:rPr>
          <w:rtl/>
        </w:rPr>
        <w:t xml:space="preserve"> כעין ירקרוקת שגדל במקום כינוסי מים. באנגלית, הוא מין מוס. גמרא דוחה את זה, כיון שאינו חזק, ומתבצע מעצמו, ואין יכולת לעשות ממנו פתילה. [י</w:t>
      </w:r>
      <w:r w:rsidR="00521F74">
        <w:rPr>
          <w:rFonts w:hint="cs"/>
          <w:rtl/>
        </w:rPr>
        <w:t>ח</w:t>
      </w:r>
      <w:r>
        <w:rPr>
          <w:rtl/>
        </w:rPr>
        <w:t>]</w:t>
      </w:r>
    </w:p>
    <w:p w14:paraId="78F06C76" w14:textId="303AFB4B" w:rsidR="00AB1F35" w:rsidRDefault="00000000">
      <w:pPr>
        <w:pStyle w:val="FootnoteText"/>
        <w:numPr>
          <w:ilvl w:val="0"/>
          <w:numId w:val="3"/>
        </w:numPr>
      </w:pPr>
      <w:r>
        <w:rPr>
          <w:rtl/>
        </w:rPr>
        <w:t xml:space="preserve">מסיק שהוא אוכמתא דארבא. רש"י מפרש שהוא כעין ירקרוקת שגדל סביב צד חיצון של שולי ספינה </w:t>
      </w:r>
      <w:r w:rsidR="00791A6E">
        <w:rPr>
          <w:rFonts w:hint="cs"/>
          <w:rtl/>
        </w:rPr>
        <w:t>כ</w:t>
      </w:r>
      <w:r>
        <w:rPr>
          <w:rtl/>
        </w:rPr>
        <w:t>שמתעכבת במקום אחד במים. באנגלית, הוא מין אחר של מו"ס.</w:t>
      </w:r>
    </w:p>
    <w:p w14:paraId="3A7DE527" w14:textId="77777777" w:rsidR="00AB1F35" w:rsidRDefault="00000000">
      <w:pPr>
        <w:pStyle w:val="FootnoteText"/>
      </w:pPr>
      <w:r>
        <w:rPr>
          <w:rtl/>
        </w:rPr>
        <w:tab/>
        <w:t>הוא פסול להיות פתילה.</w:t>
      </w:r>
    </w:p>
  </w:footnote>
  <w:footnote w:id="10">
    <w:p w14:paraId="0ACCCD6E" w14:textId="77777777" w:rsidR="00AB1F35" w:rsidRDefault="00000000">
      <w:pPr>
        <w:pStyle w:val="FootnoteText"/>
      </w:pPr>
      <w:r>
        <w:rPr>
          <w:rStyle w:val="FootnoteCharacters"/>
        </w:rPr>
        <w:footnoteRef/>
      </w:r>
      <w:r>
        <w:rPr>
          <w:rtl/>
        </w:rPr>
        <w:tab/>
        <w:t>בריי' מוסיף עוד שני דברים הפסולים להיות פתילה:</w:t>
      </w:r>
    </w:p>
    <w:p w14:paraId="6DF1BAA4" w14:textId="77777777" w:rsidR="00AB1F35" w:rsidRDefault="00000000">
      <w:pPr>
        <w:pStyle w:val="FootnoteText"/>
        <w:numPr>
          <w:ilvl w:val="0"/>
          <w:numId w:val="4"/>
        </w:numPr>
      </w:pPr>
      <w:r>
        <w:rPr>
          <w:rtl/>
        </w:rPr>
        <w:t>צמר.</w:t>
      </w:r>
    </w:p>
    <w:p w14:paraId="6D9222EE" w14:textId="77777777" w:rsidR="00AB1F35" w:rsidRDefault="00000000">
      <w:pPr>
        <w:pStyle w:val="FootnoteText"/>
        <w:numPr>
          <w:ilvl w:val="0"/>
          <w:numId w:val="4"/>
        </w:numPr>
      </w:pPr>
      <w:r>
        <w:rPr>
          <w:rtl/>
        </w:rPr>
        <w:t>שער.</w:t>
      </w:r>
    </w:p>
    <w:p w14:paraId="1A530052" w14:textId="5FE3856E" w:rsidR="00AB1F35" w:rsidRDefault="00000000">
      <w:pPr>
        <w:pStyle w:val="FootnoteText"/>
      </w:pPr>
      <w:r>
        <w:rPr>
          <w:rtl/>
        </w:rPr>
        <w:tab/>
        <w:t>התנא לא מזכיר אותם, כיון שלא ראויים כל כך להיות פתילה.  [י</w:t>
      </w:r>
      <w:r w:rsidR="00320EFE">
        <w:rPr>
          <w:rFonts w:hint="cs"/>
          <w:rtl/>
        </w:rPr>
        <w:t>ט</w:t>
      </w:r>
      <w:r>
        <w:rPr>
          <w:rtl/>
        </w:rPr>
        <w:t>] [</w:t>
      </w:r>
      <w:r w:rsidR="00320EFE">
        <w:rPr>
          <w:rFonts w:hint="cs"/>
          <w:rtl/>
        </w:rPr>
        <w:t>כ</w:t>
      </w:r>
      <w:r>
        <w:rPr>
          <w:rtl/>
        </w:rPr>
        <w:t>]</w:t>
      </w:r>
    </w:p>
  </w:footnote>
  <w:footnote w:id="11">
    <w:p w14:paraId="3B9DADD2" w14:textId="26B37FE7" w:rsidR="00E22CD5" w:rsidRDefault="00E22CD5">
      <w:pPr>
        <w:pStyle w:val="FootnoteText"/>
      </w:pPr>
      <w:r>
        <w:rPr>
          <w:rStyle w:val="FootnoteReference"/>
        </w:rPr>
        <w:footnoteRef/>
      </w:r>
      <w:r>
        <w:rPr>
          <w:rtl/>
        </w:rPr>
        <w:t xml:space="preserve"> </w:t>
      </w:r>
      <w:r>
        <w:rPr>
          <w:rtl/>
        </w:rPr>
        <w:tab/>
      </w:r>
      <w:r>
        <w:rPr>
          <w:rFonts w:hint="cs"/>
          <w:rtl/>
        </w:rPr>
        <w:t>עד כאן מנה את הפסולים להיות פתילה. מכאן, מתחיל למנות את הפסולים להיות שמן. לכן, יש גורסים כאן "לא," ולא "ולא."</w:t>
      </w:r>
    </w:p>
  </w:footnote>
  <w:footnote w:id="12">
    <w:p w14:paraId="7D400701" w14:textId="625824BE" w:rsidR="00AB1F35" w:rsidRDefault="00000000">
      <w:pPr>
        <w:pStyle w:val="FootnoteText"/>
      </w:pPr>
      <w:r>
        <w:rPr>
          <w:rStyle w:val="FootnoteCharacters"/>
        </w:rPr>
        <w:footnoteRef/>
      </w:r>
      <w:r>
        <w:rPr>
          <w:rtl/>
        </w:rPr>
        <w:tab/>
        <w:t xml:space="preserve"> גמרא </w:t>
      </w:r>
      <w:r>
        <w:rPr>
          <w:b/>
          <w:bCs/>
          <w:u w:val="single"/>
          <w:rtl/>
        </w:rPr>
        <w:t>(כ:)</w:t>
      </w:r>
      <w:r>
        <w:rPr>
          <w:rtl/>
        </w:rPr>
        <w:t xml:space="preserve"> מפרש שהוא זיפתא. באנגלית, זה פיט"ש. הוא פסול להיות שמן.</w:t>
      </w:r>
    </w:p>
  </w:footnote>
  <w:footnote w:id="13">
    <w:p w14:paraId="1C599A91" w14:textId="1D5551CB" w:rsidR="00AB1F35" w:rsidRDefault="00000000">
      <w:pPr>
        <w:pStyle w:val="FootnoteText"/>
      </w:pPr>
      <w:r>
        <w:rPr>
          <w:rStyle w:val="FootnoteCharacters"/>
        </w:rPr>
        <w:footnoteRef/>
      </w:r>
      <w:r>
        <w:rPr>
          <w:rtl/>
        </w:rPr>
        <w:tab/>
        <w:t xml:space="preserve"> גמרא </w:t>
      </w:r>
      <w:r>
        <w:rPr>
          <w:b/>
          <w:bCs/>
          <w:u w:val="single"/>
          <w:rtl/>
        </w:rPr>
        <w:t>(כ:)</w:t>
      </w:r>
      <w:r>
        <w:rPr>
          <w:rtl/>
        </w:rPr>
        <w:t xml:space="preserve"> מפרש </w:t>
      </w:r>
      <w:r w:rsidR="00C56DA2">
        <w:rPr>
          <w:rtl/>
        </w:rPr>
        <w:t>שהוא</w:t>
      </w:r>
      <w:r>
        <w:rPr>
          <w:rtl/>
        </w:rPr>
        <w:t xml:space="preserve"> קירותא, ושהוא הפסולת של דבש. [</w:t>
      </w:r>
      <w:r w:rsidR="00320EFE">
        <w:rPr>
          <w:rFonts w:hint="cs"/>
          <w:rtl/>
        </w:rPr>
        <w:t>כא</w:t>
      </w:r>
      <w:r>
        <w:rPr>
          <w:rtl/>
        </w:rPr>
        <w:t xml:space="preserve">] באנגלית, זה וואק"ס. הוא פסול להיות שמן, אבל כשר </w:t>
      </w:r>
      <w:r w:rsidR="00C56DA2">
        <w:rPr>
          <w:rFonts w:hint="cs"/>
          <w:rtl/>
        </w:rPr>
        <w:t xml:space="preserve">לעשות ממנו </w:t>
      </w:r>
      <w:r>
        <w:rPr>
          <w:rtl/>
        </w:rPr>
        <w:t>פתילה ולהדליק.</w:t>
      </w:r>
      <w:r w:rsidR="00EB61C4">
        <w:rPr>
          <w:rFonts w:hint="cs"/>
          <w:rtl/>
        </w:rPr>
        <w:t xml:space="preserve"> </w:t>
      </w:r>
      <w:r w:rsidR="00037D52">
        <w:rPr>
          <w:rFonts w:hint="cs"/>
          <w:rtl/>
        </w:rPr>
        <w:t>[כב]</w:t>
      </w:r>
    </w:p>
  </w:footnote>
  <w:footnote w:id="14">
    <w:p w14:paraId="348B610D" w14:textId="45F3469B" w:rsidR="00AB1F35" w:rsidRDefault="00000000">
      <w:pPr>
        <w:pStyle w:val="FootnoteText"/>
      </w:pPr>
      <w:r>
        <w:rPr>
          <w:rStyle w:val="FootnoteCharacters"/>
        </w:rPr>
        <w:footnoteRef/>
      </w:r>
      <w:r>
        <w:rPr>
          <w:rtl/>
        </w:rPr>
        <w:tab/>
        <w:t xml:space="preserve"> גמרא </w:t>
      </w:r>
      <w:r>
        <w:rPr>
          <w:b/>
          <w:bCs/>
          <w:u w:val="single"/>
          <w:rtl/>
        </w:rPr>
        <w:t>(כא.)</w:t>
      </w:r>
      <w:r>
        <w:rPr>
          <w:rtl/>
        </w:rPr>
        <w:t xml:space="preserve"> מפרש שלש שיטות בזה:</w:t>
      </w:r>
    </w:p>
    <w:p w14:paraId="62170849" w14:textId="47170DCC" w:rsidR="00AB1F35" w:rsidRDefault="00000000">
      <w:pPr>
        <w:pStyle w:val="FootnoteText"/>
        <w:numPr>
          <w:ilvl w:val="0"/>
          <w:numId w:val="5"/>
        </w:numPr>
      </w:pPr>
      <w:r>
        <w:rPr>
          <w:rtl/>
        </w:rPr>
        <w:t>שמואל אומר בשם הולכי ים שהוא שמן שבא מעוף הנקרא קיק.</w:t>
      </w:r>
      <w:r w:rsidR="0069003E">
        <w:rPr>
          <w:rFonts w:hint="cs"/>
          <w:rtl/>
        </w:rPr>
        <w:t xml:space="preserve"> (בירושלמי, מביא בריי' שאומר שה"קאת" (שהוא אחד מן העופות הטמאים) הוא הקיק.)</w:t>
      </w:r>
    </w:p>
    <w:p w14:paraId="28A5CD2F" w14:textId="77777777" w:rsidR="00AB1F35" w:rsidRDefault="00000000">
      <w:pPr>
        <w:pStyle w:val="FootnoteText"/>
        <w:numPr>
          <w:ilvl w:val="0"/>
          <w:numId w:val="5"/>
        </w:numPr>
      </w:pPr>
      <w:r>
        <w:rPr>
          <w:rtl/>
        </w:rPr>
        <w:t>רב יצחק בריה דרב יהודה אומר שהוא שמן של הקאזא. רש"י פי' שעושים השמן מן הגרעין של הקאזא, וגם מבאר שקאזא הוא, בלעז (ובאנגלית), קוטו"ן.</w:t>
      </w:r>
    </w:p>
    <w:p w14:paraId="7BBD56CB" w14:textId="77777777" w:rsidR="00AB1F35" w:rsidRDefault="00000000">
      <w:pPr>
        <w:pStyle w:val="FootnoteText"/>
        <w:numPr>
          <w:ilvl w:val="0"/>
          <w:numId w:val="5"/>
        </w:numPr>
      </w:pPr>
      <w:r>
        <w:rPr>
          <w:rtl/>
        </w:rPr>
        <w:t>ריש לקיש אומר שהוא קיקיון הנזכר בספר יונה. הגמרא מפרש שעושים שמן מן הגרעינים שבו. ראיתי שבאנגלית קיקיון של יונה נקרא קאסטו"ר.</w:t>
      </w:r>
    </w:p>
    <w:p w14:paraId="4070CE6A" w14:textId="4774E138" w:rsidR="0094389D" w:rsidRDefault="00770611" w:rsidP="0094389D">
      <w:pPr>
        <w:pStyle w:val="FootnoteText"/>
        <w:ind w:left="692"/>
      </w:pPr>
      <w:r>
        <w:rPr>
          <w:rFonts w:hint="cs"/>
          <w:rtl/>
        </w:rPr>
        <w:t>[</w:t>
      </w:r>
      <w:r w:rsidR="00037D52">
        <w:rPr>
          <w:rFonts w:hint="cs"/>
          <w:rtl/>
        </w:rPr>
        <w:t>כג]</w:t>
      </w:r>
    </w:p>
  </w:footnote>
  <w:footnote w:id="15">
    <w:p w14:paraId="29B797F8" w14:textId="20E88299" w:rsidR="00AB1F35" w:rsidRDefault="00000000">
      <w:pPr>
        <w:pStyle w:val="FootnoteText"/>
      </w:pPr>
      <w:r>
        <w:rPr>
          <w:rStyle w:val="FootnoteCharacters"/>
        </w:rPr>
        <w:footnoteRef/>
      </w:r>
      <w:r>
        <w:rPr>
          <w:rtl/>
        </w:rPr>
        <w:tab/>
        <w:t xml:space="preserve"> גמרא </w:t>
      </w:r>
      <w:r>
        <w:rPr>
          <w:b/>
          <w:bCs/>
          <w:u w:val="single"/>
          <w:rtl/>
        </w:rPr>
        <w:t>(כג:)</w:t>
      </w:r>
      <w:r>
        <w:rPr>
          <w:rtl/>
        </w:rPr>
        <w:t xml:space="preserve"> מפרש שזה שמן של תרומה טמאה. חייב לשרוף אותו, כיון שהוא אסור באכילה, ויכול להנות משריפתו. </w:t>
      </w:r>
    </w:p>
    <w:p w14:paraId="034DC011" w14:textId="77777777" w:rsidR="00AB1F35" w:rsidRDefault="00000000">
      <w:pPr>
        <w:pStyle w:val="FootnoteText"/>
      </w:pPr>
      <w:r>
        <w:rPr>
          <w:rtl/>
        </w:rPr>
        <w:tab/>
        <w:t>גמרא נותן שני טעמים לאסור אותו להיות שמן:</w:t>
      </w:r>
    </w:p>
    <w:p w14:paraId="5E8801B0" w14:textId="77777777" w:rsidR="00037D52" w:rsidRDefault="00000000" w:rsidP="00037D52">
      <w:pPr>
        <w:pStyle w:val="FootnoteText"/>
        <w:numPr>
          <w:ilvl w:val="0"/>
          <w:numId w:val="6"/>
        </w:numPr>
      </w:pPr>
      <w:r>
        <w:rPr>
          <w:rtl/>
        </w:rPr>
        <w:t xml:space="preserve">רבה סובר שאסור להדליק בו כיון שמצווה הוא לשרוף אותו (ששומר </w:t>
      </w:r>
      <w:r w:rsidR="004B0A2A">
        <w:rPr>
          <w:rFonts w:hint="cs"/>
          <w:rtl/>
        </w:rPr>
        <w:t>שלא ייאכל</w:t>
      </w:r>
      <w:r>
        <w:rPr>
          <w:rtl/>
        </w:rPr>
        <w:t>), ואז חוששים שיטה, כדי למהר את המצווה. מקשה גמרא למה אסור בי"ט, שאין איסור הבערה נוהגת בי"ט, שמתוך שהותרה לצורך, גם הותרה שלא לצורך. רבה מתרץ שאסור להדליק בו בי"ט מפני גזירה על יום טוב אטו שבת.</w:t>
      </w:r>
      <w:r w:rsidR="00D758A4">
        <w:rPr>
          <w:rFonts w:hint="cs"/>
          <w:rtl/>
        </w:rPr>
        <w:t xml:space="preserve"> [</w:t>
      </w:r>
      <w:r w:rsidR="00037D52">
        <w:rPr>
          <w:rFonts w:hint="cs"/>
          <w:rtl/>
        </w:rPr>
        <w:t>כד</w:t>
      </w:r>
      <w:r w:rsidR="00D758A4">
        <w:rPr>
          <w:rFonts w:hint="cs"/>
          <w:rtl/>
        </w:rPr>
        <w:t>]</w:t>
      </w:r>
    </w:p>
    <w:p w14:paraId="78C338F4" w14:textId="15932173" w:rsidR="00037D52" w:rsidRDefault="00000000" w:rsidP="00037D52">
      <w:pPr>
        <w:pStyle w:val="FootnoteText"/>
        <w:numPr>
          <w:ilvl w:val="0"/>
          <w:numId w:val="6"/>
        </w:numPr>
      </w:pPr>
      <w:r>
        <w:rPr>
          <w:rtl/>
        </w:rPr>
        <w:t>רב הונא אומר שאסור להדליק בו מפני י"ט שחל בערב שבת. אם אדם רגיל להדליק בשמן של תרומה טמאה, ידליק בו גם בי"ט. אבל, אסור לשרוף תרומה טמאה ביום טוב, ונמצא שעובר על איסור. [</w:t>
      </w:r>
      <w:r w:rsidR="00037D52">
        <w:rPr>
          <w:rFonts w:hint="cs"/>
          <w:rtl/>
        </w:rPr>
        <w:t>כה</w:t>
      </w:r>
      <w:r>
        <w:rPr>
          <w:rtl/>
        </w:rPr>
        <w:t>]</w:t>
      </w:r>
      <w:r w:rsidR="002416EA">
        <w:rPr>
          <w:rFonts w:hint="cs"/>
          <w:rtl/>
        </w:rPr>
        <w:t xml:space="preserve"> </w:t>
      </w:r>
      <w:r w:rsidR="00BD27E7">
        <w:rPr>
          <w:rFonts w:hint="cs"/>
          <w:rtl/>
        </w:rPr>
        <w:t>[כו]</w:t>
      </w:r>
    </w:p>
    <w:p w14:paraId="687FCC1A" w14:textId="3546D0C0" w:rsidR="001D54EF" w:rsidRDefault="001D54EF" w:rsidP="00037D52">
      <w:pPr>
        <w:pStyle w:val="FootnoteText"/>
        <w:ind w:left="360" w:firstLine="0"/>
        <w:rPr>
          <w:rtl/>
        </w:rPr>
      </w:pPr>
      <w:r>
        <w:rPr>
          <w:rtl/>
        </w:rPr>
        <w:t>גמרא מביא בריי' שהולך כשיטת רב הונא.</w:t>
      </w:r>
    </w:p>
    <w:p w14:paraId="050CC952" w14:textId="3A2F5A85" w:rsidR="00331480" w:rsidRDefault="00331480" w:rsidP="00BD27E7">
      <w:pPr>
        <w:pStyle w:val="FootnoteText"/>
        <w:ind w:left="360" w:firstLine="0"/>
        <w:rPr>
          <w:rtl/>
        </w:rPr>
      </w:pPr>
      <w:r>
        <w:rPr>
          <w:rFonts w:hint="cs"/>
          <w:rtl/>
        </w:rPr>
        <w:t>[</w:t>
      </w:r>
      <w:r w:rsidR="00BD27E7">
        <w:rPr>
          <w:rFonts w:hint="cs"/>
          <w:rtl/>
        </w:rPr>
        <w:t>כז] [כח]</w:t>
      </w:r>
    </w:p>
    <w:p w14:paraId="15DBC6F7" w14:textId="77777777" w:rsidR="001D54EF" w:rsidRDefault="00000000" w:rsidP="001D54EF">
      <w:pPr>
        <w:pStyle w:val="FootnoteText"/>
        <w:rPr>
          <w:rtl/>
        </w:rPr>
      </w:pPr>
      <w:r>
        <w:rPr>
          <w:rtl/>
        </w:rPr>
        <w:tab/>
        <w:t xml:space="preserve">בארנו שאסור לשרוף תרומה טמאה בי"ט. לא רק אסור לשרוף תרומה טמאה, אלא אסור לשרוף כל קדשים פסולים בי"ט. גמרא </w:t>
      </w:r>
      <w:r>
        <w:rPr>
          <w:b/>
          <w:bCs/>
          <w:u w:val="single"/>
          <w:rtl/>
        </w:rPr>
        <w:t>(כד:)</w:t>
      </w:r>
      <w:r>
        <w:rPr>
          <w:rtl/>
        </w:rPr>
        <w:t xml:space="preserve"> נותן ארבע מקורות לזה:</w:t>
      </w:r>
    </w:p>
    <w:p w14:paraId="136009B4" w14:textId="77777777" w:rsidR="001D54EF" w:rsidRDefault="00000000" w:rsidP="001D54EF">
      <w:pPr>
        <w:pStyle w:val="FootnoteText"/>
        <w:numPr>
          <w:ilvl w:val="0"/>
          <w:numId w:val="18"/>
        </w:numPr>
      </w:pPr>
      <w:r>
        <w:rPr>
          <w:rtl/>
        </w:rPr>
        <w:t>חזקיה אומר שנלמד מ"לא תותירו ממנו עד בוקר, והנותר ממנו עד בוקר." כופל מילת בוקר לומר שלפעמים צריך לחכות עוד בוקר, והוא אם הבוקר הראשון הוא י"ט. זה מפני שאסור לבער קדשים בי"ט.</w:t>
      </w:r>
    </w:p>
    <w:p w14:paraId="1CE380D8" w14:textId="77777777" w:rsidR="001D54EF" w:rsidRDefault="00000000" w:rsidP="001D54EF">
      <w:pPr>
        <w:pStyle w:val="FootnoteText"/>
        <w:numPr>
          <w:ilvl w:val="0"/>
          <w:numId w:val="18"/>
        </w:numPr>
      </w:pPr>
      <w:r>
        <w:rPr>
          <w:rtl/>
        </w:rPr>
        <w:t>אביי אומר שנלמד מ"עולת שבת בשבתו," שממעט שריפת עולת חול בשבת. כיון ששריפת עולת חול הכשרה אסורה בי"ט, כל שכן ששריפת קדשים פסולים אסורה.</w:t>
      </w:r>
    </w:p>
    <w:p w14:paraId="7AB0C379" w14:textId="77777777" w:rsidR="001D54EF" w:rsidRDefault="00000000" w:rsidP="001D54EF">
      <w:pPr>
        <w:pStyle w:val="FootnoteText"/>
        <w:numPr>
          <w:ilvl w:val="0"/>
          <w:numId w:val="18"/>
        </w:numPr>
      </w:pPr>
      <w:r>
        <w:rPr>
          <w:rtl/>
        </w:rPr>
        <w:t>רבא אומר שנלמד מ"לבדו," שנאמר בהיתר אוכל נפש. זה ממעט עשיית מצווה שאין זמנה קבוע בי"ט.</w:t>
      </w:r>
    </w:p>
    <w:p w14:paraId="4BF5DFAC" w14:textId="2269BB12" w:rsidR="00AB1F35" w:rsidRDefault="00000000" w:rsidP="00236538">
      <w:pPr>
        <w:pStyle w:val="FootnoteText"/>
        <w:numPr>
          <w:ilvl w:val="0"/>
          <w:numId w:val="18"/>
        </w:numPr>
      </w:pPr>
      <w:r>
        <w:rPr>
          <w:rtl/>
        </w:rPr>
        <w:t>רב אשי אומר שנלמד מ"שבתו</w:t>
      </w:r>
      <w:r w:rsidR="00FF4E51">
        <w:rPr>
          <w:rFonts w:hint="cs"/>
          <w:rtl/>
        </w:rPr>
        <w:t>ן</w:t>
      </w:r>
      <w:r>
        <w:rPr>
          <w:rtl/>
        </w:rPr>
        <w:t>," שהוא עשה על מלאכת י"ט. כיון שמלאכת י"ט הוא עשה ולא תעשה, אין עשה של שריפת קדשים דוחה אותו. [</w:t>
      </w:r>
      <w:r w:rsidR="00890960">
        <w:rPr>
          <w:rFonts w:hint="cs"/>
          <w:rtl/>
        </w:rPr>
        <w:t>כח]</w:t>
      </w:r>
    </w:p>
  </w:footnote>
  <w:footnote w:id="16">
    <w:p w14:paraId="3292B5D5" w14:textId="6A47F975" w:rsidR="00AB1F35" w:rsidRDefault="00000000">
      <w:pPr>
        <w:pStyle w:val="FootnoteText"/>
      </w:pPr>
      <w:r>
        <w:rPr>
          <w:rStyle w:val="FootnoteCharacters"/>
        </w:rPr>
        <w:footnoteRef/>
      </w:r>
      <w:r>
        <w:rPr>
          <w:rtl/>
        </w:rPr>
        <w:tab/>
        <w:t xml:space="preserve"> זה החלב הנמצא בזנב של שה. אינו כשר להיות שמן.</w:t>
      </w:r>
    </w:p>
  </w:footnote>
  <w:footnote w:id="17">
    <w:p w14:paraId="415678E2" w14:textId="2A8078D9" w:rsidR="00AB1F35" w:rsidRDefault="00000000">
      <w:pPr>
        <w:pStyle w:val="FootnoteText"/>
      </w:pPr>
      <w:r>
        <w:rPr>
          <w:rStyle w:val="FootnoteCharacters"/>
        </w:rPr>
        <w:footnoteRef/>
      </w:r>
      <w:r>
        <w:rPr>
          <w:rtl/>
        </w:rPr>
        <w:tab/>
        <w:t xml:space="preserve">כבר </w:t>
      </w:r>
      <w:r w:rsidR="00FF4E51">
        <w:rPr>
          <w:rFonts w:hint="cs"/>
          <w:rtl/>
        </w:rPr>
        <w:t>הז</w:t>
      </w:r>
      <w:r>
        <w:rPr>
          <w:rtl/>
        </w:rPr>
        <w:t>כיר חלב שנמצא באליה; כנראה, זה החלב שנמצא בשאר מקומות בגוף. [</w:t>
      </w:r>
      <w:r w:rsidR="001D51B8">
        <w:rPr>
          <w:rFonts w:hint="cs"/>
          <w:rtl/>
        </w:rPr>
        <w:t>כט</w:t>
      </w:r>
      <w:r>
        <w:rPr>
          <w:rtl/>
        </w:rPr>
        <w:t xml:space="preserve">] </w:t>
      </w:r>
      <w:r w:rsidR="001D51B8">
        <w:rPr>
          <w:rFonts w:hint="cs"/>
          <w:rtl/>
        </w:rPr>
        <w:t>[ל]</w:t>
      </w:r>
    </w:p>
  </w:footnote>
  <w:footnote w:id="18">
    <w:p w14:paraId="2D683B09" w14:textId="0BBB5708" w:rsidR="00AB1F35" w:rsidRDefault="00000000">
      <w:pPr>
        <w:pStyle w:val="FootnoteText"/>
      </w:pPr>
      <w:r>
        <w:rPr>
          <w:rStyle w:val="FootnoteCharacters"/>
        </w:rPr>
        <w:footnoteRef/>
      </w:r>
      <w:r>
        <w:rPr>
          <w:rtl/>
        </w:rPr>
        <w:tab/>
        <w:t xml:space="preserve"> גמרא </w:t>
      </w:r>
      <w:r>
        <w:rPr>
          <w:b/>
          <w:bCs/>
          <w:u w:val="single"/>
          <w:rtl/>
        </w:rPr>
        <w:t>(כא.)</w:t>
      </w:r>
      <w:r>
        <w:rPr>
          <w:rtl/>
        </w:rPr>
        <w:t xml:space="preserve"> מפרש שזה נוהג גם בחלב מהותך, ולא רק בחלב שאינו מהותך. חלב המהותך דולק יפה, ואסור משום גזירה (מחמת חלב שאינו מהותך). אז, אולי יש בו קולא, כמו שבארנו בהקדמה למשנה.</w:t>
      </w:r>
    </w:p>
  </w:footnote>
  <w:footnote w:id="19">
    <w:p w14:paraId="12ADA64F" w14:textId="6D1274F6" w:rsidR="00AB1F35" w:rsidRDefault="00000000">
      <w:pPr>
        <w:pStyle w:val="FootnoteText"/>
      </w:pPr>
      <w:r>
        <w:rPr>
          <w:rStyle w:val="FootnoteCharacters"/>
        </w:rPr>
        <w:footnoteRef/>
      </w:r>
      <w:r>
        <w:rPr>
          <w:rtl/>
        </w:rPr>
        <w:tab/>
        <w:t xml:space="preserve"> גמרא </w:t>
      </w:r>
      <w:r>
        <w:rPr>
          <w:b/>
          <w:bCs/>
          <w:u w:val="single"/>
          <w:rtl/>
        </w:rPr>
        <w:t>(כא.)</w:t>
      </w:r>
      <w:r>
        <w:rPr>
          <w:rtl/>
        </w:rPr>
        <w:t xml:space="preserve"> מוסיף על זה שאין מדליקים בקרבי דגים. בוודאי לא משתמשים בקרבי דגים שאינם נימוחים לשמן, שלא דולקים יפה. גם לא משתמשים בקרבי דגים נימוחים, אף שדולקים יפה, משום גזירה מחמת קרבי דגים שלא נימוחים. אז, אולי יש בו קולא, כמו שבארנו בהקדמה למשנה. [</w:t>
      </w:r>
      <w:r w:rsidR="001D51B8">
        <w:rPr>
          <w:rFonts w:hint="cs"/>
          <w:rtl/>
        </w:rPr>
        <w:t>לא</w:t>
      </w:r>
      <w:r w:rsidR="008B733E">
        <w:rPr>
          <w:rFonts w:hint="cs"/>
          <w:rtl/>
        </w:rPr>
        <w:t>]</w:t>
      </w:r>
    </w:p>
  </w:footnote>
  <w:footnote w:id="20">
    <w:p w14:paraId="2AD1D69A" w14:textId="45B77E01" w:rsidR="00AB1F35" w:rsidRDefault="00000000">
      <w:pPr>
        <w:pStyle w:val="FootnoteText"/>
      </w:pPr>
      <w:r>
        <w:rPr>
          <w:rStyle w:val="FootnoteCharacters"/>
        </w:rPr>
        <w:footnoteRef/>
      </w:r>
      <w:r>
        <w:rPr>
          <w:rtl/>
        </w:rPr>
        <w:tab/>
        <w:t>אם מבשל חלב, דולק יפה, ואז נחום המדי אומר שמדליקים בו. רש"י אומר שהוא מהותך. יש להסתפק אם רש"י מפרש ש"מבושל" ו"מהותך" שווים, או שרש"י מפרש שלנחום, צריך להיות מבושל ומהותך. לשני, ק"ק למה הוא שונה מחלב מהותך. אפשר שהוא יותר שונה מחלב שאינו דולק יפה, ואז אין כל כך סיבה לגזור. גם אפשר שכיון שהוכשר בשני דברים (שכל אחד עושה שיכול להדליק בו), לא גזרו. אבל, נראה כצד ראשון.</w:t>
      </w:r>
      <w:r w:rsidR="00C24A0D">
        <w:rPr>
          <w:rFonts w:hint="cs"/>
          <w:rtl/>
        </w:rPr>
        <w:t xml:space="preserve"> [</w:t>
      </w:r>
      <w:r w:rsidR="008B733E">
        <w:rPr>
          <w:rFonts w:hint="cs"/>
          <w:rtl/>
        </w:rPr>
        <w:t>לב]</w:t>
      </w:r>
    </w:p>
  </w:footnote>
  <w:footnote w:id="21">
    <w:p w14:paraId="4F22AABC" w14:textId="6F6CB736" w:rsidR="00AB1F35" w:rsidRDefault="00000000">
      <w:pPr>
        <w:pStyle w:val="FootnoteText"/>
      </w:pPr>
      <w:r>
        <w:rPr>
          <w:rStyle w:val="FootnoteCharacters"/>
        </w:rPr>
        <w:footnoteRef/>
      </w:r>
      <w:r>
        <w:rPr>
          <w:rtl/>
        </w:rPr>
        <w:tab/>
        <w:t xml:space="preserve"> גמרא מקשה ששיטת רבנן </w:t>
      </w:r>
      <w:r w:rsidR="00331074">
        <w:rPr>
          <w:rFonts w:hint="cs"/>
          <w:rtl/>
        </w:rPr>
        <w:t>כנ</w:t>
      </w:r>
      <w:r w:rsidR="0027624C">
        <w:rPr>
          <w:rFonts w:hint="cs"/>
          <w:rtl/>
        </w:rPr>
        <w:t>ראה</w:t>
      </w:r>
      <w:r>
        <w:rPr>
          <w:rtl/>
        </w:rPr>
        <w:t xml:space="preserve"> שווה לשיטת ת"ק. אז, קשה למה כופל דברי אותו התנא. </w:t>
      </w:r>
      <w:r w:rsidR="00424465">
        <w:rPr>
          <w:rFonts w:hint="cs"/>
          <w:rtl/>
        </w:rPr>
        <w:t>לכן,</w:t>
      </w:r>
      <w:r>
        <w:rPr>
          <w:rtl/>
        </w:rPr>
        <w:t xml:space="preserve"> מפרש גמרא שיש ביניהם מחלקת. המחלקת ה</w:t>
      </w:r>
      <w:r w:rsidR="000F44BF">
        <w:rPr>
          <w:rFonts w:hint="cs"/>
          <w:rtl/>
        </w:rPr>
        <w:t>י</w:t>
      </w:r>
      <w:r>
        <w:rPr>
          <w:rtl/>
        </w:rPr>
        <w:t>א אם מדליקים בחלב מהותך שנתן בו קצת שמן</w:t>
      </w:r>
      <w:r w:rsidR="004D5965">
        <w:rPr>
          <w:rFonts w:hint="cs"/>
          <w:rtl/>
        </w:rPr>
        <w:t xml:space="preserve"> (וגמ' אומר שלא ברור מי סובר מה)</w:t>
      </w:r>
      <w:r>
        <w:rPr>
          <w:rtl/>
        </w:rPr>
        <w:t xml:space="preserve">. </w:t>
      </w:r>
      <w:r>
        <w:rPr>
          <w:b/>
          <w:bCs/>
          <w:u w:val="single"/>
          <w:rtl/>
        </w:rPr>
        <w:t>(כד:)</w:t>
      </w:r>
    </w:p>
  </w:footnote>
  <w:footnote w:id="22">
    <w:p w14:paraId="7FFCD180" w14:textId="462D6A32" w:rsidR="00AB1F35" w:rsidRDefault="00000000">
      <w:pPr>
        <w:pStyle w:val="FootnoteText"/>
      </w:pPr>
      <w:r>
        <w:rPr>
          <w:rStyle w:val="FootnoteCharacters"/>
        </w:rPr>
        <w:footnoteRef/>
      </w:r>
      <w:r>
        <w:rPr>
          <w:rtl/>
        </w:rPr>
        <w:tab/>
        <w:t xml:space="preserve"> גמרא </w:t>
      </w:r>
      <w:r>
        <w:rPr>
          <w:b/>
          <w:bCs/>
          <w:u w:val="single"/>
          <w:rtl/>
        </w:rPr>
        <w:t xml:space="preserve">(כה:) </w:t>
      </w:r>
      <w:r>
        <w:rPr>
          <w:rtl/>
        </w:rPr>
        <w:t>מוסיף עוד דבר שלא מדליקים בו, והוא צרי, שהוא מין בשמים. (באנגלית, זה בלסא"ם, והוא השרף שבא מאותו העץ.) גמרא נותן שני טעמים למה לא מדליקים בו:</w:t>
      </w:r>
    </w:p>
    <w:p w14:paraId="20FE0839" w14:textId="77777777" w:rsidR="00AB1F35" w:rsidRDefault="00000000">
      <w:pPr>
        <w:pStyle w:val="FootnoteText"/>
        <w:numPr>
          <w:ilvl w:val="0"/>
          <w:numId w:val="9"/>
        </w:numPr>
      </w:pPr>
      <w:r>
        <w:rPr>
          <w:rtl/>
        </w:rPr>
        <w:t>כיון שריחו טוב, חוששים שאדם יקח מן הצרי, כדי להריח בו. זה אסור כיון שהוא מכבה.</w:t>
      </w:r>
    </w:p>
    <w:p w14:paraId="4C8E3BC3" w14:textId="3C66C664" w:rsidR="00AB1F35" w:rsidRDefault="00000000">
      <w:pPr>
        <w:pStyle w:val="FootnoteText"/>
        <w:numPr>
          <w:ilvl w:val="0"/>
          <w:numId w:val="9"/>
        </w:numPr>
      </w:pPr>
      <w:r>
        <w:rPr>
          <w:rtl/>
        </w:rPr>
        <w:t>כיון שהוא עף (קל לשרוף), חוששים משום סכנה. [</w:t>
      </w:r>
      <w:r w:rsidR="002A341F">
        <w:rPr>
          <w:rFonts w:hint="cs"/>
          <w:rtl/>
        </w:rPr>
        <w:t>לג</w:t>
      </w:r>
      <w:r>
        <w:rPr>
          <w:rtl/>
        </w:rPr>
        <w:t>] [</w:t>
      </w:r>
      <w:r w:rsidR="002A341F">
        <w:rPr>
          <w:rFonts w:hint="cs"/>
          <w:rtl/>
        </w:rPr>
        <w:t>לד.</w:t>
      </w:r>
      <w:r>
        <w:rPr>
          <w:rtl/>
        </w:rPr>
        <w:t xml:space="preserve">] </w:t>
      </w:r>
    </w:p>
  </w:footnote>
  <w:footnote w:id="23">
    <w:p w14:paraId="07978581" w14:textId="614D1A34" w:rsidR="00AB1F35" w:rsidRDefault="00000000">
      <w:pPr>
        <w:pStyle w:val="FootnoteText"/>
      </w:pPr>
      <w:r>
        <w:rPr>
          <w:rStyle w:val="FootnoteCharacters"/>
        </w:rPr>
        <w:footnoteRef/>
      </w:r>
      <w:r>
        <w:rPr>
          <w:rtl/>
        </w:rPr>
        <w:tab/>
        <w:t xml:space="preserve"> גמרא </w:t>
      </w:r>
      <w:r>
        <w:rPr>
          <w:b/>
          <w:bCs/>
          <w:u w:val="single"/>
          <w:rtl/>
        </w:rPr>
        <w:t>(כו.)</w:t>
      </w:r>
      <w:r>
        <w:rPr>
          <w:rtl/>
        </w:rPr>
        <w:t xml:space="preserve"> מוסיף על זה שני דברים שפסולים להדליק בהם בכל יום [</w:t>
      </w:r>
      <w:r w:rsidR="002A341F">
        <w:rPr>
          <w:rFonts w:hint="cs"/>
          <w:rtl/>
        </w:rPr>
        <w:t>לה</w:t>
      </w:r>
      <w:r>
        <w:rPr>
          <w:rtl/>
        </w:rPr>
        <w:t>]:</w:t>
      </w:r>
    </w:p>
    <w:p w14:paraId="5AE95B49" w14:textId="77777777" w:rsidR="00AB1F35" w:rsidRDefault="00000000">
      <w:pPr>
        <w:pStyle w:val="FootnoteText"/>
        <w:numPr>
          <w:ilvl w:val="0"/>
          <w:numId w:val="8"/>
        </w:numPr>
      </w:pPr>
      <w:r>
        <w:rPr>
          <w:rtl/>
        </w:rPr>
        <w:t>טבל טמא. לא מדליקים בו כיון שהוא אסור בהנאה. אף שתרומה טמאה מותרת בתרומה, רק משעה שנפרש הותרה, שהוקש לתרומה טהורה (שמותר לכהן רק משעת הפרשה).</w:t>
      </w:r>
    </w:p>
    <w:p w14:paraId="455FECEA" w14:textId="7B02FFBC" w:rsidR="00AB1F35" w:rsidRDefault="00000000">
      <w:pPr>
        <w:pStyle w:val="FootnoteText"/>
        <w:numPr>
          <w:ilvl w:val="0"/>
          <w:numId w:val="8"/>
        </w:numPr>
      </w:pPr>
      <w:r>
        <w:rPr>
          <w:rtl/>
        </w:rPr>
        <w:t>נפט לבן. (באנגלית, הוא נפט"א לבן.) לא מדליקים בו כיון שהוא עף, ויש בו סכנה.</w:t>
      </w:r>
      <w:r w:rsidR="00236BF8">
        <w:rPr>
          <w:rFonts w:hint="cs"/>
          <w:rtl/>
        </w:rPr>
        <w:t xml:space="preserve"> [</w:t>
      </w:r>
      <w:r w:rsidR="002A341F">
        <w:rPr>
          <w:rFonts w:hint="cs"/>
          <w:rtl/>
        </w:rPr>
        <w:t>לו]</w:t>
      </w:r>
    </w:p>
  </w:footnote>
  <w:footnote w:id="24">
    <w:p w14:paraId="0C10AE58" w14:textId="77777777" w:rsidR="00AB1F35" w:rsidRDefault="00000000">
      <w:pPr>
        <w:pStyle w:val="FootnoteText"/>
      </w:pPr>
      <w:r>
        <w:rPr>
          <w:rStyle w:val="FootnoteCharacters"/>
        </w:rPr>
        <w:t xml:space="preserve"> </w:t>
      </w:r>
      <w:r>
        <w:rPr>
          <w:rStyle w:val="FootnoteCharactersuser"/>
          <w:rtl/>
        </w:rPr>
        <w:tab/>
        <w:t xml:space="preserve"> </w:t>
      </w:r>
      <w:r>
        <w:rPr>
          <w:b/>
          <w:bCs/>
          <w:rtl/>
        </w:rPr>
        <w:t>משנה ב</w:t>
      </w:r>
    </w:p>
  </w:footnote>
  <w:footnote w:id="25">
    <w:p w14:paraId="76FD1791" w14:textId="2D096E6F" w:rsidR="00AB1F35" w:rsidRDefault="00000000">
      <w:pPr>
        <w:pStyle w:val="FootnoteText"/>
      </w:pPr>
      <w:r>
        <w:rPr>
          <w:rStyle w:val="FootnoteCharacters"/>
        </w:rPr>
        <w:footnoteRef/>
      </w:r>
      <w:r>
        <w:rPr>
          <w:rtl/>
        </w:rPr>
        <w:tab/>
        <w:t xml:space="preserve"> משנה זה ממשיך ממשנה שלפניו.</w:t>
      </w:r>
    </w:p>
  </w:footnote>
  <w:footnote w:id="26">
    <w:p w14:paraId="3C0DB5AE" w14:textId="3826A387" w:rsidR="00890960" w:rsidRPr="00890960" w:rsidRDefault="00000000" w:rsidP="00F41FF1">
      <w:pPr>
        <w:pStyle w:val="FootnoteText"/>
        <w:rPr>
          <w:b/>
          <w:bCs/>
          <w:u w:val="single"/>
        </w:rPr>
      </w:pPr>
      <w:r>
        <w:rPr>
          <w:rStyle w:val="FootnoteCharacters"/>
        </w:rPr>
        <w:footnoteRef/>
      </w:r>
      <w:r>
        <w:rPr>
          <w:rtl/>
        </w:rPr>
        <w:tab/>
        <w:t xml:space="preserve"> עיין לעיל, שבארנו שחולקים אמ</w:t>
      </w:r>
      <w:r w:rsidR="00B000A9">
        <w:rPr>
          <w:rFonts w:hint="cs"/>
          <w:rtl/>
        </w:rPr>
        <w:t>ו</w:t>
      </w:r>
      <w:r>
        <w:rPr>
          <w:rtl/>
        </w:rPr>
        <w:t>ראים אם שמנים הפסולים הם פסולים גם ליום טוב או רק לשבת. אם הם פסולים גם לי"ט, נקט ציור אחד, ו</w:t>
      </w:r>
      <w:r w:rsidR="002D5918">
        <w:rPr>
          <w:rFonts w:hint="cs"/>
          <w:rtl/>
        </w:rPr>
        <w:t xml:space="preserve">לכאו', </w:t>
      </w:r>
      <w:r>
        <w:rPr>
          <w:rtl/>
        </w:rPr>
        <w:t>הוא הדין לשאר הציורים, שכולם אסורים מפני גזירת י"ט אטו שבת.</w:t>
      </w:r>
      <w:r w:rsidR="002D5918">
        <w:rPr>
          <w:rFonts w:hint="cs"/>
          <w:rtl/>
        </w:rPr>
        <w:t xml:space="preserve"> (עיין בהערה, שנבאר שראשונים לא מפרשים כן.)</w:t>
      </w:r>
      <w:r>
        <w:rPr>
          <w:rtl/>
        </w:rPr>
        <w:t xml:space="preserve"> [</w:t>
      </w:r>
      <w:r w:rsidR="002A341F">
        <w:rPr>
          <w:rFonts w:hint="cs"/>
          <w:rtl/>
        </w:rPr>
        <w:t>לז</w:t>
      </w:r>
      <w:r>
        <w:rPr>
          <w:rtl/>
        </w:rPr>
        <w:t>] אם הם פסולים רק בשבת, המשנה מפרש שפסול זה שונה, והוא אסור גם בי"ט. החילוק הוא ששאר הפסולים אסורים משום חשש שמא יבעיר. מותר להבעיר בי"ט, ואז אין איסור להדליק בהם. זה אסור מ</w:t>
      </w:r>
      <w:r w:rsidR="00BC7A41">
        <w:rPr>
          <w:rFonts w:hint="cs"/>
          <w:rtl/>
        </w:rPr>
        <w:t>פני שמבעיר ושורף קדשים בי"ט.</w:t>
      </w:r>
      <w:r>
        <w:rPr>
          <w:rtl/>
        </w:rPr>
        <w:t xml:space="preserve"> זה אסור</w:t>
      </w:r>
      <w:r w:rsidR="00BC7A41">
        <w:rPr>
          <w:rFonts w:hint="cs"/>
          <w:rtl/>
        </w:rPr>
        <w:t>, כמו שבארנו</w:t>
      </w:r>
      <w:r>
        <w:rPr>
          <w:rtl/>
        </w:rPr>
        <w:t xml:space="preserve">, ואז הגזירה נוהגת גם בי"ט. </w:t>
      </w:r>
      <w:r>
        <w:rPr>
          <w:b/>
          <w:bCs/>
          <w:u w:val="single"/>
          <w:rtl/>
        </w:rPr>
        <w:t>(כג:)</w:t>
      </w:r>
    </w:p>
  </w:footnote>
  <w:footnote w:id="27">
    <w:p w14:paraId="0F845A31" w14:textId="37BD9EBA" w:rsidR="00AB1F35" w:rsidRDefault="00000000">
      <w:pPr>
        <w:pStyle w:val="FootnoteText"/>
      </w:pPr>
      <w:r>
        <w:rPr>
          <w:rStyle w:val="FootnoteCharacters"/>
        </w:rPr>
        <w:footnoteRef/>
      </w:r>
      <w:r>
        <w:rPr>
          <w:rtl/>
        </w:rPr>
        <w:tab/>
        <w:t xml:space="preserve"> גמרא </w:t>
      </w:r>
      <w:r>
        <w:rPr>
          <w:b/>
          <w:bCs/>
          <w:u w:val="single"/>
          <w:rtl/>
        </w:rPr>
        <w:t>(כה.)</w:t>
      </w:r>
      <w:r>
        <w:rPr>
          <w:rtl/>
        </w:rPr>
        <w:t xml:space="preserve"> מדייק מזה שהאיסור הוא רק משום יום טוב. אבל, חוץ מזה אין איסור בשריפת תרומה להנות מהם (כמו שנרות י"ט הם לגרום הנאה). </w:t>
      </w:r>
    </w:p>
    <w:p w14:paraId="6384D5A0" w14:textId="77777777" w:rsidR="00AB1F35" w:rsidRDefault="00000000">
      <w:pPr>
        <w:pStyle w:val="FootnoteText"/>
      </w:pPr>
      <w:r>
        <w:rPr>
          <w:rtl/>
        </w:rPr>
        <w:tab/>
        <w:t>מביא שני מקורות לזה:</w:t>
      </w:r>
    </w:p>
    <w:p w14:paraId="7A04546E" w14:textId="77777777" w:rsidR="00AB1F35" w:rsidRDefault="00000000">
      <w:pPr>
        <w:pStyle w:val="FootnoteText"/>
        <w:numPr>
          <w:ilvl w:val="0"/>
          <w:numId w:val="7"/>
        </w:numPr>
      </w:pPr>
      <w:r>
        <w:rPr>
          <w:rtl/>
        </w:rPr>
        <w:t>מביא מקור לזה מ"נתתי לך את משמרת תרומותי," שהוא בלשון רבים, לומר שבשני תרומות – תרומה טמאה ותרומה טהורה – ניתנה לכהנים הנאה.</w:t>
      </w:r>
    </w:p>
    <w:p w14:paraId="13280317" w14:textId="4E1BC50D" w:rsidR="00AB1F35" w:rsidRDefault="00000000">
      <w:pPr>
        <w:pStyle w:val="FootnoteText"/>
        <w:numPr>
          <w:ilvl w:val="0"/>
          <w:numId w:val="7"/>
        </w:numPr>
      </w:pPr>
      <w:r>
        <w:rPr>
          <w:rtl/>
        </w:rPr>
        <w:t xml:space="preserve">מביא מקור לזה מ"לא בערתי ממנו בטמא," שנאמר גבי מעשר. מ"ממנו," ממעטים תרומה, </w:t>
      </w:r>
      <w:r w:rsidR="00BC7A41">
        <w:rPr>
          <w:rFonts w:hint="cs"/>
          <w:rtl/>
        </w:rPr>
        <w:t xml:space="preserve">לומר </w:t>
      </w:r>
      <w:r>
        <w:rPr>
          <w:rtl/>
        </w:rPr>
        <w:t>שיכול לבער ממנו בטומאה, ולהנות ממנו.</w:t>
      </w:r>
    </w:p>
  </w:footnote>
  <w:footnote w:id="28">
    <w:p w14:paraId="010B380A" w14:textId="007F15F9" w:rsidR="00AB1F35" w:rsidRDefault="00000000">
      <w:pPr>
        <w:pStyle w:val="FootnoteText"/>
      </w:pPr>
      <w:r>
        <w:rPr>
          <w:rStyle w:val="FootnoteCharacters"/>
        </w:rPr>
        <w:footnoteRef/>
      </w:r>
      <w:r>
        <w:rPr>
          <w:rtl/>
        </w:rPr>
        <w:tab/>
        <w:t xml:space="preserve"> גמרא </w:t>
      </w:r>
      <w:r>
        <w:rPr>
          <w:b/>
          <w:bCs/>
          <w:u w:val="single"/>
          <w:rtl/>
        </w:rPr>
        <w:t>(כ:)</w:t>
      </w:r>
      <w:r>
        <w:rPr>
          <w:rtl/>
        </w:rPr>
        <w:t xml:space="preserve"> מפרש שהוא פסולת של זפת. באנגלית, זה טא"ר.</w:t>
      </w:r>
    </w:p>
  </w:footnote>
  <w:footnote w:id="29">
    <w:p w14:paraId="6E37B837" w14:textId="6BEB2900" w:rsidR="00236538" w:rsidRPr="00236538" w:rsidRDefault="00236538">
      <w:pPr>
        <w:pStyle w:val="FootnoteText"/>
        <w:rPr>
          <w:rFonts w:cstheme="minorBidi"/>
          <w:rtl/>
        </w:rPr>
      </w:pPr>
      <w:r>
        <w:rPr>
          <w:rStyle w:val="FootnoteReference"/>
        </w:rPr>
        <w:footnoteRef/>
      </w:r>
      <w:r>
        <w:rPr>
          <w:rtl/>
        </w:rPr>
        <w:t xml:space="preserve"> </w:t>
      </w:r>
      <w:r>
        <w:rPr>
          <w:rtl/>
        </w:rPr>
        <w:tab/>
      </w:r>
      <w:r>
        <w:rPr>
          <w:rFonts w:hint="cs"/>
          <w:rtl/>
        </w:rPr>
        <w:t xml:space="preserve">גמרא </w:t>
      </w:r>
      <w:r>
        <w:rPr>
          <w:rFonts w:hint="cs"/>
          <w:b/>
          <w:bCs/>
          <w:u w:val="single"/>
          <w:rtl/>
        </w:rPr>
        <w:t>(כה:)</w:t>
      </w:r>
      <w:r>
        <w:rPr>
          <w:rFonts w:hint="cs"/>
          <w:rtl/>
        </w:rPr>
        <w:t xml:space="preserve"> מבאר שריחו רע, ואז חוששים שבני אדם ייצאו מלפני הנרות. אם ייצאו, ממעטים בקיום מצוות נר שבת, ואז אין להדליק בנרות כזה.</w:t>
      </w:r>
    </w:p>
  </w:footnote>
  <w:footnote w:id="30">
    <w:p w14:paraId="54608F8E" w14:textId="44EC5D9A" w:rsidR="00E9630B" w:rsidRDefault="00E9630B">
      <w:pPr>
        <w:pStyle w:val="FootnoteText"/>
      </w:pPr>
      <w:r>
        <w:rPr>
          <w:rStyle w:val="FootnoteReference"/>
        </w:rPr>
        <w:footnoteRef/>
      </w:r>
      <w:r>
        <w:rPr>
          <w:rtl/>
        </w:rPr>
        <w:t xml:space="preserve"> </w:t>
      </w:r>
      <w:r>
        <w:rPr>
          <w:rtl/>
        </w:rPr>
        <w:tab/>
      </w:r>
      <w:r>
        <w:rPr>
          <w:rFonts w:hint="cs"/>
          <w:rtl/>
        </w:rPr>
        <w:t>באנגלית, זה שמן של סאסאמ"י.</w:t>
      </w:r>
    </w:p>
  </w:footnote>
  <w:footnote w:id="31">
    <w:p w14:paraId="4D173507" w14:textId="58809C12" w:rsidR="00E9630B" w:rsidRDefault="00E9630B">
      <w:pPr>
        <w:pStyle w:val="FootnoteText"/>
      </w:pPr>
      <w:r>
        <w:rPr>
          <w:rStyle w:val="FootnoteReference"/>
        </w:rPr>
        <w:footnoteRef/>
      </w:r>
      <w:r>
        <w:rPr>
          <w:rtl/>
        </w:rPr>
        <w:t xml:space="preserve"> </w:t>
      </w:r>
      <w:r>
        <w:rPr>
          <w:rtl/>
        </w:rPr>
        <w:tab/>
      </w:r>
      <w:r>
        <w:rPr>
          <w:rFonts w:hint="cs"/>
          <w:rtl/>
        </w:rPr>
        <w:t>באנגלית, זה שמן של נ"ט.</w:t>
      </w:r>
    </w:p>
  </w:footnote>
  <w:footnote w:id="32">
    <w:p w14:paraId="73AE7C30" w14:textId="6C39D90D" w:rsidR="00E9630B" w:rsidRDefault="00E9630B">
      <w:pPr>
        <w:pStyle w:val="FootnoteText"/>
      </w:pPr>
      <w:r>
        <w:rPr>
          <w:rStyle w:val="FootnoteReference"/>
        </w:rPr>
        <w:footnoteRef/>
      </w:r>
      <w:r>
        <w:rPr>
          <w:rtl/>
        </w:rPr>
        <w:t xml:space="preserve"> </w:t>
      </w:r>
      <w:r>
        <w:rPr>
          <w:rtl/>
        </w:rPr>
        <w:tab/>
      </w:r>
      <w:r>
        <w:rPr>
          <w:rFonts w:hint="cs"/>
          <w:rtl/>
        </w:rPr>
        <w:t>באנגלית, זה שמן של טורני"ף.</w:t>
      </w:r>
    </w:p>
  </w:footnote>
  <w:footnote w:id="33">
    <w:p w14:paraId="38BE13CD" w14:textId="25D2F7AB" w:rsidR="00E9630B" w:rsidRDefault="00E9630B">
      <w:pPr>
        <w:pStyle w:val="FootnoteText"/>
      </w:pPr>
      <w:r>
        <w:rPr>
          <w:rStyle w:val="FootnoteReference"/>
        </w:rPr>
        <w:footnoteRef/>
      </w:r>
      <w:r>
        <w:rPr>
          <w:rtl/>
        </w:rPr>
        <w:t xml:space="preserve"> </w:t>
      </w:r>
      <w:r>
        <w:rPr>
          <w:rtl/>
        </w:rPr>
        <w:tab/>
      </w:r>
      <w:r>
        <w:rPr>
          <w:rFonts w:hint="cs"/>
          <w:rtl/>
        </w:rPr>
        <w:t>זה שמן הבא מדגים.</w:t>
      </w:r>
    </w:p>
  </w:footnote>
  <w:footnote w:id="34">
    <w:p w14:paraId="68910503" w14:textId="1E364980" w:rsidR="00E9630B" w:rsidRDefault="00E9630B">
      <w:pPr>
        <w:pStyle w:val="FootnoteText"/>
      </w:pPr>
      <w:r>
        <w:rPr>
          <w:rStyle w:val="FootnoteReference"/>
        </w:rPr>
        <w:footnoteRef/>
      </w:r>
      <w:r>
        <w:rPr>
          <w:rtl/>
        </w:rPr>
        <w:t xml:space="preserve"> </w:t>
      </w:r>
      <w:r>
        <w:rPr>
          <w:rtl/>
        </w:rPr>
        <w:tab/>
      </w:r>
      <w:r>
        <w:rPr>
          <w:rFonts w:hint="cs"/>
          <w:rtl/>
        </w:rPr>
        <w:t>באנדלית, זה שמן של גור"ד.</w:t>
      </w:r>
    </w:p>
  </w:footnote>
  <w:footnote w:id="35">
    <w:p w14:paraId="773AF943" w14:textId="30EE4BCB" w:rsidR="00E9630B" w:rsidRDefault="00E9630B">
      <w:pPr>
        <w:pStyle w:val="FootnoteText"/>
      </w:pPr>
      <w:r>
        <w:rPr>
          <w:rStyle w:val="FootnoteReference"/>
        </w:rPr>
        <w:footnoteRef/>
      </w:r>
      <w:r>
        <w:rPr>
          <w:rtl/>
        </w:rPr>
        <w:t xml:space="preserve"> </w:t>
      </w:r>
      <w:r>
        <w:rPr>
          <w:rtl/>
        </w:rPr>
        <w:tab/>
      </w:r>
      <w:r>
        <w:rPr>
          <w:rFonts w:hint="cs"/>
          <w:rtl/>
        </w:rPr>
        <w:t>לעיל, בארנו מה זה.</w:t>
      </w:r>
    </w:p>
  </w:footnote>
  <w:footnote w:id="36">
    <w:p w14:paraId="563D464D" w14:textId="1319D984" w:rsidR="0085773E" w:rsidRDefault="0085773E">
      <w:pPr>
        <w:pStyle w:val="FootnoteText"/>
      </w:pPr>
      <w:r>
        <w:rPr>
          <w:rStyle w:val="FootnoteReference"/>
        </w:rPr>
        <w:footnoteRef/>
      </w:r>
      <w:r>
        <w:rPr>
          <w:rtl/>
        </w:rPr>
        <w:t xml:space="preserve"> </w:t>
      </w:r>
      <w:r>
        <w:rPr>
          <w:rtl/>
        </w:rPr>
        <w:tab/>
      </w:r>
      <w:r>
        <w:rPr>
          <w:rFonts w:hint="cs"/>
          <w:rtl/>
        </w:rPr>
        <w:t>באמגלית, זה נ</w:t>
      </w:r>
      <w:r w:rsidR="00047056">
        <w:rPr>
          <w:rFonts w:hint="cs"/>
          <w:rtl/>
        </w:rPr>
        <w:t>פט</w:t>
      </w:r>
      <w:r>
        <w:rPr>
          <w:rFonts w:hint="cs"/>
          <w:rtl/>
        </w:rPr>
        <w:t>"א.</w:t>
      </w:r>
    </w:p>
  </w:footnote>
  <w:footnote w:id="37">
    <w:p w14:paraId="6DE1181C" w14:textId="3BC5D4C8" w:rsidR="00AB1F35" w:rsidRDefault="00000000">
      <w:pPr>
        <w:pStyle w:val="FootnoteText"/>
      </w:pPr>
      <w:r>
        <w:rPr>
          <w:rStyle w:val="FootnoteCharacters"/>
        </w:rPr>
        <w:footnoteRef/>
      </w:r>
      <w:r>
        <w:rPr>
          <w:rtl/>
        </w:rPr>
        <w:tab/>
        <w:t xml:space="preserve"> גמרא אומר </w:t>
      </w:r>
      <w:r>
        <w:rPr>
          <w:b/>
          <w:bCs/>
          <w:u w:val="single"/>
          <w:rtl/>
        </w:rPr>
        <w:t>(כו.)</w:t>
      </w:r>
      <w:r>
        <w:rPr>
          <w:rtl/>
        </w:rPr>
        <w:t xml:space="preserve"> שזה רק בנפט סתם, אבל לא מדליקים בנפט לבן, כיון שהוא עף, ויש בו סכנה. [</w:t>
      </w:r>
      <w:r w:rsidR="00F41FF1">
        <w:rPr>
          <w:rFonts w:hint="cs"/>
          <w:rtl/>
        </w:rPr>
        <w:t>לח]</w:t>
      </w:r>
    </w:p>
  </w:footnote>
  <w:footnote w:id="38">
    <w:p w14:paraId="6F66D248" w14:textId="0D319BAF" w:rsidR="00AB1F35" w:rsidRDefault="00000000">
      <w:pPr>
        <w:pStyle w:val="FootnoteText"/>
      </w:pPr>
      <w:r>
        <w:rPr>
          <w:rStyle w:val="FootnoteCharacters"/>
        </w:rPr>
        <w:footnoteRef/>
      </w:r>
      <w:r>
        <w:rPr>
          <w:rtl/>
        </w:rPr>
        <w:tab/>
        <w:t xml:space="preserve"> גמרא </w:t>
      </w:r>
      <w:r>
        <w:rPr>
          <w:b/>
          <w:bCs/>
          <w:u w:val="single"/>
          <w:rtl/>
        </w:rPr>
        <w:t>(כו.)</w:t>
      </w:r>
      <w:r>
        <w:rPr>
          <w:rtl/>
        </w:rPr>
        <w:t xml:space="preserve"> מבאר שרבנן חולקים</w:t>
      </w:r>
      <w:r w:rsidR="005D220B">
        <w:rPr>
          <w:rFonts w:hint="cs"/>
          <w:rtl/>
        </w:rPr>
        <w:t xml:space="preserve"> ומקילים</w:t>
      </w:r>
      <w:r>
        <w:rPr>
          <w:rtl/>
        </w:rPr>
        <w:t xml:space="preserve"> כיון שלא היה שמן זית מצוי.</w:t>
      </w:r>
    </w:p>
  </w:footnote>
  <w:footnote w:id="39">
    <w:p w14:paraId="569E1029" w14:textId="3B6B15A7" w:rsidR="00AB1F35" w:rsidRDefault="00000000">
      <w:pPr>
        <w:pStyle w:val="FootnoteText"/>
      </w:pPr>
      <w:r>
        <w:rPr>
          <w:rStyle w:val="FootnoteCharacters"/>
        </w:rPr>
        <w:footnoteRef/>
      </w:r>
      <w:r>
        <w:rPr>
          <w:rtl/>
        </w:rPr>
        <w:tab/>
        <w:t xml:space="preserve"> גמרא </w:t>
      </w:r>
      <w:r>
        <w:rPr>
          <w:b/>
          <w:bCs/>
          <w:u w:val="single"/>
          <w:rtl/>
        </w:rPr>
        <w:t>(כו.)</w:t>
      </w:r>
      <w:r>
        <w:rPr>
          <w:b/>
          <w:bCs/>
          <w:rtl/>
        </w:rPr>
        <w:t xml:space="preserve"> </w:t>
      </w:r>
      <w:r>
        <w:rPr>
          <w:rtl/>
        </w:rPr>
        <w:t>מוסיף על זה שיטות תנאים אחרים:</w:t>
      </w:r>
    </w:p>
    <w:p w14:paraId="08DEE66A" w14:textId="249E0849" w:rsidR="00AB1F35" w:rsidRDefault="00000000">
      <w:pPr>
        <w:pStyle w:val="FootnoteText"/>
        <w:numPr>
          <w:ilvl w:val="0"/>
          <w:numId w:val="10"/>
        </w:numPr>
      </w:pPr>
      <w:r>
        <w:rPr>
          <w:rtl/>
        </w:rPr>
        <w:t>רבי ישמעאל אומר שאין מדליקים בכל היוצא מן העץ. [</w:t>
      </w:r>
      <w:r w:rsidR="00E374A0">
        <w:rPr>
          <w:rFonts w:hint="cs"/>
          <w:rtl/>
        </w:rPr>
        <w:t>לט</w:t>
      </w:r>
      <w:r>
        <w:rPr>
          <w:rtl/>
        </w:rPr>
        <w:t>]</w:t>
      </w:r>
    </w:p>
    <w:p w14:paraId="6A3A2B19" w14:textId="77777777" w:rsidR="00AB1F35" w:rsidRDefault="00000000">
      <w:pPr>
        <w:pStyle w:val="FootnoteText"/>
        <w:numPr>
          <w:ilvl w:val="0"/>
          <w:numId w:val="10"/>
        </w:numPr>
      </w:pPr>
      <w:r>
        <w:rPr>
          <w:rtl/>
        </w:rPr>
        <w:t xml:space="preserve">רבי ישמעאל בן ברוקה אומר שרק מדליקים ביוצא מן הפרי. </w:t>
      </w:r>
    </w:p>
    <w:p w14:paraId="54945FEF" w14:textId="13912340" w:rsidR="00AB1F35" w:rsidRDefault="00000000">
      <w:pPr>
        <w:pStyle w:val="FootnoteText"/>
        <w:numPr>
          <w:ilvl w:val="0"/>
          <w:numId w:val="10"/>
        </w:numPr>
      </w:pPr>
      <w:r>
        <w:rPr>
          <w:rtl/>
        </w:rPr>
        <w:t>רבי שמעון שזורי אומר שמדליקים בשמן פקועות. [</w:t>
      </w:r>
      <w:r w:rsidR="00C06F2F">
        <w:rPr>
          <w:rFonts w:hint="cs"/>
          <w:rtl/>
        </w:rPr>
        <w:t>מ</w:t>
      </w:r>
      <w:r>
        <w:rPr>
          <w:rtl/>
        </w:rPr>
        <w:t>]</w:t>
      </w:r>
    </w:p>
    <w:p w14:paraId="5B312558" w14:textId="2AB3AB2D" w:rsidR="00AB1F35" w:rsidRDefault="00000000">
      <w:pPr>
        <w:pStyle w:val="FootnoteText"/>
        <w:numPr>
          <w:ilvl w:val="0"/>
          <w:numId w:val="10"/>
        </w:numPr>
      </w:pPr>
      <w:r>
        <w:rPr>
          <w:rtl/>
        </w:rPr>
        <w:t>סומכו</w:t>
      </w:r>
      <w:r w:rsidR="006E7191">
        <w:rPr>
          <w:rFonts w:hint="cs"/>
          <w:rtl/>
        </w:rPr>
        <w:t>ס</w:t>
      </w:r>
      <w:r>
        <w:rPr>
          <w:rtl/>
        </w:rPr>
        <w:t xml:space="preserve"> אומר שמכל היוצא מן הבשר, רק מדליקים בשמן דגים. [</w:t>
      </w:r>
      <w:r w:rsidR="005328BD">
        <w:rPr>
          <w:rFonts w:hint="cs"/>
          <w:rtl/>
        </w:rPr>
        <w:t>מא</w:t>
      </w:r>
      <w:r>
        <w:rPr>
          <w:rtl/>
        </w:rPr>
        <w:t>]</w:t>
      </w:r>
    </w:p>
  </w:footnote>
  <w:footnote w:id="40">
    <w:p w14:paraId="077292CA" w14:textId="77777777" w:rsidR="00AB1F35" w:rsidRDefault="00000000">
      <w:pPr>
        <w:pStyle w:val="FootnoteText"/>
      </w:pPr>
      <w:r>
        <w:rPr>
          <w:rStyle w:val="FootnoteCharacters"/>
        </w:rPr>
        <w:t xml:space="preserve"> </w:t>
      </w:r>
      <w:r>
        <w:rPr>
          <w:rStyle w:val="FootnoteCharactersuser"/>
          <w:rtl/>
        </w:rPr>
        <w:tab/>
        <w:t xml:space="preserve"> </w:t>
      </w:r>
      <w:r>
        <w:rPr>
          <w:b/>
          <w:bCs/>
          <w:rtl/>
        </w:rPr>
        <w:t>משנה ג</w:t>
      </w:r>
    </w:p>
  </w:footnote>
  <w:footnote w:id="41">
    <w:p w14:paraId="5175FF7C" w14:textId="258C3D19" w:rsidR="00AB1F35" w:rsidRDefault="00000000">
      <w:pPr>
        <w:pStyle w:val="FootnoteText"/>
      </w:pPr>
      <w:r>
        <w:rPr>
          <w:rStyle w:val="FootnoteCharacters"/>
        </w:rPr>
        <w:footnoteRef/>
      </w:r>
      <w:r>
        <w:rPr>
          <w:rtl/>
        </w:rPr>
        <w:tab/>
      </w:r>
      <w:r w:rsidRPr="00584638">
        <w:rPr>
          <w:vanish/>
          <w:rtl/>
        </w:rPr>
        <w:t>ה</w:t>
      </w:r>
      <w:r w:rsidR="009B0D48" w:rsidRPr="00584638">
        <w:rPr>
          <w:rFonts w:hint="cs"/>
          <w:vanish/>
          <w:rtl/>
        </w:rPr>
        <w:t>מש</w:t>
      </w:r>
      <w:r w:rsidRPr="00584638">
        <w:rPr>
          <w:vanish/>
          <w:rtl/>
        </w:rPr>
        <w:t xml:space="preserve">נה </w:t>
      </w:r>
      <w:r>
        <w:rPr>
          <w:rtl/>
        </w:rPr>
        <w:t>מתחיל בהמשך משני המשניות שלפניו, ומבאר דברים הפסולים להדליק בהם בשבת. ממשיך לדבר בדין אהל הטומאה, כיון שאותו הגדרה</w:t>
      </w:r>
      <w:r w:rsidR="009B0D48">
        <w:rPr>
          <w:rFonts w:hint="cs"/>
          <w:rtl/>
        </w:rPr>
        <w:t xml:space="preserve"> שנותן לפסול שמנים</w:t>
      </w:r>
      <w:r>
        <w:rPr>
          <w:rtl/>
        </w:rPr>
        <w:t xml:space="preserve"> נוהגת גם שם.</w:t>
      </w:r>
    </w:p>
    <w:p w14:paraId="36D7296A" w14:textId="25D16275" w:rsidR="00AB1F35" w:rsidRDefault="00000000">
      <w:pPr>
        <w:pStyle w:val="FootnoteText"/>
      </w:pPr>
      <w:r>
        <w:rPr>
          <w:rtl/>
        </w:rPr>
        <w:tab/>
        <w:t>נבאר דין אהל הטומאה</w:t>
      </w:r>
      <w:r w:rsidR="00993C80">
        <w:t>:</w:t>
      </w:r>
      <w:r>
        <w:rPr>
          <w:rtl/>
        </w:rPr>
        <w:t xml:space="preserve"> </w:t>
      </w:r>
      <w:r w:rsidR="00073312">
        <w:rPr>
          <w:rFonts w:hint="cs"/>
          <w:rtl/>
        </w:rPr>
        <w:t xml:space="preserve">יש שני דינים של טומאה </w:t>
      </w:r>
      <w:r w:rsidR="00584638">
        <w:rPr>
          <w:rFonts w:hint="cs"/>
          <w:rtl/>
        </w:rPr>
        <w:t>שנוהגים</w:t>
      </w:r>
      <w:r w:rsidR="00073312">
        <w:rPr>
          <w:rFonts w:hint="cs"/>
          <w:rtl/>
        </w:rPr>
        <w:t xml:space="preserve"> באהל המת. הראשון הוא שכל מה שבאהל נטמא, שכ', "וכל אשר באהל יטמא." השני הוא שהאהל נטמא, שכ', "והזה על האהל."</w:t>
      </w:r>
      <w:r w:rsidR="001E2828">
        <w:rPr>
          <w:rFonts w:hint="cs"/>
          <w:rtl/>
        </w:rPr>
        <w:t xml:space="preserve"> המשנה הזה יבאר מתי דין שני נוהג. [מב]</w:t>
      </w:r>
    </w:p>
  </w:footnote>
  <w:footnote w:id="42">
    <w:p w14:paraId="775C9A86" w14:textId="35FCD067" w:rsidR="00AB1F35" w:rsidRDefault="00000000">
      <w:pPr>
        <w:pStyle w:val="FootnoteText"/>
      </w:pPr>
      <w:r>
        <w:rPr>
          <w:rStyle w:val="FootnoteCharacters"/>
        </w:rPr>
        <w:footnoteRef/>
      </w:r>
      <w:r>
        <w:rPr>
          <w:rtl/>
        </w:rPr>
        <w:tab/>
        <w:t>עושים פתילה מפשתן, ויכולים להדליק בו בשבת. אבל, אם עושים פתילות מדברים אחרים שיוצאים מן העץ (</w:t>
      </w:r>
      <w:r w:rsidR="00437641">
        <w:rPr>
          <w:rFonts w:hint="cs"/>
          <w:rtl/>
        </w:rPr>
        <w:t>וחלקו ראשונים מה, בדיוק, נחשב יוצא מן העץ, ומה נחשב יוצא מן הפרי),</w:t>
      </w:r>
      <w:r>
        <w:rPr>
          <w:rtl/>
        </w:rPr>
        <w:t xml:space="preserve"> לא יכולים להדליק בו בשבת.</w:t>
      </w:r>
    </w:p>
  </w:footnote>
  <w:footnote w:id="43">
    <w:p w14:paraId="36A110C6" w14:textId="5A35D260" w:rsidR="00AB1F35" w:rsidRDefault="00000000">
      <w:pPr>
        <w:pStyle w:val="FootnoteText"/>
      </w:pPr>
      <w:r>
        <w:rPr>
          <w:rStyle w:val="FootnoteCharacters"/>
        </w:rPr>
        <w:footnoteRef/>
      </w:r>
      <w:r>
        <w:rPr>
          <w:rtl/>
        </w:rPr>
        <w:tab/>
        <w:t xml:space="preserve">גמרא </w:t>
      </w:r>
      <w:r>
        <w:rPr>
          <w:b/>
          <w:bCs/>
          <w:u w:val="single"/>
          <w:rtl/>
        </w:rPr>
        <w:t>(כח.)</w:t>
      </w:r>
      <w:r>
        <w:rPr>
          <w:rtl/>
        </w:rPr>
        <w:t xml:space="preserve"> לומד שפשתן</w:t>
      </w:r>
      <w:r w:rsidR="00551217">
        <w:rPr>
          <w:rFonts w:hint="cs"/>
          <w:rtl/>
        </w:rPr>
        <w:t>, ולא דברים אחרים,</w:t>
      </w:r>
      <w:r>
        <w:rPr>
          <w:rtl/>
        </w:rPr>
        <w:t xml:space="preserve"> מטמא באהל מגזירה שווה</w:t>
      </w:r>
      <w:r w:rsidR="00551217">
        <w:rPr>
          <w:rFonts w:hint="cs"/>
          <w:rtl/>
        </w:rPr>
        <w:t xml:space="preserve"> </w:t>
      </w:r>
      <w:r w:rsidR="00551217">
        <w:rPr>
          <w:rtl/>
        </w:rPr>
        <w:t>[</w:t>
      </w:r>
      <w:r w:rsidR="00551217">
        <w:rPr>
          <w:rFonts w:hint="cs"/>
          <w:rtl/>
        </w:rPr>
        <w:t>מד</w:t>
      </w:r>
      <w:r w:rsidR="00551217">
        <w:rPr>
          <w:rtl/>
        </w:rPr>
        <w:t>]</w:t>
      </w:r>
      <w:r w:rsidR="00551217">
        <w:rPr>
          <w:rFonts w:hint="cs"/>
          <w:rtl/>
        </w:rPr>
        <w:t xml:space="preserve"> ומריבוי. </w:t>
      </w:r>
      <w:r>
        <w:rPr>
          <w:rtl/>
        </w:rPr>
        <w:t>כ’, “</w:t>
      </w:r>
      <w:r w:rsidR="0013650A">
        <w:rPr>
          <w:rFonts w:hint="cs"/>
          <w:rtl/>
        </w:rPr>
        <w:t>והזה על האהל,"</w:t>
      </w:r>
      <w:r>
        <w:rPr>
          <w:rtl/>
        </w:rPr>
        <w:t xml:space="preserve"> וכ’, “ויפרוש את האהל על המשכן,” שמדבר באהל של פשתן.</w:t>
      </w:r>
      <w:r w:rsidR="00587C3D">
        <w:rPr>
          <w:rFonts w:hint="cs"/>
          <w:rtl/>
        </w:rPr>
        <w:t xml:space="preserve"> זה מלמד לנו שפשתן נקרא אהל, ודבר אחר שיוצא מן העץ לא נקרא אהל.</w:t>
      </w:r>
      <w:r>
        <w:rPr>
          <w:rtl/>
        </w:rPr>
        <w:t xml:space="preserve"> אף ששם, הפשתן היה כפול ששה, והיו שזורים, </w:t>
      </w:r>
      <w:r w:rsidR="00587C3D">
        <w:rPr>
          <w:rFonts w:hint="cs"/>
          <w:rtl/>
        </w:rPr>
        <w:t xml:space="preserve">עדיין נטמא אף </w:t>
      </w:r>
      <w:r>
        <w:rPr>
          <w:rtl/>
        </w:rPr>
        <w:t xml:space="preserve">בלי זה, כיון שהפסוק כופל מילת אהל (כשמזכיר דין טומאה), </w:t>
      </w:r>
      <w:r w:rsidR="005E7F7C">
        <w:rPr>
          <w:rFonts w:hint="cs"/>
          <w:rtl/>
        </w:rPr>
        <w:t>לרבות</w:t>
      </w:r>
      <w:r>
        <w:rPr>
          <w:rtl/>
        </w:rPr>
        <w:t xml:space="preserve"> עוד אהלים. אבל, לא מרבה את הכל, כיון שיש גזירה שווה.</w:t>
      </w:r>
      <w:r w:rsidR="00BF2129">
        <w:rPr>
          <w:rFonts w:hint="cs"/>
          <w:rtl/>
        </w:rPr>
        <w:t xml:space="preserve"> </w:t>
      </w:r>
    </w:p>
  </w:footnote>
  <w:footnote w:id="44">
    <w:p w14:paraId="5C0D4CC7" w14:textId="61CBED19" w:rsidR="00AB1F35" w:rsidRDefault="00000000">
      <w:pPr>
        <w:pStyle w:val="FootnoteText"/>
      </w:pPr>
      <w:r>
        <w:rPr>
          <w:rStyle w:val="FootnoteCharacters"/>
        </w:rPr>
        <w:footnoteRef/>
      </w:r>
      <w:r>
        <w:rPr>
          <w:rtl/>
        </w:rPr>
        <w:tab/>
        <w:t>קודם שנבאר מחלקתים אלו, צריכים להקדים בדיני טומאת בגד. עיין בהוספות [</w:t>
      </w:r>
      <w:r w:rsidR="004101E3">
        <w:rPr>
          <w:rFonts w:hint="cs"/>
          <w:rtl/>
        </w:rPr>
        <w:t>מה</w:t>
      </w:r>
      <w:r>
        <w:rPr>
          <w:rtl/>
        </w:rPr>
        <w:t>], שנבאר את הדינים.</w:t>
      </w:r>
    </w:p>
  </w:footnote>
  <w:footnote w:id="45">
    <w:p w14:paraId="054747C3" w14:textId="743449B6" w:rsidR="00AB1F35" w:rsidRDefault="00000000">
      <w:pPr>
        <w:pStyle w:val="FootnoteText"/>
      </w:pPr>
      <w:r>
        <w:rPr>
          <w:rStyle w:val="FootnoteCharacters"/>
        </w:rPr>
        <w:footnoteRef/>
      </w:r>
      <w:r>
        <w:rPr>
          <w:rtl/>
        </w:rPr>
        <w:tab/>
        <w:t>רצה לומר, פתילה הנעשה מחתיכה קטנה של בגד. כשעושים פתילה</w:t>
      </w:r>
      <w:r w:rsidR="00993C80">
        <w:rPr>
          <w:rFonts w:hint="cs"/>
          <w:rtl/>
        </w:rPr>
        <w:t xml:space="preserve"> מבגד</w:t>
      </w:r>
      <w:r>
        <w:rPr>
          <w:rtl/>
        </w:rPr>
        <w:t>, קופלים אותו (שמכפלים אותו עד שראוי להיות פתילה), ומהבהבים אותו (ששמים אותו על שלהבת לחרך אותו).</w:t>
      </w:r>
    </w:p>
  </w:footnote>
  <w:footnote w:id="46">
    <w:p w14:paraId="1A98B2AC" w14:textId="77777777" w:rsidR="00AB1F35" w:rsidRDefault="00000000">
      <w:pPr>
        <w:pStyle w:val="FootnoteText"/>
      </w:pPr>
      <w:r>
        <w:rPr>
          <w:rStyle w:val="FootnoteCharacters"/>
        </w:rPr>
        <w:footnoteRef/>
      </w:r>
      <w:r>
        <w:rPr>
          <w:rtl/>
        </w:rPr>
        <w:tab/>
        <w:t>מצאנו כאן שני מחלוקתים בין רבי אליעזר ורבי עקיבא בפתילת בגד שקפלה ולא הבהבה:</w:t>
      </w:r>
    </w:p>
    <w:p w14:paraId="6F0B381D" w14:textId="77777777" w:rsidR="00AB1F35" w:rsidRDefault="00000000">
      <w:pPr>
        <w:pStyle w:val="FootnoteText"/>
        <w:numPr>
          <w:ilvl w:val="0"/>
          <w:numId w:val="12"/>
        </w:numPr>
      </w:pPr>
      <w:r>
        <w:rPr>
          <w:rtl/>
        </w:rPr>
        <w:t>חולקים אם מקבל טומאה.</w:t>
      </w:r>
    </w:p>
    <w:p w14:paraId="1C74A341" w14:textId="78F15121" w:rsidR="00AB1F35" w:rsidRDefault="00000000">
      <w:pPr>
        <w:pStyle w:val="FootnoteText"/>
        <w:numPr>
          <w:ilvl w:val="0"/>
          <w:numId w:val="12"/>
        </w:numPr>
      </w:pPr>
      <w:r>
        <w:rPr>
          <w:rtl/>
        </w:rPr>
        <w:t>חולקים אם מדליקים בו</w:t>
      </w:r>
      <w:r w:rsidR="005E7F7C">
        <w:rPr>
          <w:rFonts w:hint="cs"/>
          <w:rtl/>
        </w:rPr>
        <w:t xml:space="preserve"> לנר שבת.</w:t>
      </w:r>
    </w:p>
    <w:p w14:paraId="41A7ABB0" w14:textId="77777777" w:rsidR="00AB1F35" w:rsidRDefault="00000000">
      <w:pPr>
        <w:pStyle w:val="FootnoteText"/>
      </w:pPr>
      <w:r>
        <w:rPr>
          <w:rtl/>
        </w:rPr>
        <w:tab/>
        <w:t xml:space="preserve">גמרא </w:t>
      </w:r>
      <w:r>
        <w:rPr>
          <w:b/>
          <w:bCs/>
          <w:u w:val="single"/>
          <w:rtl/>
        </w:rPr>
        <w:t>(כח:</w:t>
      </w:r>
      <w:r>
        <w:rPr>
          <w:rtl/>
        </w:rPr>
        <w:t xml:space="preserve">, </w:t>
      </w:r>
      <w:r>
        <w:rPr>
          <w:b/>
          <w:bCs/>
          <w:u w:val="single"/>
          <w:rtl/>
        </w:rPr>
        <w:t>כט.)</w:t>
      </w:r>
      <w:r>
        <w:rPr>
          <w:rtl/>
        </w:rPr>
        <w:t xml:space="preserve"> מבאר שני המחלוקות. </w:t>
      </w:r>
    </w:p>
    <w:p w14:paraId="587245D2" w14:textId="77777777" w:rsidR="00AB1F35" w:rsidRDefault="00000000">
      <w:pPr>
        <w:pStyle w:val="FootnoteText"/>
        <w:numPr>
          <w:ilvl w:val="0"/>
          <w:numId w:val="13"/>
        </w:numPr>
      </w:pPr>
      <w:r>
        <w:rPr>
          <w:rtl/>
        </w:rPr>
        <w:t xml:space="preserve">במחלקת ראשון, שני ביאורים ניתנו. </w:t>
      </w:r>
    </w:p>
    <w:p w14:paraId="32ED5CAF" w14:textId="6074FF3D" w:rsidR="00AB1F35" w:rsidRDefault="00000000" w:rsidP="008F5C11">
      <w:pPr>
        <w:pStyle w:val="FootnoteText"/>
        <w:numPr>
          <w:ilvl w:val="1"/>
          <w:numId w:val="13"/>
        </w:numPr>
      </w:pPr>
      <w:r>
        <w:rPr>
          <w:rtl/>
        </w:rPr>
        <w:t xml:space="preserve">ביאור הראשון הוא שכאן מדובר בחתיכה שהוא שלש על שלש אצבעות. בגד מקבל טומאה כיון שיש בו שיעור זה, שאז הוא כלי, אבל </w:t>
      </w:r>
      <w:r w:rsidR="00350FF3">
        <w:rPr>
          <w:rFonts w:hint="cs"/>
          <w:rtl/>
        </w:rPr>
        <w:t xml:space="preserve">זה רק אם הוא בגד. אבל, אם נחשב פתילה, </w:t>
      </w:r>
      <w:r>
        <w:rPr>
          <w:rtl/>
        </w:rPr>
        <w:t>לא מקבל טומאה. חולקים רבי אליעזר ורבי עקיבא אם, אחרי שקפל אותו ולא הבהב אותו, נחשב בגד או פתילה. רבי אליעזר אומר שנחשב בגד, ואז מקבל טומאה, ורבי עקיבא אומר שכבר נחשב פתילה, ואז לא מקבל טומאה.</w:t>
      </w:r>
      <w:r w:rsidR="00292CD4">
        <w:rPr>
          <w:rFonts w:hint="cs"/>
          <w:rtl/>
        </w:rPr>
        <w:t xml:space="preserve"> [</w:t>
      </w:r>
      <w:r w:rsidR="003D5C63">
        <w:rPr>
          <w:rFonts w:hint="cs"/>
          <w:rtl/>
        </w:rPr>
        <w:t>מו] [מז</w:t>
      </w:r>
      <w:r w:rsidR="008F5C11">
        <w:rPr>
          <w:rFonts w:hint="cs"/>
          <w:rtl/>
        </w:rPr>
        <w:t>]</w:t>
      </w:r>
    </w:p>
    <w:p w14:paraId="570985C8" w14:textId="470DF748" w:rsidR="00AB1F35" w:rsidRDefault="00000000">
      <w:pPr>
        <w:pStyle w:val="FootnoteText"/>
        <w:numPr>
          <w:ilvl w:val="1"/>
          <w:numId w:val="13"/>
        </w:numPr>
      </w:pPr>
      <w:r>
        <w:rPr>
          <w:rtl/>
        </w:rPr>
        <w:t xml:space="preserve">ביאור השני אומר שקיפול הפתילה אינו </w:t>
      </w:r>
      <w:r w:rsidR="009A00F7">
        <w:rPr>
          <w:rFonts w:hint="cs"/>
          <w:rtl/>
        </w:rPr>
        <w:t>נוגע למחלקת זה</w:t>
      </w:r>
      <w:r>
        <w:rPr>
          <w:rtl/>
        </w:rPr>
        <w:t>, ו</w:t>
      </w:r>
      <w:r w:rsidR="00562F64">
        <w:rPr>
          <w:rFonts w:hint="cs"/>
          <w:rtl/>
        </w:rPr>
        <w:t>המשנה נ</w:t>
      </w:r>
      <w:r>
        <w:rPr>
          <w:rtl/>
        </w:rPr>
        <w:t xml:space="preserve">קט אותו רק לענין מחלקת שני. </w:t>
      </w:r>
      <w:r w:rsidR="00D213CA">
        <w:rPr>
          <w:rFonts w:hint="cs"/>
          <w:rtl/>
        </w:rPr>
        <w:t>אומר ש</w:t>
      </w:r>
      <w:r>
        <w:rPr>
          <w:rtl/>
        </w:rPr>
        <w:t>כאן, מדובר במין מיוחד של בגד. (לכאו', אותו בגד הוא המצוי לעשות ממנו פתילה.) כאן, מדובר בבגד שהוא פחות משלשה על שלשה שייחד אותו להיות סמרטוט. גמרא מבאר שיש ארבע ציורים, ובשנים מהם יש מחלקת תנאים:</w:t>
      </w:r>
    </w:p>
    <w:p w14:paraId="235E2C30" w14:textId="77777777" w:rsidR="00AB1F35" w:rsidRDefault="00000000">
      <w:pPr>
        <w:pStyle w:val="FootnoteText"/>
        <w:numPr>
          <w:ilvl w:val="2"/>
          <w:numId w:val="13"/>
        </w:numPr>
      </w:pPr>
      <w:r>
        <w:rPr>
          <w:rtl/>
        </w:rPr>
        <w:t>זרק אותו באשפה – לא מטמא.</w:t>
      </w:r>
    </w:p>
    <w:p w14:paraId="6ED201CE" w14:textId="77777777" w:rsidR="00AB1F35" w:rsidRDefault="00000000">
      <w:pPr>
        <w:pStyle w:val="FootnoteText"/>
        <w:numPr>
          <w:ilvl w:val="2"/>
          <w:numId w:val="13"/>
        </w:numPr>
      </w:pPr>
      <w:r>
        <w:rPr>
          <w:rtl/>
        </w:rPr>
        <w:t>הניח אותו בקופסא – מטמא.</w:t>
      </w:r>
    </w:p>
    <w:p w14:paraId="099C29E9" w14:textId="77777777" w:rsidR="00AB1F35" w:rsidRDefault="00000000">
      <w:pPr>
        <w:pStyle w:val="FootnoteText"/>
        <w:numPr>
          <w:ilvl w:val="2"/>
          <w:numId w:val="13"/>
        </w:numPr>
      </w:pPr>
      <w:r>
        <w:rPr>
          <w:rtl/>
        </w:rPr>
        <w:t>תלה אותו במגוד-</w:t>
      </w:r>
    </w:p>
    <w:p w14:paraId="47007CAD" w14:textId="77777777" w:rsidR="00AB1F35" w:rsidRDefault="00000000">
      <w:pPr>
        <w:pStyle w:val="FootnoteText"/>
        <w:numPr>
          <w:ilvl w:val="3"/>
          <w:numId w:val="13"/>
        </w:numPr>
      </w:pPr>
      <w:r>
        <w:rPr>
          <w:rtl/>
        </w:rPr>
        <w:t>רבי אליעזר ורבי עקיבא – מטמא.</w:t>
      </w:r>
    </w:p>
    <w:p w14:paraId="78BBD90D" w14:textId="77777777" w:rsidR="00AB1F35" w:rsidRDefault="00000000">
      <w:pPr>
        <w:pStyle w:val="FootnoteText"/>
        <w:numPr>
          <w:ilvl w:val="3"/>
          <w:numId w:val="13"/>
        </w:numPr>
      </w:pPr>
      <w:r>
        <w:rPr>
          <w:rtl/>
        </w:rPr>
        <w:t>רבי יהושע – לא מטמא.</w:t>
      </w:r>
    </w:p>
    <w:p w14:paraId="5982D09E" w14:textId="77777777" w:rsidR="00AB1F35" w:rsidRDefault="00000000">
      <w:pPr>
        <w:pStyle w:val="FootnoteText"/>
        <w:numPr>
          <w:ilvl w:val="2"/>
          <w:numId w:val="13"/>
        </w:numPr>
      </w:pPr>
      <w:r>
        <w:rPr>
          <w:rtl/>
        </w:rPr>
        <w:t>הניחו אחורי הדלת –</w:t>
      </w:r>
    </w:p>
    <w:p w14:paraId="0A8A11D9" w14:textId="77777777" w:rsidR="00AB1F35" w:rsidRDefault="00000000">
      <w:pPr>
        <w:pStyle w:val="FootnoteText"/>
        <w:numPr>
          <w:ilvl w:val="3"/>
          <w:numId w:val="13"/>
        </w:numPr>
      </w:pPr>
      <w:r>
        <w:rPr>
          <w:rtl/>
        </w:rPr>
        <w:t>רבי אליעזר – מטמא.</w:t>
      </w:r>
    </w:p>
    <w:p w14:paraId="6DDB5A24" w14:textId="77777777" w:rsidR="00AB1F35" w:rsidRDefault="00000000">
      <w:pPr>
        <w:pStyle w:val="FootnoteText"/>
        <w:numPr>
          <w:ilvl w:val="3"/>
          <w:numId w:val="13"/>
        </w:numPr>
      </w:pPr>
      <w:r>
        <w:rPr>
          <w:rtl/>
        </w:rPr>
        <w:t>רבי יהושע – לא מטמא.</w:t>
      </w:r>
    </w:p>
    <w:p w14:paraId="131E0CA5" w14:textId="56E4E187" w:rsidR="00AB1F35" w:rsidRDefault="00000000">
      <w:pPr>
        <w:pStyle w:val="FootnoteText"/>
        <w:ind w:left="1080" w:firstLine="0"/>
      </w:pPr>
      <w:r>
        <w:rPr>
          <w:rtl/>
        </w:rPr>
        <w:t xml:space="preserve">גמרא מבאר שמלשון המשנה ("הבגד") </w:t>
      </w:r>
      <w:r w:rsidR="006E0842">
        <w:rPr>
          <w:rFonts w:hint="cs"/>
          <w:rtl/>
        </w:rPr>
        <w:t xml:space="preserve">משמע </w:t>
      </w:r>
      <w:r>
        <w:rPr>
          <w:rtl/>
        </w:rPr>
        <w:t>שמדובר בציור שלישי. רבי אליעזר הולך כשיטתו, וסובר שמקבל טומאה. אבל, רבי עקיבא חזר משיטתו, וסובר כרבי יהושע, ואז סובר שלא מטמא.</w:t>
      </w:r>
    </w:p>
    <w:p w14:paraId="02D7C945" w14:textId="77777777" w:rsidR="00AB1F35" w:rsidRDefault="00000000">
      <w:pPr>
        <w:pStyle w:val="FootnoteText"/>
        <w:numPr>
          <w:ilvl w:val="0"/>
          <w:numId w:val="13"/>
        </w:numPr>
      </w:pPr>
      <w:r>
        <w:rPr>
          <w:rtl/>
        </w:rPr>
        <w:t>במחלקת שני, שני ביאורים ניתנו:</w:t>
      </w:r>
    </w:p>
    <w:p w14:paraId="2B511FCE" w14:textId="00CB5BE0" w:rsidR="00AB1F35" w:rsidRDefault="00000000" w:rsidP="008F5C11">
      <w:pPr>
        <w:pStyle w:val="FootnoteText"/>
        <w:numPr>
          <w:ilvl w:val="1"/>
          <w:numId w:val="13"/>
        </w:numPr>
      </w:pPr>
      <w:r>
        <w:rPr>
          <w:rtl/>
        </w:rPr>
        <w:t>ר’ אלעזר סובר כביאור ראשון במחלקת ראשונה, וממשיך בו לבאר גם מחלקת שני, על מחלקת ראשון. מבאר שכאן מדובר בחתיכה של שלש על שלש מצומצם. אז, אחרי תחילת הביעור, אינו נחשב כלי. ר"א ור"ע סוברים כשיטת רבי יהודה שאומר שאין מסיקים בשברי כלים, מאיסור מוקצה. חולקים ר"א ור"ע אם יש לבגד שקפלה ולא הבהבה דין בגד (שהוא כלי) או דין פתילה. המחלקת הולכת לשיטתם במחלקת הקודמת. ר"א סובר שיש לו דין כלי. אז, כיון שמתחיל בו, נעשה שבר כלי, ואז אין מדליקים בו. [</w:t>
      </w:r>
      <w:r w:rsidR="008F5C11">
        <w:rPr>
          <w:rFonts w:hint="cs"/>
          <w:rtl/>
        </w:rPr>
        <w:t>מח</w:t>
      </w:r>
      <w:r>
        <w:rPr>
          <w:rtl/>
        </w:rPr>
        <w:t>] אבל, ר"ע סובר שאין לו דין כלי, שנחשב פתילה, ואז לא נעשה שבר כלי, ומדליקים בו.</w:t>
      </w:r>
      <w:r w:rsidR="00BA7597">
        <w:rPr>
          <w:rFonts w:hint="cs"/>
          <w:rtl/>
        </w:rPr>
        <w:t xml:space="preserve"> [</w:t>
      </w:r>
      <w:r w:rsidR="008F5C11">
        <w:rPr>
          <w:rFonts w:hint="cs"/>
          <w:rtl/>
        </w:rPr>
        <w:t>מט]</w:t>
      </w:r>
      <w:r w:rsidR="00292CD4">
        <w:rPr>
          <w:rFonts w:hint="cs"/>
          <w:rtl/>
        </w:rPr>
        <w:t xml:space="preserve"> </w:t>
      </w:r>
    </w:p>
    <w:p w14:paraId="623DDD1B" w14:textId="77777777" w:rsidR="00AB1F35" w:rsidRDefault="00000000">
      <w:pPr>
        <w:pStyle w:val="FootnoteText"/>
        <w:numPr>
          <w:ilvl w:val="1"/>
          <w:numId w:val="13"/>
        </w:numPr>
      </w:pPr>
      <w:r>
        <w:rPr>
          <w:rtl/>
        </w:rPr>
        <w:t>רבא מבאר שחולקים רבי אליעזר ורבי עקיבא אם מדליקים בפתילה שלא הבהב. רבי אליעזר סובר שכיון שלא מדליק יפה, דומה לפתילות שנמנו בתחילת הפרק, ואסור להדליק בה, שמא יטה. אבל, ר"ע מתיר להדליק בה (מסתמא מפני שלאחר זמן דולק יפה).</w:t>
      </w:r>
    </w:p>
  </w:footnote>
  <w:footnote w:id="47">
    <w:p w14:paraId="7A583949" w14:textId="77777777" w:rsidR="00AB1F35" w:rsidRDefault="00000000">
      <w:pPr>
        <w:pStyle w:val="FootnoteText"/>
        <w:rPr>
          <w:b/>
          <w:bCs/>
        </w:rPr>
      </w:pPr>
      <w:r>
        <w:rPr>
          <w:rStyle w:val="FootnoteCharacters"/>
        </w:rPr>
        <w:t xml:space="preserve"> </w:t>
      </w:r>
      <w:r>
        <w:rPr>
          <w:rtl/>
        </w:rPr>
        <w:tab/>
        <w:t xml:space="preserve"> </w:t>
      </w:r>
      <w:r>
        <w:rPr>
          <w:b/>
          <w:bCs/>
          <w:rtl/>
        </w:rPr>
        <w:t>משנה ד</w:t>
      </w:r>
    </w:p>
  </w:footnote>
  <w:footnote w:id="48">
    <w:p w14:paraId="259A959D" w14:textId="2B57A569" w:rsidR="00AB1F35" w:rsidRDefault="00000000">
      <w:pPr>
        <w:pStyle w:val="FootnoteText"/>
      </w:pPr>
      <w:r>
        <w:rPr>
          <w:rStyle w:val="FootnoteCharacters"/>
        </w:rPr>
        <w:footnoteRef/>
      </w:r>
      <w:r>
        <w:rPr>
          <w:rtl/>
        </w:rPr>
        <w:tab/>
        <w:t xml:space="preserve"> אדם רוצה להוסיף שמן לתוך הנר, אבל הנר קטן. אז, כדי להוסיף יותר שמן, נותן שמן בתוך ביצה, ונותן ביצה על הנר. בשולי הביצה, יש נקב קטן, והשמן מטפטף משם. </w:t>
      </w:r>
    </w:p>
  </w:footnote>
  <w:footnote w:id="49">
    <w:p w14:paraId="366A77AF" w14:textId="741D3FD7" w:rsidR="00AB1F35" w:rsidRDefault="00000000">
      <w:pPr>
        <w:pStyle w:val="FootnoteText"/>
      </w:pPr>
      <w:r>
        <w:rPr>
          <w:rStyle w:val="FootnoteCharacters"/>
        </w:rPr>
        <w:footnoteRef/>
      </w:r>
      <w:r>
        <w:rPr>
          <w:rtl/>
        </w:rPr>
        <w:tab/>
        <w:t xml:space="preserve"> רבנן אסרו את זה כיון שחוששים שאדם יקח שמן מן הביצה, כיון ש</w:t>
      </w:r>
      <w:r w:rsidR="001B509D">
        <w:rPr>
          <w:rFonts w:hint="cs"/>
          <w:rtl/>
        </w:rPr>
        <w:t xml:space="preserve">לא נראה לו </w:t>
      </w:r>
      <w:r>
        <w:rPr>
          <w:rtl/>
        </w:rPr>
        <w:t>כל כך חלק מן הנר. אם יקח שמן, יעבור על איסור כיבוי, שכיון שהקצה את הביצה והשמן שבו לנר, נמצא שממעט את הבערת האור.</w:t>
      </w:r>
      <w:r w:rsidR="007E2FAE">
        <w:rPr>
          <w:rFonts w:hint="cs"/>
          <w:rtl/>
        </w:rPr>
        <w:t xml:space="preserve"> [</w:t>
      </w:r>
      <w:r w:rsidR="00617C57">
        <w:rPr>
          <w:rFonts w:hint="cs"/>
          <w:rtl/>
        </w:rPr>
        <w:t>נ]</w:t>
      </w:r>
    </w:p>
  </w:footnote>
  <w:footnote w:id="50">
    <w:p w14:paraId="2D7E51A3" w14:textId="77777777" w:rsidR="00AB1F35" w:rsidRDefault="00000000">
      <w:pPr>
        <w:pStyle w:val="FootnoteText"/>
        <w:rPr>
          <w:rFonts w:cstheme="minorBidi"/>
          <w:b/>
          <w:bCs/>
          <w:u w:val="single"/>
        </w:rPr>
      </w:pPr>
      <w:r>
        <w:rPr>
          <w:rStyle w:val="FootnoteCharacters"/>
        </w:rPr>
        <w:footnoteRef/>
      </w:r>
      <w:r>
        <w:rPr>
          <w:rtl/>
        </w:rPr>
        <w:tab/>
        <w:t xml:space="preserve"> אפילו אם נותן חרס על הנר, ולא נותן ביצה על הנר, עדיין אסור. אף שחרס מאוס, וחשש רחוק הוא שאדם יסתפק מן השמן שבתוכו, עדיין חוששים שיגרום כיבוי מזה. </w:t>
      </w:r>
      <w:r>
        <w:rPr>
          <w:b/>
          <w:bCs/>
          <w:u w:val="single"/>
          <w:rtl/>
        </w:rPr>
        <w:t>(כט:)</w:t>
      </w:r>
    </w:p>
  </w:footnote>
  <w:footnote w:id="51">
    <w:p w14:paraId="620EA49E" w14:textId="2060325A" w:rsidR="00AB1F35" w:rsidRDefault="00000000">
      <w:pPr>
        <w:pStyle w:val="FootnoteText"/>
        <w:rPr>
          <w:rFonts w:cstheme="minorBidi"/>
        </w:rPr>
      </w:pPr>
      <w:r>
        <w:rPr>
          <w:rStyle w:val="FootnoteCharacters"/>
        </w:rPr>
        <w:footnoteRef/>
      </w:r>
      <w:r>
        <w:rPr>
          <w:rtl/>
        </w:rPr>
        <w:tab/>
        <w:t xml:space="preserve"> רבי יהודה מתיר בשני הציורים – כשנותן ביצה על הנר, וכשנותן חרס על הנר. </w:t>
      </w:r>
      <w:r>
        <w:rPr>
          <w:b/>
          <w:bCs/>
          <w:u w:val="single"/>
          <w:rtl/>
        </w:rPr>
        <w:t>(כט:)</w:t>
      </w:r>
      <w:r>
        <w:rPr>
          <w:rtl/>
        </w:rPr>
        <w:t xml:space="preserve"> גמרא (פסחים יא.) מבאר שרבי יהודה לא חושש שיחלל את השבת, כיון ששבת חמור לבנ"א.</w:t>
      </w:r>
    </w:p>
  </w:footnote>
  <w:footnote w:id="52">
    <w:p w14:paraId="66CE2966" w14:textId="3C29D076" w:rsidR="00AB1F35" w:rsidRDefault="00000000">
      <w:pPr>
        <w:pStyle w:val="FootnoteText"/>
        <w:rPr>
          <w:rFonts w:cstheme="minorBidi"/>
        </w:rPr>
      </w:pPr>
      <w:r>
        <w:rPr>
          <w:rStyle w:val="FootnoteCharacters"/>
        </w:rPr>
        <w:footnoteRef/>
      </w:r>
      <w:r>
        <w:rPr>
          <w:rtl/>
        </w:rPr>
        <w:tab/>
        <w:t xml:space="preserve"> גמרא </w:t>
      </w:r>
      <w:r>
        <w:rPr>
          <w:b/>
          <w:bCs/>
          <w:u w:val="single"/>
          <w:rtl/>
        </w:rPr>
        <w:t>(כט:)</w:t>
      </w:r>
      <w:r>
        <w:rPr>
          <w:rtl/>
        </w:rPr>
        <w:t xml:space="preserve"> מפרש שלא צריך שהיוצר יחבר אותו, אלא רק צריך שיחובר כעין </w:t>
      </w:r>
      <w:r w:rsidR="000A14B2">
        <w:rPr>
          <w:rFonts w:hint="cs"/>
          <w:rtl/>
        </w:rPr>
        <w:t xml:space="preserve">חיבור שעושה </w:t>
      </w:r>
      <w:r>
        <w:rPr>
          <w:rtl/>
        </w:rPr>
        <w:t>יוצ</w:t>
      </w:r>
      <w:r w:rsidR="0033656E">
        <w:rPr>
          <w:rFonts w:hint="cs"/>
          <w:rtl/>
        </w:rPr>
        <w:t>ר</w:t>
      </w:r>
      <w:r>
        <w:rPr>
          <w:rtl/>
        </w:rPr>
        <w:t>, בחיבור קבוע.</w:t>
      </w:r>
    </w:p>
  </w:footnote>
  <w:footnote w:id="53">
    <w:p w14:paraId="0E170C65" w14:textId="77777777" w:rsidR="00AB1F35" w:rsidRDefault="00000000">
      <w:pPr>
        <w:pStyle w:val="FootnoteText"/>
      </w:pPr>
      <w:r>
        <w:rPr>
          <w:rStyle w:val="FootnoteCharacters"/>
        </w:rPr>
        <w:footnoteRef/>
      </w:r>
      <w:r>
        <w:rPr>
          <w:rtl/>
        </w:rPr>
        <w:tab/>
        <w:t xml:space="preserve"> כיון שהם מחוברים, אדם מכיר שיכבה אם לוקח שמן משם, ואז לא חוששים שיקח.</w:t>
      </w:r>
    </w:p>
  </w:footnote>
  <w:footnote w:id="54">
    <w:p w14:paraId="2543261B" w14:textId="6323C200" w:rsidR="00AB1F35" w:rsidRDefault="00000000">
      <w:pPr>
        <w:pStyle w:val="FootnoteText"/>
      </w:pPr>
      <w:r>
        <w:rPr>
          <w:rStyle w:val="FootnoteCharacters"/>
        </w:rPr>
        <w:footnoteRef/>
      </w:r>
      <w:r>
        <w:rPr>
          <w:rtl/>
        </w:rPr>
        <w:tab/>
        <w:t xml:space="preserve"> כאן, כדי להוסיף שמן, אדם נותן כלי אחר בצד הנר, ומניח את הפ</w:t>
      </w:r>
      <w:r w:rsidR="00F229C7">
        <w:rPr>
          <w:rFonts w:hint="cs"/>
          <w:rtl/>
        </w:rPr>
        <w:t>ת</w:t>
      </w:r>
      <w:r>
        <w:rPr>
          <w:rtl/>
        </w:rPr>
        <w:t>ילה בתוך אותו הכלי. אז, הולך מנר אחד לכלי שני. חוששים שאדם יקח שמן מן הכלי שמוסיף, ובזה יגרום כיבוי.</w:t>
      </w:r>
    </w:p>
  </w:footnote>
  <w:footnote w:id="55">
    <w:p w14:paraId="1C19A21E" w14:textId="77777777" w:rsidR="00AB1F35" w:rsidRDefault="00000000">
      <w:pPr>
        <w:pStyle w:val="FootnoteText"/>
      </w:pPr>
      <w:r>
        <w:rPr>
          <w:rStyle w:val="FootnoteCharacters"/>
        </w:rPr>
        <w:footnoteRef/>
      </w:r>
      <w:r>
        <w:rPr>
          <w:rtl/>
        </w:rPr>
        <w:tab/>
        <w:t xml:space="preserve"> כמו לעיל, רבי יהודה לא חושש שאדם יקח שמן ויגרום כיבוי.</w:t>
      </w:r>
    </w:p>
  </w:footnote>
  <w:footnote w:id="56">
    <w:p w14:paraId="1E6D173E" w14:textId="5680F7F5" w:rsidR="00AB1F35" w:rsidRDefault="00000000">
      <w:pPr>
        <w:pStyle w:val="FootnoteText"/>
        <w:rPr>
          <w:rFonts w:cstheme="minorBidi"/>
        </w:rPr>
      </w:pPr>
      <w:r>
        <w:rPr>
          <w:rStyle w:val="FootnoteCharacters"/>
        </w:rPr>
        <w:footnoteRef/>
      </w:r>
      <w:r>
        <w:rPr>
          <w:rtl/>
        </w:rPr>
        <w:tab/>
        <w:t xml:space="preserve"> בכל מחלקתים אלו, מפרש גמרא </w:t>
      </w:r>
      <w:r>
        <w:rPr>
          <w:b/>
          <w:bCs/>
          <w:u w:val="single"/>
          <w:rtl/>
        </w:rPr>
        <w:t>(כט:)</w:t>
      </w:r>
      <w:r>
        <w:rPr>
          <w:rtl/>
        </w:rPr>
        <w:t xml:space="preserve"> שאם העושה כן זריז, לא חוששים שיכבה. אבל, עדיין אסור, כדי שלא יאמרו בני אדם שהלכה כרבי יהודה. [</w:t>
      </w:r>
      <w:r w:rsidR="005735D4">
        <w:rPr>
          <w:rFonts w:hint="cs"/>
          <w:rtl/>
        </w:rPr>
        <w:t>נא</w:t>
      </w:r>
      <w:r>
        <w:rPr>
          <w:rtl/>
        </w:rPr>
        <w:t>]</w:t>
      </w:r>
    </w:p>
  </w:footnote>
  <w:footnote w:id="57">
    <w:p w14:paraId="5A215DCB" w14:textId="77777777" w:rsidR="00AB1F35" w:rsidRDefault="00000000">
      <w:pPr>
        <w:pStyle w:val="FootnoteText"/>
        <w:rPr>
          <w:b/>
          <w:bCs/>
        </w:rPr>
      </w:pPr>
      <w:r>
        <w:rPr>
          <w:rStyle w:val="FootnoteCharacters"/>
        </w:rPr>
        <w:t xml:space="preserve"> </w:t>
      </w:r>
      <w:r>
        <w:rPr>
          <w:rtl/>
        </w:rPr>
        <w:tab/>
        <w:t xml:space="preserve"> </w:t>
      </w:r>
      <w:r>
        <w:rPr>
          <w:b/>
          <w:bCs/>
          <w:rtl/>
        </w:rPr>
        <w:t>משנה ה</w:t>
      </w:r>
    </w:p>
  </w:footnote>
  <w:footnote w:id="58">
    <w:p w14:paraId="4D181E65" w14:textId="77777777" w:rsidR="00AB1F35" w:rsidRDefault="00000000">
      <w:pPr>
        <w:pStyle w:val="FootnoteText"/>
      </w:pPr>
      <w:r>
        <w:rPr>
          <w:rStyle w:val="FootnoteCharacters"/>
        </w:rPr>
        <w:footnoteRef/>
      </w:r>
      <w:r>
        <w:rPr>
          <w:rtl/>
        </w:rPr>
        <w:tab/>
        <w:t xml:space="preserve"> במשנה זה נמצא שני פטורים כלליים בהלכות שבת:</w:t>
      </w:r>
    </w:p>
    <w:p w14:paraId="3152E6E1" w14:textId="5B091724" w:rsidR="00AB1F35" w:rsidRDefault="00000000">
      <w:pPr>
        <w:pStyle w:val="FootnoteText"/>
        <w:numPr>
          <w:ilvl w:val="0"/>
          <w:numId w:val="14"/>
        </w:numPr>
      </w:pPr>
      <w:r>
        <w:rPr>
          <w:rtl/>
        </w:rPr>
        <w:t>פיקוח נפש. מותר לחלל את השבת כדי להציל נפש של ישראל. תחילת המשנה ימנה ציורים שיש בהם פיקוח נפש, ואז מותר לחלל שבת. [</w:t>
      </w:r>
      <w:r w:rsidR="004849A9">
        <w:rPr>
          <w:rFonts w:hint="cs"/>
          <w:rtl/>
        </w:rPr>
        <w:t>נב]</w:t>
      </w:r>
    </w:p>
    <w:p w14:paraId="54700594" w14:textId="268A81AE" w:rsidR="00AB1F35" w:rsidRDefault="00000000">
      <w:pPr>
        <w:pStyle w:val="FootnoteText"/>
        <w:numPr>
          <w:ilvl w:val="0"/>
          <w:numId w:val="14"/>
        </w:numPr>
      </w:pPr>
      <w:r>
        <w:rPr>
          <w:rtl/>
        </w:rPr>
        <w:t>מלאכה שאינה צריכה לגופה. במלאכת שבת, מלאכת מחשבת אסרה תורה [</w:t>
      </w:r>
      <w:r w:rsidR="004849A9">
        <w:rPr>
          <w:rFonts w:hint="cs"/>
          <w:rtl/>
        </w:rPr>
        <w:t>נג</w:t>
      </w:r>
      <w:r>
        <w:rPr>
          <w:rtl/>
        </w:rPr>
        <w:t>]. זאת אומרת שכוונת העושה מלאכה מאד חשוב להגדרת מלאכת שבת. מפני זה, חולקים תנאים במלאכה שא"צ לגופה. עיקר המחלקת הוא בין רבי יהודה ורבי שמעון; רבי יהודה מחייב, ורבי שמעון פוטר. במשנה זה, לפירוש אחד, נראה מחלקת בזה בין תנא קמא, שסובר כרבי יהודה, ורבי יוסי, שסובר כרבי שמעון.</w:t>
      </w:r>
    </w:p>
  </w:footnote>
  <w:footnote w:id="59">
    <w:p w14:paraId="6892CF50" w14:textId="77777777" w:rsidR="00AB1F35" w:rsidRDefault="00000000">
      <w:pPr>
        <w:pStyle w:val="FootnoteText"/>
      </w:pPr>
      <w:r>
        <w:rPr>
          <w:rStyle w:val="FootnoteCharacters"/>
        </w:rPr>
        <w:footnoteRef/>
      </w:r>
      <w:r>
        <w:rPr>
          <w:rtl/>
        </w:rPr>
        <w:tab/>
        <w:t xml:space="preserve"> רש"י מפרש שהיה לפרסיים י"ט שבה החוק שלהם היה שאין מניחים נר דלוק בשום מקום חוץ מבבית ע"ז שלהם. אז, משנה מדבר במי שמכבה את הנר מפני שמתיירא מן הפרסיים שיעניש אותו אם רואה אם נר שלו דלוק.</w:t>
      </w:r>
    </w:p>
  </w:footnote>
  <w:footnote w:id="60">
    <w:p w14:paraId="63281404" w14:textId="54548BBC" w:rsidR="00AB1F35" w:rsidRDefault="00000000">
      <w:pPr>
        <w:pStyle w:val="FootnoteText"/>
      </w:pPr>
      <w:r>
        <w:rPr>
          <w:rStyle w:val="FootnoteCharacters"/>
        </w:rPr>
        <w:footnoteRef/>
      </w:r>
      <w:r>
        <w:rPr>
          <w:rtl/>
        </w:rPr>
        <w:tab/>
        <w:t xml:space="preserve"> חושש אדם שאם ישאר נרו דלוק, יבואו לו לסטים, </w:t>
      </w:r>
      <w:r w:rsidR="00C433CF">
        <w:rPr>
          <w:rFonts w:hint="cs"/>
          <w:rtl/>
        </w:rPr>
        <w:t xml:space="preserve">כיון </w:t>
      </w:r>
      <w:r>
        <w:rPr>
          <w:rtl/>
        </w:rPr>
        <w:t>ש</w:t>
      </w:r>
      <w:r w:rsidR="00AA3D15">
        <w:rPr>
          <w:rFonts w:hint="cs"/>
          <w:rtl/>
        </w:rPr>
        <w:t xml:space="preserve">מן הנר מכירים </w:t>
      </w:r>
      <w:r>
        <w:rPr>
          <w:rtl/>
        </w:rPr>
        <w:t>שיש אדם שם.</w:t>
      </w:r>
    </w:p>
  </w:footnote>
  <w:footnote w:id="61">
    <w:p w14:paraId="1394C322" w14:textId="7CC71BA2" w:rsidR="00AB1F35" w:rsidRDefault="00000000">
      <w:pPr>
        <w:pStyle w:val="FootnoteText"/>
      </w:pPr>
      <w:r>
        <w:rPr>
          <w:rStyle w:val="FootnoteCharacters"/>
        </w:rPr>
        <w:footnoteRef/>
      </w:r>
      <w:r>
        <w:rPr>
          <w:rtl/>
        </w:rPr>
        <w:tab/>
        <w:t xml:space="preserve"> רש"י מפרש שלפעמים נוח למי ששרוי ברוח רעה לשבת בלי ראיה</w:t>
      </w:r>
      <w:r w:rsidR="00AA3D15">
        <w:rPr>
          <w:rFonts w:hint="cs"/>
          <w:rtl/>
        </w:rPr>
        <w:t>, ואז רוצה לכבות את הנר.</w:t>
      </w:r>
    </w:p>
  </w:footnote>
  <w:footnote w:id="62">
    <w:p w14:paraId="4D0EB57C" w14:textId="77777777" w:rsidR="00AB1F35" w:rsidRDefault="00000000">
      <w:pPr>
        <w:pStyle w:val="FootnoteText"/>
      </w:pPr>
      <w:r>
        <w:rPr>
          <w:rStyle w:val="FootnoteCharacters"/>
        </w:rPr>
        <w:footnoteRef/>
      </w:r>
      <w:r>
        <w:rPr>
          <w:rtl/>
        </w:rPr>
        <w:tab/>
        <w:t xml:space="preserve"> החולה צריך שינה כדי לרפאות לו, אבל הנר מונע אותו מלישון.</w:t>
      </w:r>
    </w:p>
  </w:footnote>
  <w:footnote w:id="63">
    <w:p w14:paraId="54CF8E28" w14:textId="58E46476" w:rsidR="000A35EC" w:rsidRDefault="000A35EC">
      <w:pPr>
        <w:pStyle w:val="FootnoteText"/>
      </w:pPr>
      <w:r>
        <w:rPr>
          <w:rStyle w:val="FootnoteReference"/>
        </w:rPr>
        <w:footnoteRef/>
      </w:r>
      <w:r>
        <w:rPr>
          <w:rtl/>
        </w:rPr>
        <w:t xml:space="preserve"> </w:t>
      </w:r>
      <w:r>
        <w:rPr>
          <w:rtl/>
        </w:rPr>
        <w:tab/>
      </w:r>
      <w:r w:rsidR="00E00523">
        <w:rPr>
          <w:rFonts w:hint="cs"/>
          <w:rtl/>
        </w:rPr>
        <w:t xml:space="preserve">לכאו', </w:t>
      </w:r>
      <w:r>
        <w:rPr>
          <w:rFonts w:hint="cs"/>
          <w:rtl/>
        </w:rPr>
        <w:t xml:space="preserve">מותר הוא, </w:t>
      </w:r>
      <w:r w:rsidR="00E00523">
        <w:rPr>
          <w:rFonts w:hint="cs"/>
          <w:rtl/>
        </w:rPr>
        <w:t>כיון שיש בו פקוח נפש. אבל, לכאו' אמר בו לשון פטור, שמשמע שיש איסור, רק אגב הסיפא.</w:t>
      </w:r>
      <w:r w:rsidR="00667A60">
        <w:rPr>
          <w:rFonts w:hint="cs"/>
          <w:rtl/>
        </w:rPr>
        <w:t xml:space="preserve"> </w:t>
      </w:r>
      <w:r w:rsidR="00E00523">
        <w:rPr>
          <w:rFonts w:hint="cs"/>
          <w:rtl/>
        </w:rPr>
        <w:t>[נד]</w:t>
      </w:r>
    </w:p>
  </w:footnote>
  <w:footnote w:id="64">
    <w:p w14:paraId="4855307C" w14:textId="035405C7" w:rsidR="00AB1F35" w:rsidRDefault="00000000">
      <w:pPr>
        <w:pStyle w:val="FootnoteText"/>
      </w:pPr>
      <w:r>
        <w:rPr>
          <w:rStyle w:val="FootnoteCharacters"/>
        </w:rPr>
        <w:footnoteRef/>
      </w:r>
      <w:r>
        <w:rPr>
          <w:rtl/>
        </w:rPr>
        <w:tab/>
        <w:t xml:space="preserve"> מכבה כדי שלא להפסיד את הנר. [</w:t>
      </w:r>
      <w:r w:rsidR="00E00523">
        <w:rPr>
          <w:rFonts w:hint="cs"/>
          <w:rtl/>
        </w:rPr>
        <w:t>נה</w:t>
      </w:r>
      <w:r>
        <w:rPr>
          <w:rtl/>
        </w:rPr>
        <w:t>]</w:t>
      </w:r>
    </w:p>
  </w:footnote>
  <w:footnote w:id="65">
    <w:p w14:paraId="0731E81B" w14:textId="77777777" w:rsidR="00AB1F35" w:rsidRDefault="00000000">
      <w:pPr>
        <w:pStyle w:val="FootnoteText"/>
      </w:pPr>
      <w:r>
        <w:rPr>
          <w:rStyle w:val="FootnoteCharacters"/>
        </w:rPr>
        <w:footnoteRef/>
      </w:r>
      <w:r>
        <w:rPr>
          <w:rtl/>
        </w:rPr>
        <w:tab/>
        <w:t xml:space="preserve"> מכבה כדי שלא להפסיד שמן.</w:t>
      </w:r>
    </w:p>
  </w:footnote>
  <w:footnote w:id="66">
    <w:p w14:paraId="20A20C3B" w14:textId="77777777" w:rsidR="00AB1F35" w:rsidRDefault="00000000">
      <w:pPr>
        <w:pStyle w:val="FootnoteText"/>
      </w:pPr>
      <w:r>
        <w:rPr>
          <w:rStyle w:val="FootnoteCharacters"/>
        </w:rPr>
        <w:footnoteRef/>
      </w:r>
      <w:r>
        <w:rPr>
          <w:rtl/>
        </w:rPr>
        <w:tab/>
        <w:t xml:space="preserve"> מכבה כדי שלא להפסיד את הפתילה.</w:t>
      </w:r>
    </w:p>
  </w:footnote>
  <w:footnote w:id="67">
    <w:p w14:paraId="03BC04A9" w14:textId="77777777" w:rsidR="00AB1F35" w:rsidRDefault="00000000">
      <w:pPr>
        <w:pStyle w:val="FootnoteText"/>
      </w:pPr>
      <w:r>
        <w:rPr>
          <w:rStyle w:val="FootnoteCharacters"/>
        </w:rPr>
        <w:footnoteRef/>
      </w:r>
      <w:r>
        <w:rPr>
          <w:rtl/>
        </w:rPr>
        <w:tab/>
        <w:t xml:space="preserve"> גמרא </w:t>
      </w:r>
      <w:r>
        <w:rPr>
          <w:b/>
          <w:bCs/>
          <w:u w:val="single"/>
          <w:rtl/>
        </w:rPr>
        <w:t>(לא:)</w:t>
      </w:r>
      <w:r>
        <w:rPr>
          <w:rtl/>
        </w:rPr>
        <w:t xml:space="preserve"> נותן שני ביאורים בשיטת רבי יוסי:</w:t>
      </w:r>
    </w:p>
    <w:p w14:paraId="5F0B76F9" w14:textId="0327E3A5" w:rsidR="00AB1F35" w:rsidRDefault="00000000">
      <w:pPr>
        <w:pStyle w:val="FootnoteText"/>
        <w:numPr>
          <w:ilvl w:val="0"/>
          <w:numId w:val="15"/>
        </w:numPr>
      </w:pPr>
      <w:r>
        <w:rPr>
          <w:rtl/>
        </w:rPr>
        <w:t>עולא אומר שרבי יוסי סובר שכל מלאכת סתירה (כמו כיבוי) רק מחייב אם נעשה כדי לבנות במקומו. (רש"י מבאר שעיקר מקום הבערה וכיבוי הוא בפתילה.</w:t>
      </w:r>
      <w:r w:rsidR="00AA3D15">
        <w:rPr>
          <w:rFonts w:hint="cs"/>
          <w:rtl/>
        </w:rPr>
        <w:t>)</w:t>
      </w:r>
      <w:r>
        <w:rPr>
          <w:rtl/>
        </w:rPr>
        <w:t xml:space="preserve"> אז, כ</w:t>
      </w:r>
      <w:r w:rsidR="003D5CEC">
        <w:rPr>
          <w:rFonts w:hint="cs"/>
          <w:rtl/>
        </w:rPr>
        <w:t>מכבה כדי לחזור ולהדליק</w:t>
      </w:r>
      <w:r>
        <w:rPr>
          <w:rtl/>
        </w:rPr>
        <w:t xml:space="preserve"> בפתילה זה, נחשב בנין במקומו. אבל, אם </w:t>
      </w:r>
      <w:r w:rsidR="003D5CEC">
        <w:rPr>
          <w:rFonts w:hint="cs"/>
          <w:rtl/>
        </w:rPr>
        <w:t xml:space="preserve">מכבה כדי לחזור ולהדליק באותו </w:t>
      </w:r>
      <w:r>
        <w:rPr>
          <w:rtl/>
        </w:rPr>
        <w:t xml:space="preserve">נר </w:t>
      </w:r>
      <w:r w:rsidR="003D5CEC">
        <w:rPr>
          <w:rFonts w:hint="cs"/>
          <w:rtl/>
        </w:rPr>
        <w:t xml:space="preserve">או באותו </w:t>
      </w:r>
      <w:r>
        <w:rPr>
          <w:rtl/>
        </w:rPr>
        <w:t>שמן, כיון שמדליק בפתילה אחרת, אינו בנין במקומו.</w:t>
      </w:r>
      <w:r w:rsidR="00AA3D15">
        <w:rPr>
          <w:rFonts w:hint="cs"/>
          <w:rtl/>
        </w:rPr>
        <w:t xml:space="preserve"> </w:t>
      </w:r>
      <w:r w:rsidR="000070E0">
        <w:rPr>
          <w:rFonts w:hint="cs"/>
          <w:rtl/>
        </w:rPr>
        <w:t xml:space="preserve">(אז, אם חס על השמן, ומכוון להדליק אותו עם אותו פתילה, יחייב.) </w:t>
      </w:r>
      <w:r>
        <w:rPr>
          <w:rtl/>
        </w:rPr>
        <w:t>[</w:t>
      </w:r>
      <w:r w:rsidR="00BC0F32">
        <w:rPr>
          <w:rFonts w:hint="cs"/>
          <w:rtl/>
        </w:rPr>
        <w:t>נו]</w:t>
      </w:r>
    </w:p>
    <w:p w14:paraId="55E01568" w14:textId="3458EDAA" w:rsidR="00AB1F35" w:rsidRDefault="00000000">
      <w:pPr>
        <w:pStyle w:val="FootnoteText"/>
        <w:numPr>
          <w:ilvl w:val="0"/>
          <w:numId w:val="15"/>
        </w:numPr>
      </w:pPr>
      <w:r>
        <w:rPr>
          <w:rtl/>
        </w:rPr>
        <w:t>רב המנונא אומר שרבי יוסי סובר שאין חייבים על מלאכה שא"צ לגופה. אז, פוטר ברוב הציורים. ציור שבו מחייב מדובר בפתילה שצריך להבהוב. אז, אף שאין חיוב כיבוי, שזה לא נעשה לגופה, חייב משום תיקון מנא, שבכיבוי מכוון לעשות פחם. גמ' מבאר שכן מדוייקת מן המשנה, שאומר שמחייב כיון ש"עושה פחם," שמשמע שמחייב כיון שמחייב לעשות פחם, ולא מפני שנעשה פחם. [</w:t>
      </w:r>
      <w:r w:rsidR="00BF04A3">
        <w:rPr>
          <w:rFonts w:hint="cs"/>
          <w:rtl/>
        </w:rPr>
        <w:t>נז</w:t>
      </w:r>
      <w:r>
        <w:rPr>
          <w:rtl/>
        </w:rPr>
        <w:t>]</w:t>
      </w:r>
    </w:p>
  </w:footnote>
  <w:footnote w:id="68">
    <w:p w14:paraId="10A226A7" w14:textId="77777777" w:rsidR="00AB1F35" w:rsidRDefault="00000000">
      <w:pPr>
        <w:pStyle w:val="FootnoteText"/>
        <w:rPr>
          <w:b/>
          <w:bCs/>
        </w:rPr>
      </w:pPr>
      <w:r>
        <w:rPr>
          <w:rStyle w:val="FootnoteCharacters"/>
        </w:rPr>
        <w:t xml:space="preserve"> </w:t>
      </w:r>
      <w:r>
        <w:rPr>
          <w:rtl/>
        </w:rPr>
        <w:tab/>
        <w:t xml:space="preserve"> </w:t>
      </w:r>
      <w:r>
        <w:rPr>
          <w:b/>
          <w:bCs/>
          <w:rtl/>
        </w:rPr>
        <w:t>משנה ו</w:t>
      </w:r>
    </w:p>
  </w:footnote>
  <w:footnote w:id="69">
    <w:p w14:paraId="37B18F6A" w14:textId="3D87C944" w:rsidR="00AB1F35" w:rsidRDefault="00000000">
      <w:pPr>
        <w:pStyle w:val="FootnoteText"/>
      </w:pPr>
      <w:r>
        <w:rPr>
          <w:rStyle w:val="FootnoteCharacters"/>
        </w:rPr>
        <w:footnoteRef/>
      </w:r>
      <w:r>
        <w:rPr>
          <w:rtl/>
        </w:rPr>
        <w:tab/>
        <w:t xml:space="preserve"> חולקים תנאים </w:t>
      </w:r>
      <w:r>
        <w:rPr>
          <w:b/>
          <w:bCs/>
          <w:u w:val="single"/>
          <w:rtl/>
        </w:rPr>
        <w:t>(לב.)</w:t>
      </w:r>
      <w:r>
        <w:rPr>
          <w:rtl/>
        </w:rPr>
        <w:t xml:space="preserve"> אם בגלל אלו מתות בשעה שהן יולדות (בשעת לידה) או בשעה שהן ילדות (קודם שהן זקנות). גמרא </w:t>
      </w:r>
      <w:r>
        <w:rPr>
          <w:b/>
          <w:bCs/>
          <w:u w:val="single"/>
          <w:rtl/>
        </w:rPr>
        <w:t>(לב.)</w:t>
      </w:r>
      <w:r>
        <w:rPr>
          <w:rtl/>
        </w:rPr>
        <w:t xml:space="preserve"> מפרש שהטעם שימותו כשהן יולדות בדווקא הוא שכשאדם שרוי במצב של סכנה, קל יותר שיבואו עליו עונשים. כך אשה, כשהיא יולדת, שרויה בסכנה, ואז כל העונשים שלה מגיעים לה.</w:t>
      </w:r>
      <w:r w:rsidR="00C61274">
        <w:rPr>
          <w:rFonts w:hint="cs"/>
          <w:rtl/>
        </w:rPr>
        <w:t xml:space="preserve"> [נ</w:t>
      </w:r>
      <w:r w:rsidR="00B212E6">
        <w:rPr>
          <w:rFonts w:hint="cs"/>
          <w:rtl/>
        </w:rPr>
        <w:t>ט</w:t>
      </w:r>
      <w:r w:rsidR="00C61274">
        <w:rPr>
          <w:rFonts w:hint="cs"/>
          <w:rtl/>
        </w:rPr>
        <w:t>]</w:t>
      </w:r>
    </w:p>
  </w:footnote>
  <w:footnote w:id="70">
    <w:p w14:paraId="31D79892" w14:textId="77777777" w:rsidR="00AB1F35" w:rsidRDefault="00000000">
      <w:pPr>
        <w:pStyle w:val="FootnoteText"/>
      </w:pPr>
      <w:r>
        <w:rPr>
          <w:rStyle w:val="FootnoteCharacters"/>
        </w:rPr>
        <w:footnoteRef/>
      </w:r>
      <w:r>
        <w:rPr>
          <w:rtl/>
        </w:rPr>
        <w:tab/>
        <w:t xml:space="preserve"> גמרא </w:t>
      </w:r>
      <w:r>
        <w:rPr>
          <w:b/>
          <w:bCs/>
          <w:u w:val="single"/>
          <w:rtl/>
        </w:rPr>
        <w:t>(לא:)</w:t>
      </w:r>
      <w:r>
        <w:rPr>
          <w:rtl/>
        </w:rPr>
        <w:t xml:space="preserve"> נותן שני ביאורים בזה:</w:t>
      </w:r>
    </w:p>
    <w:p w14:paraId="3704E252" w14:textId="354DE51B" w:rsidR="00AB1F35" w:rsidRDefault="00000000">
      <w:pPr>
        <w:pStyle w:val="FootnoteText"/>
        <w:numPr>
          <w:ilvl w:val="0"/>
          <w:numId w:val="16"/>
        </w:numPr>
        <w:rPr>
          <w:rFonts w:cstheme="minorBidi"/>
        </w:rPr>
      </w:pPr>
      <w:r>
        <w:rPr>
          <w:rtl/>
        </w:rPr>
        <w:t>מדה כנגד מדה היא, שכיון שקלקלה בחדרי בטנה, תלקה בחדרי בטנה. [</w:t>
      </w:r>
      <w:r w:rsidR="00535931">
        <w:rPr>
          <w:rFonts w:hint="cs"/>
          <w:rtl/>
        </w:rPr>
        <w:t>ס</w:t>
      </w:r>
      <w:r>
        <w:rPr>
          <w:rtl/>
        </w:rPr>
        <w:t>]</w:t>
      </w:r>
    </w:p>
    <w:p w14:paraId="516B2FFE" w14:textId="490F3CB5" w:rsidR="00AB1F35" w:rsidRDefault="00000000">
      <w:pPr>
        <w:pStyle w:val="FootnoteText"/>
        <w:numPr>
          <w:ilvl w:val="0"/>
          <w:numId w:val="16"/>
        </w:numPr>
        <w:rPr>
          <w:rFonts w:cstheme="minorBidi"/>
        </w:rPr>
      </w:pPr>
      <w:r>
        <w:rPr>
          <w:rtl/>
        </w:rPr>
        <w:t>מדה כנגד מדה היא, שה' תלה חיי אדם ברביעית דם, וצווה לנשים מצווה בענין דם. אם היא לא מקפדת על מצוות הדם, ה' מסיר ממנה את החיים התלויים בדם שלה. [</w:t>
      </w:r>
      <w:r w:rsidR="004E5DD6">
        <w:rPr>
          <w:rFonts w:hint="cs"/>
          <w:rtl/>
        </w:rPr>
        <w:t>סא</w:t>
      </w:r>
      <w:r>
        <w:rPr>
          <w:rtl/>
        </w:rPr>
        <w:t>]</w:t>
      </w:r>
    </w:p>
  </w:footnote>
  <w:footnote w:id="71">
    <w:p w14:paraId="181CF2B3" w14:textId="0D4271AA" w:rsidR="00AB1F35" w:rsidRDefault="00000000">
      <w:pPr>
        <w:pStyle w:val="FootnoteText"/>
      </w:pPr>
      <w:r>
        <w:rPr>
          <w:rStyle w:val="FootnoteCharacters"/>
        </w:rPr>
        <w:footnoteRef/>
      </w:r>
      <w:r>
        <w:rPr>
          <w:rtl/>
        </w:rPr>
        <w:tab/>
        <w:t xml:space="preserve"> גמרא </w:t>
      </w:r>
      <w:r>
        <w:rPr>
          <w:b/>
          <w:bCs/>
          <w:u w:val="single"/>
          <w:rtl/>
        </w:rPr>
        <w:t>(לב.)</w:t>
      </w:r>
      <w:r>
        <w:rPr>
          <w:rtl/>
        </w:rPr>
        <w:t xml:space="preserve"> מפרש שהוא מדה כנגד מדה, שה' קרא לנו ראשית (בירמיה כ', "ראשית תבואתה"), וחייב אותנו במצוות חלה, שהוא מצוות ראשית (שכ' בו "ראשית עריסותיכם"). אז, אם אשה לא מקפדת על מצוות ראשית, ניטל מה שהיא ראשית, על ידי נטילת נשמתה. [</w:t>
      </w:r>
      <w:r w:rsidR="00DC6844">
        <w:rPr>
          <w:rFonts w:hint="cs"/>
          <w:rtl/>
        </w:rPr>
        <w:t>סב</w:t>
      </w:r>
      <w:r>
        <w:rPr>
          <w:rtl/>
        </w:rPr>
        <w:t>]</w:t>
      </w:r>
    </w:p>
    <w:p w14:paraId="2997852F" w14:textId="6878E217" w:rsidR="00AB1F35" w:rsidRDefault="00000000">
      <w:pPr>
        <w:pStyle w:val="FootnoteText"/>
        <w:ind w:firstLine="0"/>
      </w:pPr>
      <w:r>
        <w:rPr>
          <w:rtl/>
        </w:rPr>
        <w:t>רש"י מבאר שמצוות חלה יש בה עונש לנשים כיון שנוהגת יותר לנשים, לשתי סיבות. סיבה ראשונה היא שצרכי הבית (כמו עשיית עיסה) תלויים בה. [</w:t>
      </w:r>
      <w:r w:rsidR="003844A5">
        <w:rPr>
          <w:rFonts w:hint="cs"/>
          <w:rtl/>
        </w:rPr>
        <w:t>סג</w:t>
      </w:r>
      <w:r>
        <w:rPr>
          <w:rtl/>
        </w:rPr>
        <w:t xml:space="preserve">] סיבה שנית היא שכיון שאשה גרמה קלקול לאדם, שהיה חלתו של עולם, מצוות חלה מיוחדת לה. </w:t>
      </w:r>
    </w:p>
  </w:footnote>
  <w:footnote w:id="72">
    <w:p w14:paraId="34DD32D8" w14:textId="77777777" w:rsidR="00AB1F35" w:rsidRDefault="00000000">
      <w:pPr>
        <w:pStyle w:val="FootnoteText"/>
      </w:pPr>
      <w:r>
        <w:rPr>
          <w:rStyle w:val="FootnoteCharacters"/>
        </w:rPr>
        <w:footnoteRef/>
      </w:r>
      <w:r>
        <w:rPr>
          <w:rtl/>
        </w:rPr>
        <w:tab/>
        <w:t xml:space="preserve"> גמרא </w:t>
      </w:r>
      <w:r>
        <w:rPr>
          <w:b/>
          <w:bCs/>
          <w:u w:val="single"/>
          <w:rtl/>
        </w:rPr>
        <w:t>(לב.)</w:t>
      </w:r>
      <w:r>
        <w:rPr>
          <w:rtl/>
        </w:rPr>
        <w:t xml:space="preserve"> מפרש שהוא מדה כנגד מדה, שה' נתן בנו נשמה, וקרא לה נר ("כי נר ה' נשמת אדם"), וה' צווה לנו (על ידי רבנן) במצוות הדלקת נר בע"ש. אז, אם אשה לא מקפדת על מצוות הנר, ה' נוטל את נרה – את נשמתה – ממנה. </w:t>
      </w:r>
    </w:p>
    <w:p w14:paraId="5DA6F86C" w14:textId="57329C17" w:rsidR="00D8491C" w:rsidRDefault="00000000" w:rsidP="00C9774F">
      <w:pPr>
        <w:pStyle w:val="FootnoteText"/>
      </w:pPr>
      <w:r>
        <w:rPr>
          <w:rtl/>
        </w:rPr>
        <w:tab/>
        <w:t>רש"י מבאר שמצוות הדלקת הנר יש בה עונש לנשים כיון שנוהגת יותר לנשים, לשתי סיבות. סיבה ראשונה היא שצרכי הבית (כמו הדלקת הנר) תלויים בה. סיבה שנית היא שכיון שאשה גרמה קלקול לאדם, שהיה נרו של עולם, מצוות הנר מיוחדת לה. [</w:t>
      </w:r>
      <w:r w:rsidR="000B77D2">
        <w:rPr>
          <w:rFonts w:hint="cs"/>
          <w:rtl/>
        </w:rPr>
        <w:t>סד</w:t>
      </w:r>
      <w:r>
        <w:rPr>
          <w:rtl/>
        </w:rPr>
        <w:t>]</w:t>
      </w:r>
    </w:p>
  </w:footnote>
  <w:footnote w:id="73">
    <w:p w14:paraId="4AA0AE15" w14:textId="77777777" w:rsidR="00AB1F35" w:rsidRDefault="00000000">
      <w:pPr>
        <w:pStyle w:val="FootnoteText"/>
        <w:rPr>
          <w:b/>
          <w:bCs/>
        </w:rPr>
      </w:pPr>
      <w:r>
        <w:rPr>
          <w:rStyle w:val="FootnoteCharacters"/>
        </w:rPr>
        <w:t xml:space="preserve"> </w:t>
      </w:r>
      <w:r>
        <w:rPr>
          <w:rtl/>
        </w:rPr>
        <w:tab/>
        <w:t xml:space="preserve"> </w:t>
      </w:r>
      <w:r>
        <w:rPr>
          <w:b/>
          <w:bCs/>
          <w:rtl/>
        </w:rPr>
        <w:t>משנה ז</w:t>
      </w:r>
    </w:p>
  </w:footnote>
  <w:footnote w:id="74">
    <w:p w14:paraId="114340DC" w14:textId="325C4524" w:rsidR="00AB1F35" w:rsidRDefault="00000000">
      <w:pPr>
        <w:pStyle w:val="FootnoteText"/>
      </w:pPr>
      <w:r>
        <w:rPr>
          <w:rStyle w:val="FootnoteCharacters"/>
        </w:rPr>
        <w:footnoteRef/>
      </w:r>
      <w:r>
        <w:rPr>
          <w:rtl/>
        </w:rPr>
        <w:tab/>
        <w:t xml:space="preserve"> משנה זה ידון בכמה דברים שצריכים לעשות קודם השבת, ויבאר אם יכול לעשות אותם בבין השמשות, שהוא ספק יום ספק לילה [</w:t>
      </w:r>
      <w:r w:rsidR="00F02B92">
        <w:rPr>
          <w:rFonts w:hint="cs"/>
          <w:rtl/>
        </w:rPr>
        <w:t>סה</w:t>
      </w:r>
      <w:r>
        <w:rPr>
          <w:rtl/>
        </w:rPr>
        <w:t>]. בדר"כ, יכול לעשות איסורים קלושים בין השמשות, ולא יכול לעשות איסורים חזקים.</w:t>
      </w:r>
    </w:p>
  </w:footnote>
  <w:footnote w:id="75">
    <w:p w14:paraId="5C1BFA9B" w14:textId="77777777" w:rsidR="00AB1F35" w:rsidRDefault="00000000">
      <w:pPr>
        <w:pStyle w:val="FootnoteText"/>
      </w:pPr>
      <w:r>
        <w:rPr>
          <w:rStyle w:val="FootnoteCharacters"/>
        </w:rPr>
        <w:footnoteRef/>
      </w:r>
      <w:r>
        <w:rPr>
          <w:rtl/>
        </w:rPr>
        <w:tab/>
        <w:t xml:space="preserve"> גמרא </w:t>
      </w:r>
      <w:r>
        <w:rPr>
          <w:b/>
          <w:bCs/>
          <w:u w:val="single"/>
          <w:rtl/>
        </w:rPr>
        <w:t>(לד.)</w:t>
      </w:r>
      <w:r>
        <w:rPr>
          <w:rtl/>
        </w:rPr>
        <w:t xml:space="preserve"> מוסיף שצריך לומר אותם בלשון רפה לבני ביתו.</w:t>
      </w:r>
    </w:p>
  </w:footnote>
  <w:footnote w:id="76">
    <w:p w14:paraId="3869FF79" w14:textId="6BB3CA4C" w:rsidR="00AB1F35" w:rsidRDefault="00000000">
      <w:pPr>
        <w:pStyle w:val="FootnoteText"/>
      </w:pPr>
      <w:r>
        <w:rPr>
          <w:rStyle w:val="FootnoteCharacters"/>
        </w:rPr>
        <w:footnoteRef/>
      </w:r>
      <w:r>
        <w:rPr>
          <w:rtl/>
        </w:rPr>
        <w:tab/>
        <w:t xml:space="preserve"> דברים אלו צריכים להיות ביום וודאי, קודם בין השמשות, אבל</w:t>
      </w:r>
      <w:r w:rsidR="00AD72AC">
        <w:rPr>
          <w:rFonts w:hint="cs"/>
          <w:rtl/>
        </w:rPr>
        <w:t xml:space="preserve"> צריך להזכיר אותם </w:t>
      </w:r>
      <w:r>
        <w:rPr>
          <w:rtl/>
        </w:rPr>
        <w:t>קרוב לשבת, שאם מקדים</w:t>
      </w:r>
      <w:r w:rsidR="00806CDB">
        <w:rPr>
          <w:rFonts w:hint="cs"/>
          <w:rtl/>
        </w:rPr>
        <w:t xml:space="preserve"> להזכיר</w:t>
      </w:r>
      <w:r>
        <w:rPr>
          <w:rtl/>
        </w:rPr>
        <w:t>, חוששים שישכחו לעשות אותם.</w:t>
      </w:r>
    </w:p>
  </w:footnote>
  <w:footnote w:id="77">
    <w:p w14:paraId="557AA5C3" w14:textId="0F083F6E" w:rsidR="00AB1F35" w:rsidRDefault="00000000">
      <w:pPr>
        <w:pStyle w:val="FootnoteText"/>
      </w:pPr>
      <w:r>
        <w:rPr>
          <w:rStyle w:val="FootnoteCharacters"/>
        </w:rPr>
        <w:footnoteRef/>
      </w:r>
      <w:r>
        <w:rPr>
          <w:rtl/>
        </w:rPr>
        <w:tab/>
        <w:t xml:space="preserve"> קודם שאדם אוכל פירות, צריך להפריש את המעשר ממנו. </w:t>
      </w:r>
      <w:r w:rsidR="009D2C20">
        <w:rPr>
          <w:rFonts w:hint="cs"/>
          <w:rtl/>
        </w:rPr>
        <w:t xml:space="preserve">אם לא מפריש, אסור לאכול. </w:t>
      </w:r>
      <w:r>
        <w:rPr>
          <w:rtl/>
        </w:rPr>
        <w:t xml:space="preserve">כיון שכן, אסור </w:t>
      </w:r>
      <w:r w:rsidR="00AD72AC">
        <w:rPr>
          <w:rFonts w:hint="cs"/>
          <w:rtl/>
        </w:rPr>
        <w:t xml:space="preserve">מדרבנן </w:t>
      </w:r>
      <w:r>
        <w:rPr>
          <w:rtl/>
        </w:rPr>
        <w:t>להפריש מעשר בשבת, שהוא מתקן את המאכל. אז, צריך אדם להזכיר לבני ביתו לעשר קודם השבת. רבנן החמירו באיסור זה של עישור, וצריך לעשות אותו ביום וודאי.</w:t>
      </w:r>
    </w:p>
  </w:footnote>
  <w:footnote w:id="78">
    <w:p w14:paraId="5D361DC1" w14:textId="77777777" w:rsidR="00AB1F35" w:rsidRDefault="00000000">
      <w:pPr>
        <w:pStyle w:val="FootnoteText"/>
      </w:pPr>
      <w:r>
        <w:rPr>
          <w:rStyle w:val="FootnoteCharacters"/>
        </w:rPr>
        <w:footnoteRef/>
      </w:r>
      <w:r>
        <w:rPr>
          <w:rtl/>
        </w:rPr>
        <w:tab/>
        <w:t xml:space="preserve"> גמרא </w:t>
      </w:r>
      <w:r>
        <w:rPr>
          <w:b/>
          <w:bCs/>
          <w:u w:val="single"/>
          <w:rtl/>
        </w:rPr>
        <w:t>(לד.)</w:t>
      </w:r>
      <w:r>
        <w:rPr>
          <w:rtl/>
        </w:rPr>
        <w:t xml:space="preserve"> מבאר שזה מדבר בעירוב תחומים. אסור ללכת בשבת אלפיים אמה ממקום ששבת בתחילת שבת. עירוב תחומין הוא דרך לשנות מקום שביתה שלו בתחילת השבת.</w:t>
      </w:r>
    </w:p>
    <w:p w14:paraId="00204EE2" w14:textId="77777777" w:rsidR="00AB1F35" w:rsidRDefault="00000000">
      <w:pPr>
        <w:pStyle w:val="FootnoteText"/>
      </w:pPr>
      <w:r>
        <w:rPr>
          <w:rtl/>
        </w:rPr>
        <w:tab/>
        <w:t>איסור תחומין הוא איסור חמור. חולקים תנאים אם הוא איסור דאו' או איסור דרבנן, אבל אף אם איסור דרבנן הוא, יש לו סמך מפסוקים, והוא איסור חזק. אז, התקנה לו – העירוב – נחשב תקנה חשובה, ואז צריך לעשות אותו כשהוא יום וודאי,  ולא בין השמשות.</w:t>
      </w:r>
    </w:p>
  </w:footnote>
  <w:footnote w:id="79">
    <w:p w14:paraId="727ED870" w14:textId="4C026C1D" w:rsidR="00AB1F35" w:rsidRDefault="00000000">
      <w:pPr>
        <w:pStyle w:val="FootnoteText"/>
      </w:pPr>
      <w:r>
        <w:rPr>
          <w:rStyle w:val="FootnoteCharacters"/>
        </w:rPr>
        <w:footnoteRef/>
      </w:r>
      <w:r>
        <w:rPr>
          <w:rtl/>
        </w:rPr>
        <w:tab/>
        <w:t xml:space="preserve"> הדלקת הנר היא מצווה לעשות בערב שבת, והיא איסור </w:t>
      </w:r>
      <w:r w:rsidR="006D7B11">
        <w:rPr>
          <w:rFonts w:hint="cs"/>
          <w:rtl/>
        </w:rPr>
        <w:t>מדאו'</w:t>
      </w:r>
      <w:r>
        <w:rPr>
          <w:rtl/>
        </w:rPr>
        <w:t xml:space="preserve"> בשבת. לכן, רק יכולים להדליק ביום וודאי, ולא בע"ש.</w:t>
      </w:r>
    </w:p>
  </w:footnote>
  <w:footnote w:id="80">
    <w:p w14:paraId="12810FBA" w14:textId="20D6C4A8" w:rsidR="00C9774F" w:rsidRDefault="00C9774F">
      <w:pPr>
        <w:pStyle w:val="FootnoteText"/>
      </w:pPr>
      <w:r>
        <w:rPr>
          <w:rStyle w:val="FootnoteReference"/>
        </w:rPr>
        <w:footnoteRef/>
      </w:r>
      <w:r>
        <w:rPr>
          <w:rtl/>
        </w:rPr>
        <w:t xml:space="preserve"> </w:t>
      </w:r>
      <w:r>
        <w:rPr>
          <w:rtl/>
        </w:rPr>
        <w:tab/>
      </w:r>
      <w:r>
        <w:rPr>
          <w:rFonts w:hint="cs"/>
          <w:rtl/>
        </w:rPr>
        <w:t xml:space="preserve">ירושלמי מבאר שתחילה הזכיר את האיסורים דרבנן, ורק אח"כ את האסור מדאו', מפני שרצה להזכיר את הדרבנן ראשון כדי שנחמיר בו. </w:t>
      </w:r>
      <w:r w:rsidR="00F02B92">
        <w:rPr>
          <w:rFonts w:hint="cs"/>
          <w:rtl/>
        </w:rPr>
        <w:t>(אחרי שהזכיר את הדרבנן, א"צ להזכיר את הדאו', אבל לכאו' אמר אותו בלשון "זו ואין צריך לומר זו.")</w:t>
      </w:r>
    </w:p>
  </w:footnote>
  <w:footnote w:id="81">
    <w:p w14:paraId="61465793" w14:textId="0772A5CC" w:rsidR="00D12D08" w:rsidRDefault="00D12D08">
      <w:pPr>
        <w:pStyle w:val="FootnoteText"/>
        <w:rPr>
          <w:rFonts w:hint="cs"/>
        </w:rPr>
      </w:pPr>
      <w:r>
        <w:rPr>
          <w:rStyle w:val="FootnoteReference"/>
        </w:rPr>
        <w:footnoteRef/>
      </w:r>
      <w:r>
        <w:rPr>
          <w:rtl/>
        </w:rPr>
        <w:t xml:space="preserve"> </w:t>
      </w:r>
      <w:r>
        <w:rPr>
          <w:rtl/>
        </w:rPr>
        <w:tab/>
      </w:r>
      <w:r>
        <w:rPr>
          <w:rFonts w:hint="cs"/>
          <w:rtl/>
        </w:rPr>
        <w:t>כמו שבארנו, אסור</w:t>
      </w:r>
      <w:r w:rsidR="00485CD3">
        <w:rPr>
          <w:rFonts w:hint="cs"/>
          <w:rtl/>
        </w:rPr>
        <w:t xml:space="preserve"> בשבת</w:t>
      </w:r>
      <w:r>
        <w:rPr>
          <w:rFonts w:hint="cs"/>
          <w:rtl/>
        </w:rPr>
        <w:t xml:space="preserve"> כיון שנראה כמתקן, כיון שמתיר או האוכל.</w:t>
      </w:r>
      <w:r w:rsidR="00485CD3">
        <w:rPr>
          <w:rFonts w:hint="cs"/>
          <w:rtl/>
        </w:rPr>
        <w:t xml:space="preserve"> חוששים שהוא כבר שבת.</w:t>
      </w:r>
    </w:p>
  </w:footnote>
  <w:footnote w:id="82">
    <w:p w14:paraId="4C61DA21" w14:textId="34EA7DFC" w:rsidR="00DD0C9C" w:rsidRDefault="00DD0C9C">
      <w:pPr>
        <w:pStyle w:val="FootnoteText"/>
        <w:rPr>
          <w:rtl/>
        </w:rPr>
      </w:pPr>
      <w:r>
        <w:rPr>
          <w:rStyle w:val="FootnoteReference"/>
        </w:rPr>
        <w:footnoteRef/>
      </w:r>
      <w:r>
        <w:rPr>
          <w:rtl/>
        </w:rPr>
        <w:t xml:space="preserve"> </w:t>
      </w:r>
      <w:r>
        <w:rPr>
          <w:rtl/>
        </w:rPr>
        <w:tab/>
      </w:r>
      <w:r w:rsidR="00C74B0E">
        <w:rPr>
          <w:rFonts w:hint="cs"/>
          <w:rtl/>
        </w:rPr>
        <w:t>אסו</w:t>
      </w:r>
      <w:r w:rsidR="00DA31D6">
        <w:rPr>
          <w:rFonts w:hint="cs"/>
          <w:rtl/>
        </w:rPr>
        <w:t>ר</w:t>
      </w:r>
      <w:r w:rsidR="00C74B0E">
        <w:rPr>
          <w:rFonts w:hint="cs"/>
          <w:rtl/>
        </w:rPr>
        <w:t xml:space="preserve"> לטבול כלי בשבת. גמ' נותן ארבע טעמים לזה בביצה (יז):</w:t>
      </w:r>
    </w:p>
    <w:p w14:paraId="005CF885" w14:textId="57BC593C" w:rsidR="00C74B0E" w:rsidRDefault="00C74B0E" w:rsidP="00C74B0E">
      <w:pPr>
        <w:pStyle w:val="FootnoteText"/>
        <w:numPr>
          <w:ilvl w:val="0"/>
          <w:numId w:val="19"/>
        </w:numPr>
      </w:pPr>
      <w:r>
        <w:rPr>
          <w:rFonts w:hint="cs"/>
          <w:rtl/>
        </w:rPr>
        <w:t xml:space="preserve">רבה </w:t>
      </w:r>
      <w:r>
        <w:rPr>
          <w:rtl/>
        </w:rPr>
        <w:t>–</w:t>
      </w:r>
      <w:r>
        <w:rPr>
          <w:rFonts w:hint="cs"/>
          <w:rtl/>
        </w:rPr>
        <w:t xml:space="preserve"> חוששים שיעביר אותו ארבע אמות ברשות הרבים.</w:t>
      </w:r>
    </w:p>
    <w:p w14:paraId="0B3B70DC" w14:textId="1BABE065" w:rsidR="00C74B0E" w:rsidRDefault="00C74B0E" w:rsidP="00C74B0E">
      <w:pPr>
        <w:pStyle w:val="FootnoteText"/>
        <w:numPr>
          <w:ilvl w:val="0"/>
          <w:numId w:val="19"/>
        </w:numPr>
      </w:pPr>
      <w:r>
        <w:rPr>
          <w:rFonts w:hint="cs"/>
          <w:rtl/>
        </w:rPr>
        <w:t xml:space="preserve">רב יוסף </w:t>
      </w:r>
      <w:r>
        <w:rPr>
          <w:rtl/>
        </w:rPr>
        <w:t>–</w:t>
      </w:r>
      <w:r>
        <w:rPr>
          <w:rFonts w:hint="cs"/>
          <w:rtl/>
        </w:rPr>
        <w:t xml:space="preserve"> חוששים שיבוא גם לטבול כלים שיש בהם סחיטה, ויבוא לסחוט.</w:t>
      </w:r>
    </w:p>
    <w:p w14:paraId="54D3BAF4" w14:textId="174D3143" w:rsidR="00C74B0E" w:rsidRDefault="00C74B0E" w:rsidP="00C74B0E">
      <w:pPr>
        <w:pStyle w:val="FootnoteText"/>
        <w:numPr>
          <w:ilvl w:val="0"/>
          <w:numId w:val="19"/>
        </w:numPr>
      </w:pPr>
      <w:r>
        <w:rPr>
          <w:rFonts w:hint="cs"/>
          <w:rtl/>
        </w:rPr>
        <w:t xml:space="preserve">רב ביבי </w:t>
      </w:r>
      <w:r>
        <w:rPr>
          <w:rtl/>
        </w:rPr>
        <w:t>–</w:t>
      </w:r>
      <w:r>
        <w:rPr>
          <w:rFonts w:hint="cs"/>
          <w:rtl/>
        </w:rPr>
        <w:t xml:space="preserve"> חוששים שישהה אצלו כלים טהורים עד שבת</w:t>
      </w:r>
      <w:r w:rsidR="002E271A">
        <w:rPr>
          <w:rFonts w:hint="cs"/>
          <w:rtl/>
        </w:rPr>
        <w:t xml:space="preserve"> (ובזה ירבה טומאה).</w:t>
      </w:r>
    </w:p>
    <w:p w14:paraId="5707E73E" w14:textId="6E0F8DD3" w:rsidR="00C74B0E" w:rsidRDefault="00C74B0E" w:rsidP="00C74B0E">
      <w:pPr>
        <w:pStyle w:val="FootnoteText"/>
        <w:numPr>
          <w:ilvl w:val="0"/>
          <w:numId w:val="19"/>
        </w:numPr>
      </w:pPr>
      <w:r>
        <w:rPr>
          <w:rFonts w:hint="cs"/>
          <w:rtl/>
        </w:rPr>
        <w:t xml:space="preserve">רבא </w:t>
      </w:r>
      <w:r>
        <w:rPr>
          <w:rtl/>
        </w:rPr>
        <w:t>–</w:t>
      </w:r>
      <w:r>
        <w:rPr>
          <w:rFonts w:hint="cs"/>
          <w:rtl/>
        </w:rPr>
        <w:t xml:space="preserve"> </w:t>
      </w:r>
      <w:r w:rsidR="00961069">
        <w:rPr>
          <w:rFonts w:hint="cs"/>
          <w:rtl/>
        </w:rPr>
        <w:t xml:space="preserve">כשטובל, ומטהר כלים, </w:t>
      </w:r>
      <w:r>
        <w:rPr>
          <w:rFonts w:hint="cs"/>
          <w:rtl/>
        </w:rPr>
        <w:t>נראה כמתקן</w:t>
      </w:r>
      <w:r w:rsidR="00C80E92">
        <w:rPr>
          <w:rFonts w:hint="cs"/>
          <w:rtl/>
        </w:rPr>
        <w:t xml:space="preserve"> כלים בשבת.</w:t>
      </w:r>
    </w:p>
  </w:footnote>
  <w:footnote w:id="83">
    <w:p w14:paraId="0891115A" w14:textId="79BF78FE" w:rsidR="00485CD3" w:rsidRDefault="00485CD3">
      <w:pPr>
        <w:pStyle w:val="FootnoteText"/>
        <w:rPr>
          <w:rFonts w:hint="cs"/>
        </w:rPr>
      </w:pPr>
      <w:r>
        <w:rPr>
          <w:rStyle w:val="FootnoteReference"/>
        </w:rPr>
        <w:footnoteRef/>
      </w:r>
      <w:r>
        <w:rPr>
          <w:rtl/>
        </w:rPr>
        <w:t xml:space="preserve"> </w:t>
      </w:r>
      <w:r>
        <w:rPr>
          <w:rtl/>
        </w:rPr>
        <w:tab/>
      </w:r>
      <w:r>
        <w:rPr>
          <w:rFonts w:hint="cs"/>
          <w:rtl/>
        </w:rPr>
        <w:t>אסור להדליק בשבת, ועובר על איסור דאו'. חוששים שהוא כבר שבת.</w:t>
      </w:r>
    </w:p>
  </w:footnote>
  <w:footnote w:id="84">
    <w:p w14:paraId="07424491" w14:textId="32435E86" w:rsidR="00AB1F35" w:rsidRDefault="00000000">
      <w:pPr>
        <w:pStyle w:val="FootnoteText"/>
      </w:pPr>
      <w:r>
        <w:rPr>
          <w:rStyle w:val="FootnoteCharacters"/>
        </w:rPr>
        <w:footnoteRef/>
      </w:r>
      <w:r>
        <w:rPr>
          <w:rtl/>
        </w:rPr>
        <w:tab/>
        <w:t xml:space="preserve"> יוחנן כהן גדול בדק בא"י, ומצא שהיו </w:t>
      </w:r>
      <w:r w:rsidR="00A435AF">
        <w:rPr>
          <w:rFonts w:hint="cs"/>
          <w:rtl/>
        </w:rPr>
        <w:t>עמי הארץ</w:t>
      </w:r>
      <w:r>
        <w:rPr>
          <w:rtl/>
        </w:rPr>
        <w:t xml:space="preserve"> שלא היו מעשרים. אז, תיקן תקנת דמאי, וחייב לכל מי שקונה מע"ה להפריש מעשר. (סוטה מז) אבל, תקנה זה קלושה, ואז הקיל לומר שיכולים לעשר בין השמשות. </w:t>
      </w:r>
    </w:p>
    <w:p w14:paraId="144D248D" w14:textId="48980CEC" w:rsidR="00AB1F35" w:rsidRDefault="00000000">
      <w:pPr>
        <w:pStyle w:val="FootnoteText"/>
      </w:pPr>
      <w:r>
        <w:rPr>
          <w:rtl/>
        </w:rPr>
        <w:tab/>
        <w:t xml:space="preserve">גמ' כאן לא מבאר למה הוא איסור קלוש, אבל לעיל </w:t>
      </w:r>
      <w:r>
        <w:rPr>
          <w:b/>
          <w:bCs/>
          <w:u w:val="single"/>
          <w:rtl/>
        </w:rPr>
        <w:t>(כג.)</w:t>
      </w:r>
      <w:r>
        <w:rPr>
          <w:rtl/>
        </w:rPr>
        <w:t xml:space="preserve"> חולקים בזה אביי ורבא. אביי אומר שהוא קלוש כיון שהוא רק ספק של דבריהם, שרבנן גזרו על הספק. [</w:t>
      </w:r>
      <w:r w:rsidR="004A7AE0">
        <w:rPr>
          <w:rFonts w:hint="cs"/>
          <w:rtl/>
        </w:rPr>
        <w:t>סו</w:t>
      </w:r>
      <w:r>
        <w:rPr>
          <w:rtl/>
        </w:rPr>
        <w:t>] רבא אומר שהוא קלוש כיון שרוב עמי הארץ מעשרים.</w:t>
      </w:r>
    </w:p>
  </w:footnote>
  <w:footnote w:id="85">
    <w:p w14:paraId="6E7FFFB3" w14:textId="1987A476" w:rsidR="00AB1F35" w:rsidRDefault="00000000">
      <w:pPr>
        <w:pStyle w:val="FootnoteText"/>
      </w:pPr>
      <w:r>
        <w:rPr>
          <w:rStyle w:val="FootnoteCharacters"/>
        </w:rPr>
        <w:footnoteRef/>
      </w:r>
      <w:r>
        <w:rPr>
          <w:rtl/>
        </w:rPr>
        <w:tab/>
        <w:t xml:space="preserve"> גמרא </w:t>
      </w:r>
      <w:r>
        <w:rPr>
          <w:b/>
          <w:bCs/>
          <w:u w:val="single"/>
          <w:rtl/>
        </w:rPr>
        <w:t>(לד.)</w:t>
      </w:r>
      <w:r>
        <w:rPr>
          <w:rtl/>
        </w:rPr>
        <w:t xml:space="preserve"> מבאר שזה מדבר בעירוב חצירות. מן התורה, אסור להוציא מרה"י לרה"ר או מרה"ר לרה"י</w:t>
      </w:r>
      <w:r w:rsidR="007B2A49">
        <w:rPr>
          <w:rFonts w:hint="cs"/>
          <w:rtl/>
        </w:rPr>
        <w:t>, או להוליך אותו ארבע אמות ברה"ר</w:t>
      </w:r>
      <w:r>
        <w:rPr>
          <w:rtl/>
        </w:rPr>
        <w:t>. תיקנו רבנן שגם אסור להוליך חפץ</w:t>
      </w:r>
      <w:r w:rsidR="007B2A49">
        <w:rPr>
          <w:rFonts w:hint="cs"/>
          <w:rtl/>
        </w:rPr>
        <w:t xml:space="preserve"> ארבע אמות</w:t>
      </w:r>
      <w:r>
        <w:rPr>
          <w:rtl/>
        </w:rPr>
        <w:t xml:space="preserve"> בתוך חצר או מבית לחצר ומחצר לבית, שכיון שחצר הוא רשות של כל בעלי הבתים נראה כרה"ר. אבל, עשו לו תקנה על ידי עירוב חצירות. תקנה חלושה היא, ואז נעשה גם בין השמשות.</w:t>
      </w:r>
    </w:p>
  </w:footnote>
  <w:footnote w:id="86">
    <w:p w14:paraId="3F8164FF" w14:textId="24E16B0F" w:rsidR="00AB1F35" w:rsidRDefault="00000000">
      <w:pPr>
        <w:pStyle w:val="FootnoteText"/>
      </w:pPr>
      <w:r>
        <w:rPr>
          <w:rStyle w:val="FootnoteCharacters"/>
        </w:rPr>
        <w:footnoteRef/>
      </w:r>
      <w:r>
        <w:rPr>
          <w:rtl/>
        </w:rPr>
        <w:tab/>
        <w:t xml:space="preserve"> יש איסור דרבנן הנקרא "הטמנה." בכ</w:t>
      </w:r>
      <w:r w:rsidR="0024580D">
        <w:rPr>
          <w:rFonts w:hint="cs"/>
          <w:rtl/>
        </w:rPr>
        <w:t>ל</w:t>
      </w:r>
      <w:r>
        <w:rPr>
          <w:rtl/>
        </w:rPr>
        <w:t>ל איסור זה, מצאנו שני איסורים. איסור הראשון הוא הטמנה בדבר המוסיף הבל, ואיסור שני הוא הטמנה בדבר שאינו מוסיף הבל. איסור ראשון נוהג גם קודם השבת, והוא גזירה שמא יטמין ברמץ, ואז אולי יחתה בגחלים בשבת. איסור שני נוהג רק בשבת, והוא גזירה שמא יחם את התבשיל קודם שיטמין אותו.</w:t>
      </w:r>
      <w:r w:rsidR="00D12D08">
        <w:rPr>
          <w:rFonts w:hint="cs"/>
          <w:rtl/>
        </w:rPr>
        <w:t xml:space="preserve"> המשנה כאן מדברת בתקנה שנית.</w:t>
      </w:r>
      <w:r>
        <w:rPr>
          <w:rtl/>
        </w:rPr>
        <w:t xml:space="preserve"> אף שתקנה חזקה היא, לא גזרו על בין השמשות, שרוב קדירות חמימות ביה"ש, ואין חוששים שיחם אותו. </w:t>
      </w:r>
      <w:r>
        <w:rPr>
          <w:b/>
          <w:bCs/>
          <w:u w:val="single"/>
          <w:rtl/>
        </w:rPr>
        <w:t>(לד.)</w:t>
      </w:r>
      <w:r>
        <w:rPr>
          <w:b/>
          <w:bCs/>
          <w:rtl/>
        </w:rPr>
        <w:t xml:space="preserve"> </w:t>
      </w:r>
      <w:r>
        <w:rPr>
          <w:rtl/>
        </w:rPr>
        <w:t>[</w:t>
      </w:r>
      <w:r w:rsidR="00B22C8A">
        <w:rPr>
          <w:rFonts w:hint="cs"/>
          <w:rtl/>
        </w:rPr>
        <w:t>סז</w:t>
      </w:r>
      <w:r>
        <w:rPr>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3304"/>
    <w:multiLevelType w:val="multilevel"/>
    <w:tmpl w:val="E16ED5B2"/>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71B4B8C"/>
    <w:multiLevelType w:val="multilevel"/>
    <w:tmpl w:val="10B6618C"/>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E684BE3"/>
    <w:multiLevelType w:val="multilevel"/>
    <w:tmpl w:val="ED465012"/>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4442B4F"/>
    <w:multiLevelType w:val="multilevel"/>
    <w:tmpl w:val="50ECC0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5157477"/>
    <w:multiLevelType w:val="multilevel"/>
    <w:tmpl w:val="92A8B096"/>
    <w:lvl w:ilvl="0">
      <w:start w:val="1"/>
      <w:numFmt w:val="hebrew1"/>
      <w:lvlText w:val="%1."/>
      <w:lvlJc w:val="left"/>
      <w:pPr>
        <w:tabs>
          <w:tab w:val="num" w:pos="0"/>
        </w:tabs>
        <w:ind w:left="720" w:hanging="360"/>
      </w:pPr>
    </w:lvl>
    <w:lvl w:ilvl="1">
      <w:start w:val="1"/>
      <w:numFmt w:val="hebrew1"/>
      <w:lvlText w:val="%2."/>
      <w:lvlJc w:val="left"/>
      <w:pPr>
        <w:tabs>
          <w:tab w:val="num" w:pos="0"/>
        </w:tabs>
        <w:ind w:left="1440" w:hanging="360"/>
      </w:pPr>
      <w:rPr>
        <w:rFonts w:asciiTheme="minorHAnsi" w:eastAsiaTheme="minorHAnsi" w:hAnsiTheme="minorHAnsi" w:cs="Times New Roman"/>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2F65F53"/>
    <w:multiLevelType w:val="multilevel"/>
    <w:tmpl w:val="5A0CF0E2"/>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2DCE6A0A"/>
    <w:multiLevelType w:val="multilevel"/>
    <w:tmpl w:val="95D23D6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381C5597"/>
    <w:multiLevelType w:val="multilevel"/>
    <w:tmpl w:val="7DF8F3D0"/>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B451083"/>
    <w:multiLevelType w:val="multilevel"/>
    <w:tmpl w:val="3016166E"/>
    <w:lvl w:ilvl="0">
      <w:start w:val="1"/>
      <w:numFmt w:val="hebrew1"/>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44EF4C6A"/>
    <w:multiLevelType w:val="multilevel"/>
    <w:tmpl w:val="90686F8C"/>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481523B6"/>
    <w:multiLevelType w:val="multilevel"/>
    <w:tmpl w:val="92A8B096"/>
    <w:lvl w:ilvl="0">
      <w:start w:val="1"/>
      <w:numFmt w:val="hebrew1"/>
      <w:lvlText w:val="%1."/>
      <w:lvlJc w:val="left"/>
      <w:pPr>
        <w:tabs>
          <w:tab w:val="num" w:pos="0"/>
        </w:tabs>
        <w:ind w:left="720" w:hanging="360"/>
      </w:pPr>
    </w:lvl>
    <w:lvl w:ilvl="1">
      <w:start w:val="1"/>
      <w:numFmt w:val="hebrew1"/>
      <w:lvlText w:val="%2."/>
      <w:lvlJc w:val="left"/>
      <w:pPr>
        <w:tabs>
          <w:tab w:val="num" w:pos="0"/>
        </w:tabs>
        <w:ind w:left="1440" w:hanging="360"/>
      </w:pPr>
      <w:rPr>
        <w:rFonts w:asciiTheme="minorHAnsi" w:eastAsiaTheme="minorHAnsi" w:hAnsiTheme="minorHAnsi" w:cs="Times New Roman"/>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4D921EF2"/>
    <w:multiLevelType w:val="hybridMultilevel"/>
    <w:tmpl w:val="E174D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101FFA"/>
    <w:multiLevelType w:val="multilevel"/>
    <w:tmpl w:val="FC36265E"/>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5CA44B22"/>
    <w:multiLevelType w:val="multilevel"/>
    <w:tmpl w:val="1AA8F8FE"/>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5EBF207D"/>
    <w:multiLevelType w:val="multilevel"/>
    <w:tmpl w:val="44E0B42C"/>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5F285040"/>
    <w:multiLevelType w:val="multilevel"/>
    <w:tmpl w:val="C6A2E5DC"/>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6189029C"/>
    <w:multiLevelType w:val="multilevel"/>
    <w:tmpl w:val="B2501ADE"/>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6D7F7444"/>
    <w:multiLevelType w:val="multilevel"/>
    <w:tmpl w:val="4E8248B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8" w15:restartNumberingAfterBreak="0">
    <w:nsid w:val="6DA344E8"/>
    <w:multiLevelType w:val="multilevel"/>
    <w:tmpl w:val="784A3534"/>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810513722">
    <w:abstractNumId w:val="7"/>
  </w:num>
  <w:num w:numId="2" w16cid:durableId="1810439703">
    <w:abstractNumId w:val="13"/>
  </w:num>
  <w:num w:numId="3" w16cid:durableId="1777141786">
    <w:abstractNumId w:val="1"/>
  </w:num>
  <w:num w:numId="4" w16cid:durableId="7684521">
    <w:abstractNumId w:val="12"/>
  </w:num>
  <w:num w:numId="5" w16cid:durableId="1739204754">
    <w:abstractNumId w:val="18"/>
  </w:num>
  <w:num w:numId="6" w16cid:durableId="515316665">
    <w:abstractNumId w:val="10"/>
  </w:num>
  <w:num w:numId="7" w16cid:durableId="1222400298">
    <w:abstractNumId w:val="15"/>
  </w:num>
  <w:num w:numId="8" w16cid:durableId="481973187">
    <w:abstractNumId w:val="0"/>
  </w:num>
  <w:num w:numId="9" w16cid:durableId="744306085">
    <w:abstractNumId w:val="5"/>
  </w:num>
  <w:num w:numId="10" w16cid:durableId="1812214521">
    <w:abstractNumId w:val="14"/>
  </w:num>
  <w:num w:numId="11" w16cid:durableId="139424075">
    <w:abstractNumId w:val="16"/>
  </w:num>
  <w:num w:numId="12" w16cid:durableId="981891047">
    <w:abstractNumId w:val="6"/>
  </w:num>
  <w:num w:numId="13" w16cid:durableId="2003044261">
    <w:abstractNumId w:val="17"/>
  </w:num>
  <w:num w:numId="14" w16cid:durableId="2056152589">
    <w:abstractNumId w:val="9"/>
  </w:num>
  <w:num w:numId="15" w16cid:durableId="1857425692">
    <w:abstractNumId w:val="2"/>
  </w:num>
  <w:num w:numId="16" w16cid:durableId="460463717">
    <w:abstractNumId w:val="8"/>
  </w:num>
  <w:num w:numId="17" w16cid:durableId="1532456437">
    <w:abstractNumId w:val="3"/>
  </w:num>
  <w:num w:numId="18" w16cid:durableId="1468627035">
    <w:abstractNumId w:val="4"/>
  </w:num>
  <w:num w:numId="19" w16cid:durableId="2212111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autoHyphenation/>
  <w:hyphenationZone w:val="0"/>
  <w:characterSpacingControl w:val="doNotCompress"/>
  <w:footnotePr>
    <w:numFmt w:val="hebrew1"/>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F35"/>
    <w:rsid w:val="000070E0"/>
    <w:rsid w:val="00015947"/>
    <w:rsid w:val="00037D52"/>
    <w:rsid w:val="00047056"/>
    <w:rsid w:val="00073312"/>
    <w:rsid w:val="00080CE2"/>
    <w:rsid w:val="00094905"/>
    <w:rsid w:val="00096472"/>
    <w:rsid w:val="000A14B2"/>
    <w:rsid w:val="000A35EC"/>
    <w:rsid w:val="000B77D2"/>
    <w:rsid w:val="000F44BF"/>
    <w:rsid w:val="00124704"/>
    <w:rsid w:val="0013650A"/>
    <w:rsid w:val="001522AF"/>
    <w:rsid w:val="0017388A"/>
    <w:rsid w:val="00197F8A"/>
    <w:rsid w:val="001B1DB2"/>
    <w:rsid w:val="001B3810"/>
    <w:rsid w:val="001B509D"/>
    <w:rsid w:val="001C334E"/>
    <w:rsid w:val="001D51B8"/>
    <w:rsid w:val="001D54EF"/>
    <w:rsid w:val="001D583A"/>
    <w:rsid w:val="001E2828"/>
    <w:rsid w:val="001E5AFF"/>
    <w:rsid w:val="0021358A"/>
    <w:rsid w:val="00236538"/>
    <w:rsid w:val="00236BF8"/>
    <w:rsid w:val="002416EA"/>
    <w:rsid w:val="0024580D"/>
    <w:rsid w:val="002617A7"/>
    <w:rsid w:val="00273F20"/>
    <w:rsid w:val="0027624C"/>
    <w:rsid w:val="002867DB"/>
    <w:rsid w:val="00292CD4"/>
    <w:rsid w:val="002A341F"/>
    <w:rsid w:val="002D5918"/>
    <w:rsid w:val="002E0A93"/>
    <w:rsid w:val="002E271A"/>
    <w:rsid w:val="002E32AF"/>
    <w:rsid w:val="002F13EF"/>
    <w:rsid w:val="00317FA3"/>
    <w:rsid w:val="00320EFE"/>
    <w:rsid w:val="00331074"/>
    <w:rsid w:val="00331480"/>
    <w:rsid w:val="00332DA6"/>
    <w:rsid w:val="0033331F"/>
    <w:rsid w:val="0033656E"/>
    <w:rsid w:val="00350FF3"/>
    <w:rsid w:val="00354E57"/>
    <w:rsid w:val="003844A5"/>
    <w:rsid w:val="003D5C63"/>
    <w:rsid w:val="003D5CEC"/>
    <w:rsid w:val="003F2659"/>
    <w:rsid w:val="003F75D5"/>
    <w:rsid w:val="0040438B"/>
    <w:rsid w:val="004101E3"/>
    <w:rsid w:val="00424465"/>
    <w:rsid w:val="00437641"/>
    <w:rsid w:val="00440B29"/>
    <w:rsid w:val="0045589B"/>
    <w:rsid w:val="004849A9"/>
    <w:rsid w:val="00485CD3"/>
    <w:rsid w:val="004A7AE0"/>
    <w:rsid w:val="004B0A2A"/>
    <w:rsid w:val="004D0860"/>
    <w:rsid w:val="004D3052"/>
    <w:rsid w:val="004D5965"/>
    <w:rsid w:val="004E5DD6"/>
    <w:rsid w:val="00521F74"/>
    <w:rsid w:val="005328BD"/>
    <w:rsid w:val="00535931"/>
    <w:rsid w:val="00551217"/>
    <w:rsid w:val="005577BD"/>
    <w:rsid w:val="005615D0"/>
    <w:rsid w:val="00562F64"/>
    <w:rsid w:val="00567874"/>
    <w:rsid w:val="005735D4"/>
    <w:rsid w:val="00584638"/>
    <w:rsid w:val="00587C3D"/>
    <w:rsid w:val="005B5015"/>
    <w:rsid w:val="005B7A0E"/>
    <w:rsid w:val="005D220B"/>
    <w:rsid w:val="005D3E64"/>
    <w:rsid w:val="005E1EAC"/>
    <w:rsid w:val="005E7F7C"/>
    <w:rsid w:val="00617C57"/>
    <w:rsid w:val="00632FE6"/>
    <w:rsid w:val="00667A60"/>
    <w:rsid w:val="0069003E"/>
    <w:rsid w:val="006939E8"/>
    <w:rsid w:val="006A5B7F"/>
    <w:rsid w:val="006A69CA"/>
    <w:rsid w:val="006A7E17"/>
    <w:rsid w:val="006D7B11"/>
    <w:rsid w:val="006E0842"/>
    <w:rsid w:val="006E7191"/>
    <w:rsid w:val="006F5A68"/>
    <w:rsid w:val="00770611"/>
    <w:rsid w:val="00791A6E"/>
    <w:rsid w:val="007B2A49"/>
    <w:rsid w:val="007E2FAE"/>
    <w:rsid w:val="00806CDB"/>
    <w:rsid w:val="0083110F"/>
    <w:rsid w:val="00853816"/>
    <w:rsid w:val="0085773E"/>
    <w:rsid w:val="008764E1"/>
    <w:rsid w:val="0087756D"/>
    <w:rsid w:val="0088683D"/>
    <w:rsid w:val="00890960"/>
    <w:rsid w:val="008B733E"/>
    <w:rsid w:val="008D4F1C"/>
    <w:rsid w:val="008E23BD"/>
    <w:rsid w:val="008F1C8F"/>
    <w:rsid w:val="008F5C11"/>
    <w:rsid w:val="009062C1"/>
    <w:rsid w:val="0094389D"/>
    <w:rsid w:val="00961069"/>
    <w:rsid w:val="00993C80"/>
    <w:rsid w:val="009A00F7"/>
    <w:rsid w:val="009B0D48"/>
    <w:rsid w:val="009B79D1"/>
    <w:rsid w:val="009D2C20"/>
    <w:rsid w:val="009D72EB"/>
    <w:rsid w:val="00A435AF"/>
    <w:rsid w:val="00A568F6"/>
    <w:rsid w:val="00A87DC2"/>
    <w:rsid w:val="00AA3D15"/>
    <w:rsid w:val="00AB1F35"/>
    <w:rsid w:val="00AB7C1F"/>
    <w:rsid w:val="00AC1D04"/>
    <w:rsid w:val="00AC6942"/>
    <w:rsid w:val="00AD72AC"/>
    <w:rsid w:val="00B000A9"/>
    <w:rsid w:val="00B212E6"/>
    <w:rsid w:val="00B22C8A"/>
    <w:rsid w:val="00B3277D"/>
    <w:rsid w:val="00B80FE9"/>
    <w:rsid w:val="00BA7597"/>
    <w:rsid w:val="00BC0F32"/>
    <w:rsid w:val="00BC7A41"/>
    <w:rsid w:val="00BD27E7"/>
    <w:rsid w:val="00BE52E7"/>
    <w:rsid w:val="00BF04A3"/>
    <w:rsid w:val="00BF2129"/>
    <w:rsid w:val="00C02B04"/>
    <w:rsid w:val="00C06F2F"/>
    <w:rsid w:val="00C12CDC"/>
    <w:rsid w:val="00C24A0D"/>
    <w:rsid w:val="00C4300D"/>
    <w:rsid w:val="00C433CF"/>
    <w:rsid w:val="00C56DA2"/>
    <w:rsid w:val="00C61274"/>
    <w:rsid w:val="00C74B0E"/>
    <w:rsid w:val="00C80E92"/>
    <w:rsid w:val="00C9774F"/>
    <w:rsid w:val="00D03CBC"/>
    <w:rsid w:val="00D12D08"/>
    <w:rsid w:val="00D17E27"/>
    <w:rsid w:val="00D213CA"/>
    <w:rsid w:val="00D35865"/>
    <w:rsid w:val="00D56A4E"/>
    <w:rsid w:val="00D61A2A"/>
    <w:rsid w:val="00D64BE6"/>
    <w:rsid w:val="00D66D09"/>
    <w:rsid w:val="00D7309A"/>
    <w:rsid w:val="00D758A4"/>
    <w:rsid w:val="00D8491C"/>
    <w:rsid w:val="00DA31D6"/>
    <w:rsid w:val="00DB3401"/>
    <w:rsid w:val="00DC1CCA"/>
    <w:rsid w:val="00DC6844"/>
    <w:rsid w:val="00DD0C9C"/>
    <w:rsid w:val="00DE263B"/>
    <w:rsid w:val="00E00523"/>
    <w:rsid w:val="00E2062C"/>
    <w:rsid w:val="00E22CD5"/>
    <w:rsid w:val="00E374A0"/>
    <w:rsid w:val="00E57D39"/>
    <w:rsid w:val="00E85A8B"/>
    <w:rsid w:val="00E9630B"/>
    <w:rsid w:val="00EA030A"/>
    <w:rsid w:val="00EA1014"/>
    <w:rsid w:val="00EA6709"/>
    <w:rsid w:val="00EB61C4"/>
    <w:rsid w:val="00EE3B7A"/>
    <w:rsid w:val="00EE6EDB"/>
    <w:rsid w:val="00F02B92"/>
    <w:rsid w:val="00F222C8"/>
    <w:rsid w:val="00F229C7"/>
    <w:rsid w:val="00F41FF1"/>
    <w:rsid w:val="00FD59B1"/>
    <w:rsid w:val="00FF48DF"/>
    <w:rsid w:val="00FF4E51"/>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9FE01"/>
  <w15:docId w15:val="{470DB0FE-5050-4E20-AB6C-437164FC3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32F"/>
    <w:pPr>
      <w:bidi/>
      <w:spacing w:before="120" w:after="120" w:line="278" w:lineRule="auto"/>
    </w:pPr>
    <w:rPr>
      <w:rFonts w:cs="SBL Hebrew"/>
    </w:rPr>
  </w:style>
  <w:style w:type="paragraph" w:styleId="Heading1">
    <w:name w:val="heading 1"/>
    <w:basedOn w:val="Normal"/>
    <w:next w:val="Normal"/>
    <w:link w:val="Heading1Char"/>
    <w:uiPriority w:val="9"/>
    <w:qFormat/>
    <w:rsid w:val="004D732F"/>
    <w:pPr>
      <w:keepNext/>
      <w:keepLines/>
      <w:jc w:val="center"/>
      <w:outlineLvl w:val="0"/>
    </w:pPr>
    <w:rPr>
      <w:rFonts w:asciiTheme="majorHAnsi" w:eastAsiaTheme="majorEastAsia" w:hAnsiTheme="majorHAnsi"/>
      <w:bCs/>
      <w:sz w:val="40"/>
      <w:u w:val="single"/>
    </w:rPr>
  </w:style>
  <w:style w:type="paragraph" w:styleId="Heading2">
    <w:name w:val="heading 2"/>
    <w:basedOn w:val="Normal"/>
    <w:next w:val="Normal"/>
    <w:link w:val="Heading2Char"/>
    <w:uiPriority w:val="9"/>
    <w:unhideWhenUsed/>
    <w:qFormat/>
    <w:rsid w:val="004D732F"/>
    <w:pPr>
      <w:keepNext/>
      <w:keepLines/>
      <w:ind w:left="432"/>
      <w:outlineLvl w:val="1"/>
    </w:pPr>
    <w:rPr>
      <w:rFonts w:asciiTheme="majorHAnsi" w:eastAsiaTheme="majorEastAsia" w:hAnsiTheme="majorHAnsi"/>
      <w:bCs/>
      <w:sz w:val="32"/>
    </w:rPr>
  </w:style>
  <w:style w:type="paragraph" w:styleId="Heading3">
    <w:name w:val="heading 3"/>
    <w:basedOn w:val="Normal"/>
    <w:next w:val="Normal"/>
    <w:link w:val="Heading3Char"/>
    <w:uiPriority w:val="9"/>
    <w:semiHidden/>
    <w:unhideWhenUsed/>
    <w:qFormat/>
    <w:rsid w:val="00284C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C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C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D732F"/>
    <w:rPr>
      <w:rFonts w:asciiTheme="majorHAnsi" w:eastAsiaTheme="majorEastAsia" w:hAnsiTheme="majorHAnsi" w:cstheme="majorBidi"/>
      <w:bCs/>
      <w:sz w:val="40"/>
      <w:u w:val="single"/>
    </w:rPr>
  </w:style>
  <w:style w:type="character" w:customStyle="1" w:styleId="Heading2Char">
    <w:name w:val="Heading 2 Char"/>
    <w:basedOn w:val="DefaultParagraphFont"/>
    <w:link w:val="Heading2"/>
    <w:uiPriority w:val="9"/>
    <w:qFormat/>
    <w:rsid w:val="004D732F"/>
    <w:rPr>
      <w:rFonts w:asciiTheme="majorHAnsi" w:eastAsiaTheme="majorEastAsia" w:hAnsiTheme="majorHAnsi" w:cstheme="majorBidi"/>
      <w:bCs/>
      <w:sz w:val="32"/>
    </w:rPr>
  </w:style>
  <w:style w:type="character" w:customStyle="1" w:styleId="Heading3Char">
    <w:name w:val="Heading 3 Char"/>
    <w:basedOn w:val="DefaultParagraphFont"/>
    <w:link w:val="Heading3"/>
    <w:uiPriority w:val="9"/>
    <w:semiHidden/>
    <w:qFormat/>
    <w:rsid w:val="00284C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284C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284C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284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284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284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284C8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284C8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284C8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284C86"/>
    <w:rPr>
      <w:i/>
      <w:iCs/>
      <w:color w:val="404040" w:themeColor="text1" w:themeTint="BF"/>
    </w:rPr>
  </w:style>
  <w:style w:type="character" w:styleId="IntenseEmphasis">
    <w:name w:val="Intense Emphasis"/>
    <w:basedOn w:val="DefaultParagraphFont"/>
    <w:uiPriority w:val="21"/>
    <w:qFormat/>
    <w:rsid w:val="00284C86"/>
    <w:rPr>
      <w:i/>
      <w:iCs/>
      <w:color w:val="2F5496" w:themeColor="accent1" w:themeShade="BF"/>
    </w:rPr>
  </w:style>
  <w:style w:type="character" w:customStyle="1" w:styleId="IntenseQuoteChar">
    <w:name w:val="Intense Quote Char"/>
    <w:basedOn w:val="DefaultParagraphFont"/>
    <w:link w:val="IntenseQuote"/>
    <w:uiPriority w:val="30"/>
    <w:qFormat/>
    <w:rsid w:val="00284C86"/>
    <w:rPr>
      <w:i/>
      <w:iCs/>
      <w:color w:val="2F5496" w:themeColor="accent1" w:themeShade="BF"/>
    </w:rPr>
  </w:style>
  <w:style w:type="character" w:styleId="IntenseReference">
    <w:name w:val="Intense Reference"/>
    <w:basedOn w:val="DefaultParagraphFont"/>
    <w:uiPriority w:val="32"/>
    <w:qFormat/>
    <w:rsid w:val="00284C86"/>
    <w:rPr>
      <w:b/>
      <w:bCs/>
      <w:smallCaps/>
      <w:color w:val="2F5496" w:themeColor="accent1" w:themeShade="BF"/>
      <w:spacing w:val="5"/>
    </w:rPr>
  </w:style>
  <w:style w:type="character" w:customStyle="1" w:styleId="BodyTextChar">
    <w:name w:val="Body Text Char"/>
    <w:basedOn w:val="DefaultParagraphFont"/>
    <w:link w:val="BodyText"/>
    <w:qFormat/>
    <w:rsid w:val="004D732F"/>
    <w:rPr>
      <w:rFonts w:ascii="Times New Roman" w:eastAsia="NSimSun" w:hAnsi="Times New Roman" w:cs="SBL Hebrew"/>
      <w:lang w:val="en-GB" w:eastAsia="zh-CN" w:bidi="hi-IN"/>
      <w14:ligatures w14:val="none"/>
    </w:rPr>
  </w:style>
  <w:style w:type="character" w:customStyle="1" w:styleId="FootnoteTextChar">
    <w:name w:val="Footnote Text Char"/>
    <w:basedOn w:val="DefaultParagraphFont"/>
    <w:link w:val="FootnoteText"/>
    <w:uiPriority w:val="99"/>
    <w:qFormat/>
    <w:rsid w:val="004D732F"/>
    <w:rPr>
      <w:rFonts w:cs="Times New Roman"/>
      <w:sz w:val="20"/>
      <w:szCs w:val="20"/>
    </w:rPr>
  </w:style>
  <w:style w:type="character" w:customStyle="1" w:styleId="FootnoteCharacters">
    <w:name w:val="Footnote Characters"/>
    <w:uiPriority w:val="99"/>
    <w:semiHidden/>
    <w:unhideWhenUsed/>
    <w:qFormat/>
    <w:rsid w:val="00264359"/>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EndnoteTextChar">
    <w:name w:val="Endnote Text Char"/>
    <w:basedOn w:val="DefaultParagraphFont"/>
    <w:link w:val="EndnoteText"/>
    <w:uiPriority w:val="99"/>
    <w:semiHidden/>
    <w:qFormat/>
    <w:rsid w:val="00DD0295"/>
    <w:rPr>
      <w:sz w:val="20"/>
      <w:szCs w:val="20"/>
    </w:rPr>
  </w:style>
  <w:style w:type="character" w:customStyle="1" w:styleId="EndnoteCharacters">
    <w:name w:val="Endnote Characters"/>
    <w:uiPriority w:val="99"/>
    <w:semiHidden/>
    <w:unhideWhenUsed/>
    <w:qFormat/>
    <w:rsid w:val="00DD0295"/>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Microsoft YaHei" w:hAnsi="Liberation Sans" w:cs="Lucida Sans"/>
      <w:sz w:val="28"/>
      <w:szCs w:val="28"/>
    </w:rPr>
  </w:style>
  <w:style w:type="paragraph" w:styleId="BodyText">
    <w:name w:val="Body Text"/>
    <w:basedOn w:val="Normal"/>
    <w:link w:val="BodyTextChar"/>
    <w:rsid w:val="004D732F"/>
    <w:pPr>
      <w:spacing w:line="276" w:lineRule="auto"/>
    </w:pPr>
    <w:rPr>
      <w:rFonts w:ascii="Times New Roman" w:eastAsia="NSimSun" w:hAnsi="Times New Roman"/>
      <w:lang w:val="en-GB" w:eastAsia="zh-CN" w:bidi="hi-IN"/>
      <w14:ligatures w14:val="none"/>
    </w:rPr>
  </w:style>
  <w:style w:type="paragraph" w:styleId="List">
    <w:name w:val="List"/>
    <w:basedOn w:val="BodyText"/>
    <w:rPr>
      <w:rFonts w:cs="Lucida Sans"/>
    </w:rPr>
  </w:style>
  <w:style w:type="paragraph" w:styleId="Caption">
    <w:name w:val="caption"/>
    <w:basedOn w:val="Normal"/>
    <w:qFormat/>
    <w:pPr>
      <w:suppressLineNumbers/>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284C86"/>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84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C86"/>
    <w:pPr>
      <w:spacing w:before="160"/>
      <w:jc w:val="center"/>
    </w:pPr>
    <w:rPr>
      <w:i/>
      <w:iCs/>
      <w:color w:val="404040" w:themeColor="text1" w:themeTint="BF"/>
    </w:rPr>
  </w:style>
  <w:style w:type="paragraph" w:styleId="ListParagraph">
    <w:name w:val="List Paragraph"/>
    <w:basedOn w:val="Normal"/>
    <w:uiPriority w:val="34"/>
    <w:qFormat/>
    <w:rsid w:val="00284C86"/>
    <w:pPr>
      <w:ind w:left="720"/>
      <w:contextualSpacing/>
    </w:pPr>
  </w:style>
  <w:style w:type="paragraph" w:styleId="IntenseQuote">
    <w:name w:val="Intense Quote"/>
    <w:basedOn w:val="Normal"/>
    <w:next w:val="Normal"/>
    <w:link w:val="IntenseQuoteChar"/>
    <w:uiPriority w:val="30"/>
    <w:qFormat/>
    <w:rsid w:val="00284C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FootnoteText">
    <w:name w:val="footnote text"/>
    <w:basedOn w:val="Normal"/>
    <w:link w:val="FootnoteTextChar"/>
    <w:uiPriority w:val="99"/>
    <w:unhideWhenUsed/>
    <w:rsid w:val="004D732F"/>
    <w:pPr>
      <w:spacing w:line="240" w:lineRule="auto"/>
      <w:ind w:left="346" w:hanging="346"/>
    </w:pPr>
    <w:rPr>
      <w:rFonts w:cs="Times New Roman"/>
      <w:sz w:val="20"/>
      <w:szCs w:val="20"/>
    </w:rPr>
  </w:style>
  <w:style w:type="paragraph" w:styleId="EndnoteText">
    <w:name w:val="endnote text"/>
    <w:basedOn w:val="Normal"/>
    <w:link w:val="EndnoteTextChar"/>
    <w:uiPriority w:val="99"/>
    <w:semiHidden/>
    <w:unhideWhenUsed/>
    <w:rsid w:val="00DD0295"/>
    <w:pPr>
      <w:spacing w:after="0" w:line="240" w:lineRule="auto"/>
    </w:pPr>
    <w:rPr>
      <w:sz w:val="20"/>
      <w:szCs w:val="20"/>
    </w:rPr>
  </w:style>
  <w:style w:type="paragraph" w:styleId="NoSpacing">
    <w:name w:val="No Spacing"/>
    <w:uiPriority w:val="1"/>
    <w:qFormat/>
    <w:rsid w:val="0088207B"/>
    <w:pPr>
      <w:bidi/>
    </w:pPr>
    <w:rPr>
      <w:rFonts w:cs="SBL Hebrew"/>
    </w:rPr>
  </w:style>
  <w:style w:type="table" w:styleId="TableGrid">
    <w:name w:val="Table Grid"/>
    <w:basedOn w:val="TableNormal"/>
    <w:uiPriority w:val="39"/>
    <w:rsid w:val="00794F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719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E7191"/>
    <w:rPr>
      <w:rFonts w:cs="SBL Hebrew"/>
    </w:rPr>
  </w:style>
  <w:style w:type="paragraph" w:styleId="Footer">
    <w:name w:val="footer"/>
    <w:basedOn w:val="Normal"/>
    <w:link w:val="FooterChar"/>
    <w:uiPriority w:val="99"/>
    <w:unhideWhenUsed/>
    <w:rsid w:val="006E719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E7191"/>
    <w:rPr>
      <w:rFonts w:cs="SBL Hebr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CC605-2A88-40E6-BC05-77F4F9399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10670</TotalTime>
  <Pages>9</Pages>
  <Words>380</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dc:description/>
  <cp:lastModifiedBy>Shaul Y Khayyat</cp:lastModifiedBy>
  <cp:revision>381</cp:revision>
  <dcterms:created xsi:type="dcterms:W3CDTF">2025-06-11T10:51:00Z</dcterms:created>
  <dcterms:modified xsi:type="dcterms:W3CDTF">2025-07-04T15:37:00Z</dcterms:modified>
  <dc:language>en-US</dc:language>
</cp:coreProperties>
</file>