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C6EC5" w14:textId="507F135B" w:rsidR="008174FF" w:rsidRPr="008174FF" w:rsidRDefault="008174FF" w:rsidP="00793485">
      <w:pPr>
        <w:pStyle w:val="Heading1"/>
        <w:rPr>
          <w:rtl/>
        </w:rPr>
      </w:pPr>
      <w:r w:rsidRPr="008174FF">
        <w:rPr>
          <w:rFonts w:hint="cs"/>
          <w:rtl/>
        </w:rPr>
        <w:t>פרק א:</w:t>
      </w:r>
    </w:p>
    <w:p w14:paraId="36167B0D" w14:textId="5D6E2F2C" w:rsidR="008174FF" w:rsidRPr="008174FF" w:rsidRDefault="008174FF" w:rsidP="00793485">
      <w:pPr>
        <w:pStyle w:val="Heading2"/>
        <w:rPr>
          <w:rtl/>
        </w:rPr>
      </w:pPr>
      <w:r w:rsidRPr="008174FF">
        <w:rPr>
          <w:rFonts w:hint="cs"/>
          <w:rtl/>
        </w:rPr>
        <w:t>משנה א:</w:t>
      </w:r>
    </w:p>
    <w:p w14:paraId="1D43E822" w14:textId="0DFF59AD" w:rsidR="008174FF" w:rsidRDefault="008174FF" w:rsidP="00793485">
      <w:pPr>
        <w:pStyle w:val="ListParagraph"/>
        <w:rPr>
          <w:rtl/>
        </w:rPr>
      </w:pPr>
      <w:r>
        <w:rPr>
          <w:rFonts w:hint="cs"/>
          <w:rtl/>
        </w:rPr>
        <w:t xml:space="preserve">הקדמה- שגורמים ארבע איסורים- </w:t>
      </w:r>
    </w:p>
    <w:p w14:paraId="56D25C73" w14:textId="16C4F6FC" w:rsidR="008174FF" w:rsidRDefault="008174FF" w:rsidP="00793485">
      <w:pPr>
        <w:pStyle w:val="BodyText"/>
      </w:pPr>
      <w:r>
        <w:rPr>
          <w:rtl/>
        </w:rPr>
        <w:t>עיין שם, שכך פירש רש"י. אבל, ריב"א פי’ (בתוס’ ד"ה רשויות קתני) שמכוון המשנה לומר- יש רשויות, ומזה יוצא שני חיובים שהם ארבע איסורים.</w:t>
      </w:r>
    </w:p>
    <w:p w14:paraId="5F317C4B" w14:textId="19ACD63E" w:rsidR="008174FF" w:rsidRDefault="008174FF" w:rsidP="00793485">
      <w:pPr>
        <w:pStyle w:val="BodyText"/>
        <w:rPr>
          <w:rtl/>
        </w:rPr>
      </w:pPr>
      <w:r>
        <w:rPr>
          <w:rtl/>
        </w:rPr>
        <w:t xml:space="preserve">גם יש להעיר שכתבנו לעיל שרבא משנה את הגי’. ריב"א לא מפרש כן, אלא מפרש שלשון הוצאה יכול להיות נאמר לכוון לרשות. אפשר להיות ששני שיטות של ריב"א הולך לשיטה אחת, שהסיבה שלא פי’ כרש"י בביאור שני רשויות הוא מלשון המשך המשנה. אולי רש"י סובר שרבא משנה את הגירסא, ואז כמו ששינה "הוצאות" ל"רשויות,” כך לא יגרוס ה"שנים" השני. ויל"ד, שאולי היה לו לרשי להזכיר את זה. </w:t>
      </w:r>
    </w:p>
    <w:p w14:paraId="087A4542" w14:textId="5BC251C4" w:rsidR="008174FF" w:rsidRDefault="008174FF" w:rsidP="00793485">
      <w:pPr>
        <w:pStyle w:val="ListParagraph"/>
        <w:rPr>
          <w:rtl/>
        </w:rPr>
      </w:pPr>
      <w:r>
        <w:rPr>
          <w:rFonts w:hint="cs"/>
          <w:rtl/>
        </w:rPr>
        <w:t>שתים- שני ציורים-</w:t>
      </w:r>
    </w:p>
    <w:p w14:paraId="55BF99B1" w14:textId="77777777" w:rsidR="008174FF" w:rsidRDefault="008174FF" w:rsidP="00793485">
      <w:pPr>
        <w:pStyle w:val="BodyText"/>
        <w:rPr>
          <w:rtl/>
        </w:rPr>
      </w:pPr>
      <w:r>
        <w:rPr>
          <w:rFonts w:hint="cs"/>
          <w:rtl/>
        </w:rPr>
        <w:t>לא כל כך פשוט איך לפרש מילים "שנים שהם ארבע." הייתי אומר שהם שני ציורים וארבע ציורים. אבל, קושיית הגמ' (ב:, ג.) לא משמע כן. אז, משמע שסובר שה"שנים" וה"ארבע" קאי על החיובים והאיסורים. ותחשב על זה.</w:t>
      </w:r>
    </w:p>
    <w:p w14:paraId="3277F54A" w14:textId="147DF7D6" w:rsidR="008174FF" w:rsidRDefault="008174FF" w:rsidP="00793485">
      <w:pPr>
        <w:pStyle w:val="ListParagraph"/>
        <w:rPr>
          <w:rtl/>
        </w:rPr>
      </w:pPr>
      <w:r>
        <w:rPr>
          <w:rFonts w:hint="cs"/>
          <w:rtl/>
        </w:rPr>
        <w:t>העני חייב- בתוך שלש טפחים לקרקע-</w:t>
      </w:r>
    </w:p>
    <w:p w14:paraId="3F09F77E" w14:textId="5D9285EC" w:rsidR="008174FF" w:rsidRDefault="008174FF" w:rsidP="00793485">
      <w:pPr>
        <w:pStyle w:val="BodyText"/>
        <w:rPr>
          <w:rtl/>
        </w:rPr>
      </w:pPr>
      <w:r>
        <w:rPr>
          <w:rFonts w:hint="cs"/>
          <w:rtl/>
        </w:rPr>
        <w:t>עיין לקמן, שנבאר שיש אומרים שיש חלקים מן המשנה שלא שייכים אם ידו למטה משלש טפחים. לכאו', צריך לומר שאותם השיטות חולקים על שיטה זו. ויש לדון, שיש לומר שמניח בתוך ידו שהוא פחות משלש טפחים, אבל ידו של המכניס או המוציא אינו בתוך שלש טפחים (אלא מפיל אותו לתוך יד חבירו). ותו"ת.</w:t>
      </w:r>
    </w:p>
    <w:p w14:paraId="5928862D" w14:textId="62D045D8" w:rsidR="00AB3D78" w:rsidRDefault="00AB3D78" w:rsidP="00793485">
      <w:pPr>
        <w:pStyle w:val="ListParagraph"/>
      </w:pPr>
      <w:r>
        <w:rPr>
          <w:rFonts w:hint="cs"/>
          <w:rtl/>
        </w:rPr>
        <w:t>שניהם פטורים- יהיו חייבים-</w:t>
      </w:r>
    </w:p>
    <w:p w14:paraId="6B145B23" w14:textId="42942883" w:rsidR="00AB3D78" w:rsidRDefault="00AB3D78" w:rsidP="00793485">
      <w:pPr>
        <w:pStyle w:val="BodyText"/>
        <w:rPr>
          <w:rtl/>
        </w:rPr>
      </w:pPr>
      <w:r>
        <w:rPr>
          <w:rFonts w:hint="cs"/>
          <w:rtl/>
        </w:rPr>
        <w:t>לא פשוט לי למה יש לגמ' הוה אמינא כזה (ולמה צריכים קרא). הרי, רק רואים קרא שמחייב לאדם שעושה עבירה בפני עצמו. מסתבר לומר שאינו כל כך רע עם עושה אותו עם אחר, שהוא לבדו לא הספיק לעשות הרע. אז, קשה מהיכי תיתי לחייב אותו.</w:t>
      </w:r>
      <w:r w:rsidR="00DC0B16">
        <w:rPr>
          <w:rFonts w:hint="cs"/>
          <w:rtl/>
        </w:rPr>
        <w:t xml:space="preserve"> (אולי ההו"א הוא לחייב לשניהם בשותפות.)</w:t>
      </w:r>
    </w:p>
    <w:p w14:paraId="7C686DEB" w14:textId="07E118F0" w:rsidR="008174FF" w:rsidRDefault="008174FF" w:rsidP="00793485">
      <w:pPr>
        <w:pStyle w:val="ListParagraph"/>
        <w:rPr>
          <w:rtl/>
        </w:rPr>
      </w:pPr>
      <w:r>
        <w:rPr>
          <w:rFonts w:hint="cs"/>
          <w:rtl/>
        </w:rPr>
        <w:t>שניהם פטורים- רק מונים...-</w:t>
      </w:r>
    </w:p>
    <w:p w14:paraId="4D4DC5B5" w14:textId="62E72A40" w:rsidR="008174FF" w:rsidRDefault="008174FF" w:rsidP="00793485">
      <w:pPr>
        <w:pStyle w:val="BodyText"/>
        <w:rPr>
          <w:rtl/>
        </w:rPr>
      </w:pPr>
      <w:r>
        <w:rPr>
          <w:rFonts w:hint="cs"/>
          <w:rtl/>
        </w:rPr>
        <w:t xml:space="preserve">נראה שהסיבה שרק מונים אלו שיכולים לבוא לידי חיוב חטאת הוא כדי לדמות למשנה בשבועות שמונה שנים שהם ארבע, ששם רק מונה חיובים. אז, כאן, אף שמונה מקצת שאינם חיובים, כיון שזה עיקר מקומו (וכיון שאינו עם </w:t>
      </w:r>
      <w:r w:rsidR="009D5804">
        <w:rPr>
          <w:rFonts w:hint="cs"/>
          <w:rtl/>
        </w:rPr>
        <w:t>של צערת באותו משנה, אלא הוא רק נשנה כיון שהוא עיקר מקומו), עדיין רוצה לדמות לאותו משנה, ורק מונה אלו ששייכים בהם חיוב חטאת.</w:t>
      </w:r>
    </w:p>
    <w:p w14:paraId="594CBE1A" w14:textId="2A6087DD" w:rsidR="00793485" w:rsidRDefault="00793485" w:rsidP="00793485">
      <w:pPr>
        <w:pStyle w:val="Heading2"/>
        <w:rPr>
          <w:rtl/>
        </w:rPr>
      </w:pPr>
      <w:r>
        <w:rPr>
          <w:rFonts w:hint="cs"/>
          <w:rtl/>
        </w:rPr>
        <w:t>משנה ב:</w:t>
      </w:r>
    </w:p>
    <w:p w14:paraId="00055D32" w14:textId="0690FB72" w:rsidR="00793485" w:rsidRDefault="00793485" w:rsidP="00793485">
      <w:pPr>
        <w:pStyle w:val="ListParagraph"/>
      </w:pPr>
      <w:r w:rsidRPr="00793485">
        <w:rPr>
          <w:rFonts w:hint="cs"/>
          <w:rtl/>
        </w:rPr>
        <w:t xml:space="preserve">הקדמה- </w:t>
      </w:r>
      <w:r>
        <w:rPr>
          <w:rFonts w:hint="cs"/>
          <w:rtl/>
        </w:rPr>
        <w:t>מפני שהוא דומה-</w:t>
      </w:r>
    </w:p>
    <w:p w14:paraId="030B0A54" w14:textId="0E00B23A" w:rsidR="00793485" w:rsidRDefault="00793485" w:rsidP="00793485">
      <w:pPr>
        <w:rPr>
          <w:rtl/>
        </w:rPr>
      </w:pPr>
      <w:r w:rsidRPr="00793485">
        <w:rPr>
          <w:rFonts w:hint="cs"/>
          <w:rtl/>
        </w:rPr>
        <w:t xml:space="preserve">לא כל </w:t>
      </w:r>
      <w:r>
        <w:rPr>
          <w:rFonts w:hint="cs"/>
          <w:rtl/>
        </w:rPr>
        <w:t>כך פשוט מהו הדמיון. כמובן, יש דמיון במה ששניהם גזרות, אבל יש הרבה והרבה גזרות. לא נאמר גזי' אגב גזי'. נראה שהוא מפני שהוא גזי' שלא יעשה דבר קודם זמן אחד מחמת חשש שימשך.</w:t>
      </w:r>
    </w:p>
    <w:p w14:paraId="4BC21B95" w14:textId="35B60D3F" w:rsidR="003E6133" w:rsidRDefault="003E6133" w:rsidP="003E6133">
      <w:pPr>
        <w:pStyle w:val="ListParagraph"/>
      </w:pPr>
      <w:r>
        <w:rPr>
          <w:rFonts w:hint="cs"/>
          <w:rtl/>
        </w:rPr>
        <w:t>הקדמה- תחילת זמן הקרבת-</w:t>
      </w:r>
    </w:p>
    <w:p w14:paraId="2426EA41" w14:textId="271E12AA" w:rsidR="003E6133" w:rsidRDefault="003E6133" w:rsidP="003E6133">
      <w:pPr>
        <w:rPr>
          <w:rtl/>
        </w:rPr>
      </w:pPr>
      <w:r>
        <w:rPr>
          <w:rFonts w:hint="cs"/>
          <w:rtl/>
        </w:rPr>
        <w:t>זה לא ברור לי כל כך. המשנה בפסחים (נח.) אומר שבדרך כלל שחטו אותו בשמנה שעות ומחצה</w:t>
      </w:r>
      <w:r w:rsidR="00D61B59">
        <w:rPr>
          <w:rFonts w:hint="cs"/>
          <w:rtl/>
        </w:rPr>
        <w:t xml:space="preserve"> והקריבו אותו בתשע שעות ומחצה. אבל, היה כשר לשחוט משש שעות ומחצה. אז, נמצא שתחילת זמנו הוא תחי' זמן שחיטתו</w:t>
      </w:r>
      <w:r w:rsidR="001632EE">
        <w:rPr>
          <w:rFonts w:hint="cs"/>
          <w:rtl/>
        </w:rPr>
        <w:t xml:space="preserve">. אבל, אז, זמן מנחה קטנה (שהוא הזמן המובחר) חלוק ממנו בשני דרכים- הוא הזמן הרגיל, והוא הזמן הרגיל להקרבתו. מוזר, שאז לכאו' יהיה גם שבעה וחצי יותר טוב משש וחצי, שהוא תחילת זמן הקרבתו. ותחשב. צריך לומר, אז, או שקצת יותר טוב, אבל לא די שנזכר בשום מקום או שאחד רק מעדיף את מנחתו עם השני. ותחשב. </w:t>
      </w:r>
    </w:p>
    <w:p w14:paraId="47BED894" w14:textId="4D362585" w:rsidR="001632EE" w:rsidRDefault="001632EE" w:rsidP="003E6133">
      <w:pPr>
        <w:rPr>
          <w:rtl/>
        </w:rPr>
      </w:pPr>
      <w:r>
        <w:rPr>
          <w:rFonts w:hint="cs"/>
          <w:rtl/>
        </w:rPr>
        <w:lastRenderedPageBreak/>
        <w:t>גם יש לומר שכולו תלוי בזמן הכשר הקרבתו, ובאמת, כשר להקריב אותו בשש שעות ומחצה, אלא שצריך לשחוט אותו קודם (שאי אפשר להביא אותו אם לא שחט אותו), וממילא לא יקריב אותו קודם שבע שעות ומחצה. ותחשב.</w:t>
      </w:r>
    </w:p>
    <w:p w14:paraId="314A50E9" w14:textId="63FD31C1" w:rsidR="0069467A" w:rsidRDefault="0069467A" w:rsidP="0069467A">
      <w:pPr>
        <w:pStyle w:val="ListParagraph"/>
      </w:pPr>
      <w:r>
        <w:rPr>
          <w:rFonts w:hint="cs"/>
          <w:rtl/>
        </w:rPr>
        <w:t>מנחה- לגבי שחרית-</w:t>
      </w:r>
    </w:p>
    <w:p w14:paraId="036AACA9" w14:textId="22A948DB" w:rsidR="0069467A" w:rsidRDefault="0069467A" w:rsidP="0069467A">
      <w:pPr>
        <w:rPr>
          <w:rFonts w:ascii="Shofar" w:hAnsi="Shofar" w:cs="Shofar"/>
          <w:rtl/>
        </w:rPr>
      </w:pPr>
      <w:r>
        <w:rPr>
          <w:rFonts w:hint="cs"/>
          <w:rtl/>
        </w:rPr>
        <w:t>עיין בשי"ח ש"י (גלגל ששי) שכתבנו: "</w:t>
      </w:r>
      <w:r>
        <w:rPr>
          <w:rFonts w:ascii="Shofar" w:hAnsi="Shofar"/>
          <w:rtl/>
        </w:rPr>
        <w:t>צריך ביאור מהו הדין של שחרית. אם הוא שווה לדין של מנחה, קשה למה לא אמר אותו. אם אינו שווה לדין של מנחה, קשה למה לא. ויש להעיר שלא מצוי שיהיה שייך בשחרית. אז, אולי לא גזרו בו, או אף אם גזרו בו, לא אמר את דינו כאן.</w:t>
      </w:r>
      <w:r>
        <w:rPr>
          <w:rFonts w:ascii="Shofar" w:hAnsi="Shofar" w:cs="Shofar" w:hint="cs"/>
          <w:rtl/>
        </w:rPr>
        <w:t>"</w:t>
      </w:r>
    </w:p>
    <w:p w14:paraId="535CBF9E" w14:textId="3E01C529" w:rsidR="00140CA8" w:rsidRDefault="00140CA8" w:rsidP="00140CA8">
      <w:pPr>
        <w:pStyle w:val="ListParagraph"/>
      </w:pPr>
      <w:r>
        <w:rPr>
          <w:rFonts w:hint="cs"/>
          <w:rtl/>
        </w:rPr>
        <w:t>לבורסקי- לאיזה מין-</w:t>
      </w:r>
    </w:p>
    <w:p w14:paraId="1542F9D8" w14:textId="6AF26801" w:rsidR="00140CA8" w:rsidRDefault="00140CA8" w:rsidP="00140CA8">
      <w:pPr>
        <w:rPr>
          <w:rtl/>
        </w:rPr>
      </w:pPr>
      <w:r>
        <w:rPr>
          <w:rFonts w:hint="cs"/>
          <w:rtl/>
        </w:rPr>
        <w:t>יש לדון אם החילוק בין השני צדדים הוא רק במין או גם במה עושה שם. לשוןן הגמ' הוא כך: בתחילה, אומר שהוא לבורסקי גדולה. אבל, כשמגיע לחולק, אומר שהוא אפילו לעיין. אז, משמע שיש שני חילוקים ביניהם (ויש לדון למה לא אמר שניהם בציור אחד)- איזה מין בורסקי ומה עושה בו. (איני יודע כל כך מה עושה אם לא רק מעיין. אולי עובד בו.)</w:t>
      </w:r>
    </w:p>
    <w:p w14:paraId="708CD6E3" w14:textId="32815A67" w:rsidR="003F7522" w:rsidRDefault="003F7522" w:rsidP="003F7522">
      <w:pPr>
        <w:pStyle w:val="ListParagraph"/>
      </w:pPr>
      <w:r>
        <w:rPr>
          <w:rFonts w:hint="cs"/>
          <w:rtl/>
        </w:rPr>
        <w:t>לבורסקי- פסידא-</w:t>
      </w:r>
    </w:p>
    <w:p w14:paraId="4F427A3B" w14:textId="23FE5638" w:rsidR="003F7522" w:rsidRDefault="003F7522" w:rsidP="003F7522">
      <w:pPr>
        <w:rPr>
          <w:rtl/>
        </w:rPr>
      </w:pPr>
      <w:r>
        <w:rPr>
          <w:rFonts w:hint="cs"/>
          <w:rtl/>
        </w:rPr>
        <w:t>אם כן, לכאו' הוא רק בבורסקי שלו. ויש לדון, שאולי יטרח להציל חפץ חבירו גם כן. דחוק. ויש לדון מהו הדין לחולק, אם הוא גם רק בשלו או לא, וגם בשל אחרים, יש לחוש שימשך.</w:t>
      </w:r>
    </w:p>
    <w:p w14:paraId="6F3E67BA" w14:textId="50581B76" w:rsidR="00F72B56" w:rsidRDefault="00F72B56" w:rsidP="00F72B56">
      <w:pPr>
        <w:pStyle w:val="ListParagraph"/>
      </w:pPr>
      <w:r>
        <w:rPr>
          <w:rFonts w:hint="cs"/>
          <w:rtl/>
        </w:rPr>
        <w:t>לקריאת שמע- מדאו'-</w:t>
      </w:r>
    </w:p>
    <w:p w14:paraId="5F225D79" w14:textId="1711C04F" w:rsidR="00F72B56" w:rsidRDefault="00F72B56" w:rsidP="00F72B56">
      <w:pPr>
        <w:rPr>
          <w:rtl/>
        </w:rPr>
      </w:pPr>
      <w:r>
        <w:rPr>
          <w:rFonts w:hint="cs"/>
          <w:rtl/>
        </w:rPr>
        <w:t>כן אומר רש"י, אבל לא נראה שמוכרח כן. עיין בברכות (כא.) ובמפרשים שם לסיבות אחרות שנחמיר יותר בקריאת שמע. ותחשב.</w:t>
      </w:r>
    </w:p>
    <w:p w14:paraId="1F0B551E" w14:textId="3B42E1A1" w:rsidR="00C82BB3" w:rsidRDefault="00C82BB3" w:rsidP="00C82BB3">
      <w:pPr>
        <w:pStyle w:val="ListParagraph"/>
      </w:pPr>
      <w:r>
        <w:rPr>
          <w:rFonts w:hint="cs"/>
          <w:rtl/>
        </w:rPr>
        <w:t>לקריאת שמע- תורתו אומנתו-</w:t>
      </w:r>
    </w:p>
    <w:p w14:paraId="0FD6A57F" w14:textId="5DF65F89" w:rsidR="00C82BB3" w:rsidRDefault="00C82BB3" w:rsidP="00C82BB3">
      <w:pPr>
        <w:rPr>
          <w:rtl/>
        </w:rPr>
      </w:pPr>
      <w:r>
        <w:rPr>
          <w:rFonts w:hint="cs"/>
          <w:rtl/>
        </w:rPr>
        <w:t>אולי אפשר לטעון שזה מחלקת בגמ', בין רבי ירמיה לרבי זירא</w:t>
      </w:r>
      <w:r w:rsidR="00365CF3">
        <w:rPr>
          <w:rFonts w:hint="cs"/>
          <w:rtl/>
        </w:rPr>
        <w:t xml:space="preserve"> (י.)</w:t>
      </w:r>
      <w:r>
        <w:rPr>
          <w:rFonts w:hint="cs"/>
          <w:rtl/>
        </w:rPr>
        <w:t>. ועיין שם.</w:t>
      </w:r>
    </w:p>
    <w:p w14:paraId="4FBBFC5C" w14:textId="5562BC79" w:rsidR="00714C60" w:rsidRDefault="00714C60" w:rsidP="00C82BB3">
      <w:pPr>
        <w:rPr>
          <w:rtl/>
        </w:rPr>
      </w:pPr>
      <w:r>
        <w:rPr>
          <w:rFonts w:hint="cs"/>
          <w:rtl/>
        </w:rPr>
        <w:t>משנה ג:</w:t>
      </w:r>
    </w:p>
    <w:p w14:paraId="47E55EFC" w14:textId="1233DEBD" w:rsidR="00714C60" w:rsidRDefault="00714C60" w:rsidP="00714C60">
      <w:pPr>
        <w:pStyle w:val="ListParagraph"/>
      </w:pPr>
      <w:r>
        <w:rPr>
          <w:rFonts w:hint="cs"/>
          <w:rtl/>
        </w:rPr>
        <w:t>שמא ישכח ויצא- לידי איסור-</w:t>
      </w:r>
    </w:p>
    <w:p w14:paraId="50200A4D" w14:textId="1E9329C3" w:rsidR="00714C60" w:rsidRDefault="00714C60" w:rsidP="00714C60">
      <w:pPr>
        <w:rPr>
          <w:rtl/>
        </w:rPr>
      </w:pPr>
      <w:r>
        <w:rPr>
          <w:rFonts w:hint="cs"/>
          <w:rtl/>
        </w:rPr>
        <w:t>יש לדון מהו הצד לגזור גזירה לגזירה, אם הוא כדי שלא יעבור על הגזירה, שהוא איסור דרבנן, או הוא כדי שלא יבוא לאיסור דאו'. היה אפשר לומר שיש נפקא מינא באם נוכל להוכיח דעתו בגזי' לגזי' לגזי'. ויש לדון, שיש לומר שאף אם גוזרים כדי שלא יעבור על איסור דרבנן של גזירה, לא נגזור כדי שלא יעבור על איסור דרבנן של גזי' לגזי', כיון שהוא יותר קל (שהוא איסר שרבנן לא חשו בו כל כך, שאף אם עובר עליו, הרע הוא רק שמא יעבור על איסור דרבנן.)</w:t>
      </w:r>
      <w:r w:rsidR="009777C8">
        <w:rPr>
          <w:rFonts w:hint="cs"/>
          <w:rtl/>
        </w:rPr>
        <w:t xml:space="preserve"> ותחשב.</w:t>
      </w:r>
    </w:p>
    <w:p w14:paraId="0EB5DC09" w14:textId="4400F18A" w:rsidR="00645E5B" w:rsidRDefault="00645E5B" w:rsidP="00645E5B">
      <w:pPr>
        <w:pStyle w:val="ListParagraph"/>
      </w:pPr>
      <w:r>
        <w:rPr>
          <w:rFonts w:hint="cs"/>
          <w:rtl/>
        </w:rPr>
        <w:t>חיט- עיין בהערה-</w:t>
      </w:r>
    </w:p>
    <w:p w14:paraId="733F1113" w14:textId="628C2623" w:rsidR="00645E5B" w:rsidRDefault="00645E5B" w:rsidP="00645E5B">
      <w:pPr>
        <w:rPr>
          <w:rtl/>
        </w:rPr>
      </w:pPr>
      <w:r>
        <w:rPr>
          <w:rFonts w:hint="cs"/>
          <w:rtl/>
        </w:rPr>
        <w:t>משנה רק מזכיר דין של איסור הוצאה קרוב לשבת גבי חייט, ולא גבי אחרים. יש לדון למה לא. אפשר לומר שנוהג גבי אחרים, ורק הזכיר חייט כיון שאורח שלו הוא לצאת עם דבר קרוב לשקיעה. כמו כן, יש לומר שרצה להודיע שאף יציאה שלא כדרכו אסור (וכשאומר יציאת חייט במחטו, סתמותו כולל אומן דרך אומנתו).</w:t>
      </w:r>
      <w:r w:rsidR="00A52F4A">
        <w:rPr>
          <w:rFonts w:hint="cs"/>
          <w:rtl/>
        </w:rPr>
        <w:t xml:space="preserve"> </w:t>
      </w:r>
    </w:p>
    <w:p w14:paraId="359FF04C" w14:textId="01AFCF13" w:rsidR="00B358A4" w:rsidRDefault="00B358A4" w:rsidP="00645E5B">
      <w:pPr>
        <w:rPr>
          <w:rtl/>
        </w:rPr>
      </w:pPr>
      <w:r>
        <w:rPr>
          <w:rFonts w:hint="cs"/>
          <w:rtl/>
        </w:rPr>
        <w:t xml:space="preserve">אבל, לא ראינו שבני אדם נזהרים בזה. אז, נראה לומר שרק בחייט (או שאר אומנים) אסרו רבנן. אם תוחב אותו בבגו, ולא מוציא אותו בידו, אז מובן למה יש לחלק, והוא </w:t>
      </w:r>
      <w:r w:rsidR="00AB4A45">
        <w:rPr>
          <w:rFonts w:hint="cs"/>
          <w:rtl/>
        </w:rPr>
        <w:t>שלובש אותו, ולא מוציא בידו, ואז לא חושב עליו. אף בלי זה, אולי יש לומר שכיון שתמיד מוליך אותו עמו, לא חושב עליו, ויוליך אותו גם בשבת. ותחשב.</w:t>
      </w:r>
    </w:p>
    <w:p w14:paraId="54744CA9" w14:textId="5627509C" w:rsidR="00B358A4" w:rsidRPr="0069467A" w:rsidRDefault="00B358A4" w:rsidP="00645E5B">
      <w:r>
        <w:rPr>
          <w:rFonts w:hint="cs"/>
          <w:rtl/>
        </w:rPr>
        <w:t>וע' בגמ' שמתיר גבי תפילין. צריך לומר שמה שיש גבי אומן שאוסר, יש גם גבי תפילין, ולכן צריך היתר מיוחד. נראה שזה אפשר לכל הצדדים.</w:t>
      </w:r>
    </w:p>
    <w:p w14:paraId="4EA89AA1" w14:textId="36178393" w:rsidR="00A34421" w:rsidRDefault="008A7ACB" w:rsidP="008A7ACB">
      <w:pPr>
        <w:pStyle w:val="ListParagraph"/>
        <w:rPr>
          <w:lang w:val="en-GB"/>
        </w:rPr>
      </w:pPr>
      <w:r>
        <w:rPr>
          <w:rFonts w:hint="cs"/>
          <w:rtl/>
          <w:lang w:val="en-GB"/>
        </w:rPr>
        <w:t>ולא יקרא- דברים אחרים-</w:t>
      </w:r>
    </w:p>
    <w:p w14:paraId="3F1F6F7A" w14:textId="73E2BCC3" w:rsidR="008A7ACB" w:rsidRDefault="008A7ACB" w:rsidP="008A7ACB">
      <w:pPr>
        <w:rPr>
          <w:rtl/>
          <w:lang w:val="en-GB"/>
        </w:rPr>
      </w:pPr>
      <w:r>
        <w:rPr>
          <w:rFonts w:hint="cs"/>
          <w:rtl/>
          <w:lang w:val="en-GB"/>
        </w:rPr>
        <w:lastRenderedPageBreak/>
        <w:t>לכאו', ההוכחה לזה הוא שמשנה מתיר אם לומדים שני ענינים. לכאו', אז יש אחד שלומד ענין בפני עצמו, ואף על פי כן, מותר לו ללמוד.</w:t>
      </w:r>
      <w:r w:rsidR="008970F4">
        <w:rPr>
          <w:rFonts w:hint="cs"/>
          <w:rtl/>
          <w:lang w:val="en-GB"/>
        </w:rPr>
        <w:t xml:space="preserve"> ויש לדון, שיש לומר שרק מותר כיון ששני חברים שלו שומרים זה על זה, וכיון שמבחין בהם שנשמרים, אף הוא ישמור על עצמו. דחוק</w:t>
      </w:r>
      <w:r w:rsidR="006A75C3">
        <w:rPr>
          <w:rFonts w:hint="cs"/>
          <w:rtl/>
          <w:lang w:val="en-GB"/>
        </w:rPr>
        <w:t>. ותחשב.</w:t>
      </w:r>
    </w:p>
    <w:p w14:paraId="5C707CF3" w14:textId="4CFB3EB2" w:rsidR="009876EE" w:rsidRDefault="009876EE" w:rsidP="009876EE">
      <w:pPr>
        <w:pStyle w:val="ListParagraph"/>
        <w:rPr>
          <w:lang w:val="en-GB"/>
        </w:rPr>
      </w:pPr>
      <w:r>
        <w:rPr>
          <w:rFonts w:hint="cs"/>
          <w:rtl/>
          <w:lang w:val="en-GB"/>
        </w:rPr>
        <w:t>באמת אמרו-</w:t>
      </w:r>
    </w:p>
    <w:p w14:paraId="5DA10203" w14:textId="3E7F0827" w:rsidR="009876EE" w:rsidRPr="009876EE" w:rsidRDefault="009876EE" w:rsidP="009876EE">
      <w:pPr>
        <w:rPr>
          <w:lang w:val="en-GB"/>
        </w:rPr>
      </w:pPr>
      <w:r>
        <w:rPr>
          <w:rFonts w:hint="cs"/>
          <w:rtl/>
          <w:lang w:val="en-GB"/>
        </w:rPr>
        <w:t xml:space="preserve">הלכה הוא כאותו דבר- לשון של הגמ' הוא שכל באמת הלכה הוא. לכאו', הפשטות הוא שרצה לומר שהלכה כמותו. אבל, ירושלמי בכלאים אומר שכל באמת אמרו הוא הלכה למשה מסיני. אבל, יש הרבה משניות שא"א לומר ככה, כמו משנתינו כאן, שדן באיסורים דרבנן. כמו כן, אם גמ' בב"מ אומר כן, אין ראיה (עיין בביאור רש"י שם). </w:t>
      </w:r>
      <w:r w:rsidR="007D56AA">
        <w:rPr>
          <w:rFonts w:hint="cs"/>
          <w:rtl/>
          <w:lang w:val="en-GB"/>
        </w:rPr>
        <w:t>אז, צריך לומר שירושלמי רק אומר שכששייך, הלכה למשה מסיני הוא. אולי גמ' שלנו מודה, ורק מוסיף שהל' כמותו או אולי חולק. גם אפשר לומר שכוונת ירו' הוא לומר שהוא כל כך ברור ואי אפשר לחלוק עליו עד שכאילו הל"מ הוא.</w:t>
      </w:r>
    </w:p>
    <w:sectPr w:rsidR="009876EE" w:rsidRPr="009876EE">
      <w:pgSz w:w="11906" w:h="16838"/>
      <w:pgMar w:top="1134" w:right="1134" w:bottom="1134" w:left="1134" w:header="0" w:footer="0" w:gutter="0"/>
      <w:cols w:space="720"/>
      <w:formProt w:val="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BL Hebrew">
    <w:altName w:val="Arial"/>
    <w:charset w:val="00"/>
    <w:family w:val="auto"/>
    <w:pitch w:val="variable"/>
    <w:sig w:usb0="8000086F" w:usb1="4000204A" w:usb2="00000000" w:usb3="00000000" w:csb0="00000021"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hofar">
    <w:panose1 w:val="02000000000000000000"/>
    <w:charset w:val="00"/>
    <w:family w:val="auto"/>
    <w:pitch w:val="variable"/>
    <w:sig w:usb0="8000086F" w:usb1="4000204A"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F2085"/>
    <w:multiLevelType w:val="hybridMultilevel"/>
    <w:tmpl w:val="6890B9A6"/>
    <w:lvl w:ilvl="0" w:tplc="8DAA2624">
      <w:start w:val="4"/>
      <w:numFmt w:val="bullet"/>
      <w:pStyle w:val="ListParagraph"/>
      <w:lvlText w:val="-"/>
      <w:lvlJc w:val="left"/>
      <w:pPr>
        <w:ind w:left="720" w:hanging="360"/>
      </w:pPr>
      <w:rPr>
        <w:rFonts w:ascii="SBL Hebrew" w:eastAsia="NSimSun" w:hAnsi="SBL Hebrew" w:cs="SBL Hebr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4FF"/>
    <w:rsid w:val="00140CA8"/>
    <w:rsid w:val="001632EE"/>
    <w:rsid w:val="00365CF3"/>
    <w:rsid w:val="003E6133"/>
    <w:rsid w:val="003F7522"/>
    <w:rsid w:val="00645E5B"/>
    <w:rsid w:val="0069467A"/>
    <w:rsid w:val="006A75C3"/>
    <w:rsid w:val="00713E7C"/>
    <w:rsid w:val="00714C60"/>
    <w:rsid w:val="00793485"/>
    <w:rsid w:val="007D56AA"/>
    <w:rsid w:val="008174FF"/>
    <w:rsid w:val="008970F4"/>
    <w:rsid w:val="008A7ACB"/>
    <w:rsid w:val="009777C8"/>
    <w:rsid w:val="009876EE"/>
    <w:rsid w:val="009D5804"/>
    <w:rsid w:val="00A34421"/>
    <w:rsid w:val="00A52F4A"/>
    <w:rsid w:val="00AB3D78"/>
    <w:rsid w:val="00AB4A45"/>
    <w:rsid w:val="00B358A4"/>
    <w:rsid w:val="00C82BB3"/>
    <w:rsid w:val="00D61B59"/>
    <w:rsid w:val="00DC0B16"/>
    <w:rsid w:val="00F72B5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72431"/>
  <w15:chartTrackingRefBased/>
  <w15:docId w15:val="{8908EF5D-14E8-4A8A-861A-802DA7C54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485"/>
    <w:pPr>
      <w:bidi/>
    </w:pPr>
    <w:rPr>
      <w:rFonts w:ascii="SBL Hebrew" w:hAnsi="SBL Hebrew" w:cs="SBL Hebrew"/>
      <w:sz w:val="24"/>
      <w:szCs w:val="24"/>
      <w:lang w:bidi="he-IL"/>
    </w:rPr>
  </w:style>
  <w:style w:type="paragraph" w:styleId="Heading1">
    <w:name w:val="heading 1"/>
    <w:basedOn w:val="Normal"/>
    <w:next w:val="Normal"/>
    <w:link w:val="Heading1Char"/>
    <w:uiPriority w:val="9"/>
    <w:qFormat/>
    <w:rsid w:val="008174FF"/>
    <w:pPr>
      <w:keepNext/>
      <w:keepLines/>
      <w:spacing w:before="240" w:after="0"/>
      <w:jc w:val="center"/>
      <w:outlineLvl w:val="0"/>
    </w:pPr>
    <w:rPr>
      <w:rFonts w:eastAsiaTheme="majorEastAsia"/>
      <w:b/>
      <w:bCs/>
    </w:rPr>
  </w:style>
  <w:style w:type="paragraph" w:styleId="Heading2">
    <w:name w:val="heading 2"/>
    <w:basedOn w:val="Normal"/>
    <w:next w:val="Normal"/>
    <w:link w:val="Heading2Char"/>
    <w:uiPriority w:val="9"/>
    <w:unhideWhenUsed/>
    <w:qFormat/>
    <w:rsid w:val="008174FF"/>
    <w:pPr>
      <w:keepNext/>
      <w:keepLines/>
      <w:spacing w:before="40" w:after="0"/>
      <w:outlineLvl w:val="1"/>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174FF"/>
    <w:pPr>
      <w:suppressAutoHyphens/>
      <w:spacing w:after="140" w:line="276" w:lineRule="auto"/>
    </w:pPr>
    <w:rPr>
      <w:rFonts w:ascii="Times New Roman" w:eastAsia="NSimSun" w:hAnsi="Times New Roman"/>
      <w:kern w:val="2"/>
      <w:lang w:val="en-GB" w:eastAsia="zh-CN" w:bidi="hi-IN"/>
    </w:rPr>
  </w:style>
  <w:style w:type="character" w:customStyle="1" w:styleId="BodyTextChar">
    <w:name w:val="Body Text Char"/>
    <w:basedOn w:val="DefaultParagraphFont"/>
    <w:link w:val="BodyText"/>
    <w:rsid w:val="008174FF"/>
    <w:rPr>
      <w:rFonts w:ascii="Times New Roman" w:eastAsia="NSimSun" w:hAnsi="Times New Roman" w:cs="SBL Hebrew"/>
      <w:kern w:val="2"/>
      <w:sz w:val="24"/>
      <w:szCs w:val="24"/>
      <w:lang w:val="en-GB" w:eastAsia="zh-CN" w:bidi="hi-IN"/>
    </w:rPr>
  </w:style>
  <w:style w:type="character" w:customStyle="1" w:styleId="Heading1Char">
    <w:name w:val="Heading 1 Char"/>
    <w:basedOn w:val="DefaultParagraphFont"/>
    <w:link w:val="Heading1"/>
    <w:uiPriority w:val="9"/>
    <w:rsid w:val="008174FF"/>
    <w:rPr>
      <w:rFonts w:ascii="SBL Hebrew" w:eastAsiaTheme="majorEastAsia" w:hAnsi="SBL Hebrew" w:cs="SBL Hebrew"/>
      <w:b/>
      <w:bCs/>
      <w:sz w:val="24"/>
      <w:szCs w:val="24"/>
      <w:lang w:bidi="he-IL"/>
    </w:rPr>
  </w:style>
  <w:style w:type="character" w:customStyle="1" w:styleId="Heading2Char">
    <w:name w:val="Heading 2 Char"/>
    <w:basedOn w:val="DefaultParagraphFont"/>
    <w:link w:val="Heading2"/>
    <w:uiPriority w:val="9"/>
    <w:rsid w:val="008174FF"/>
    <w:rPr>
      <w:rFonts w:ascii="SBL Hebrew" w:eastAsiaTheme="majorEastAsia" w:hAnsi="SBL Hebrew" w:cs="SBL Hebrew"/>
      <w:b/>
      <w:bCs/>
      <w:sz w:val="24"/>
      <w:szCs w:val="24"/>
    </w:rPr>
  </w:style>
  <w:style w:type="paragraph" w:styleId="ListParagraph">
    <w:name w:val="List Paragraph"/>
    <w:basedOn w:val="Normal"/>
    <w:uiPriority w:val="34"/>
    <w:qFormat/>
    <w:rsid w:val="00793485"/>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78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25</cp:revision>
  <dcterms:created xsi:type="dcterms:W3CDTF">2024-05-08T23:58:00Z</dcterms:created>
  <dcterms:modified xsi:type="dcterms:W3CDTF">2024-05-12T23:53:00Z</dcterms:modified>
</cp:coreProperties>
</file>