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A794" w14:textId="77777777" w:rsidR="0009007A" w:rsidRDefault="00000000">
      <w:pPr>
        <w:pStyle w:val="Heading1"/>
      </w:pPr>
      <w:r>
        <w:rPr>
          <w:rtl/>
        </w:rPr>
        <w:t>פרק ראשון</w:t>
      </w:r>
      <w:r>
        <w:rPr>
          <w:rStyle w:val="FootnoteReference"/>
          <w:rtl/>
        </w:rPr>
        <w:footnoteReference w:id="1"/>
      </w:r>
    </w:p>
    <w:p w14:paraId="30F99BE7" w14:textId="77777777" w:rsidR="0009007A" w:rsidRDefault="00000000">
      <w:pPr>
        <w:pStyle w:val="Heading2"/>
        <w:rPr>
          <w:rFonts w:ascii="Times New Roman" w:hAnsi="Times New Roman"/>
          <w:lang w:bidi="he-IL"/>
        </w:rPr>
      </w:pPr>
      <w:r>
        <w:rPr>
          <w:rFonts w:ascii="Times New Roman" w:hAnsi="Times New Roman"/>
          <w:rtl/>
          <w:lang w:bidi="he-IL"/>
        </w:rPr>
        <w:t>משנה</w:t>
      </w:r>
      <w:r>
        <w:rPr>
          <w:rtl/>
          <w:lang w:bidi="he-IL"/>
        </w:rPr>
        <w:t xml:space="preserve"> </w:t>
      </w:r>
      <w:r>
        <w:rPr>
          <w:rFonts w:ascii="Times New Roman" w:hAnsi="Times New Roman"/>
          <w:rtl/>
          <w:lang w:bidi="he-IL"/>
        </w:rPr>
        <w:t>א:</w:t>
      </w:r>
      <w:r>
        <w:rPr>
          <w:rStyle w:val="FootnoteReference"/>
          <w:rFonts w:ascii="Times New Roman" w:hAnsi="Times New Roman"/>
          <w:rtl/>
          <w:lang w:bidi="he-IL"/>
        </w:rPr>
        <w:footnoteReference w:id="2"/>
      </w:r>
    </w:p>
    <w:p w14:paraId="72DEBD2A" w14:textId="77777777" w:rsidR="0009007A" w:rsidRDefault="00000000">
      <w:pPr>
        <w:rPr>
          <w:lang w:bidi="he-IL"/>
        </w:rPr>
      </w:pPr>
      <w:r>
        <w:rPr>
          <w:rtl/>
          <w:lang w:bidi="he-IL"/>
        </w:rPr>
        <w:t>(ב.- ז:)</w:t>
      </w:r>
    </w:p>
    <w:p w14:paraId="660BF9B4" w14:textId="77777777" w:rsidR="0009007A" w:rsidRDefault="00000000">
      <w:pPr>
        <w:rPr>
          <w:rFonts w:cs="Mangal"/>
        </w:rPr>
      </w:pPr>
      <w:r>
        <w:rPr>
          <w:rStyle w:val="FootnoteReference"/>
          <w:rtl/>
        </w:rPr>
        <w:footnoteReference w:id="3"/>
      </w:r>
      <w:r>
        <w:rPr>
          <w:rtl/>
        </w:rPr>
        <w:t>בֵּיצָה שֶׁנּוֹלְדָה בְיוֹם טוֹב, בֵּית שַׁמַּאי אוֹמְרִים, תֵּאָכֵל. וּבֵית הִלֵּל אוֹמְרִים, לֹא תֵאָכֵל</w:t>
      </w:r>
      <w:r>
        <w:rPr>
          <w:rStyle w:val="FootnoteReference"/>
          <w:rtl/>
        </w:rPr>
        <w:footnoteReference w:id="4"/>
      </w:r>
      <w:r>
        <w:rPr>
          <w:rStyle w:val="FootnoteReference"/>
          <w:rtl/>
        </w:rPr>
        <w:footnoteReference w:id="5"/>
      </w:r>
      <w:r>
        <w:rPr>
          <w:rtl/>
        </w:rPr>
        <w:t xml:space="preserve">. בֵּית שַׁמַּאי אוֹמְרִים, </w:t>
      </w:r>
      <w:r>
        <w:rPr>
          <w:rStyle w:val="FootnoteReference"/>
          <w:rtl/>
        </w:rPr>
        <w:footnoteReference w:id="6"/>
      </w:r>
      <w:r>
        <w:rPr>
          <w:rtl/>
        </w:rPr>
        <w:t>שְׂאֹר בְּכַזַּיִת וְחָמֵץ בְּכַכּוֹתֶבֶת</w:t>
      </w:r>
      <w:r>
        <w:rPr>
          <w:rStyle w:val="FootnoteReference"/>
          <w:rtl/>
        </w:rPr>
        <w:footnoteReference w:id="7"/>
      </w:r>
      <w:r>
        <w:rPr>
          <w:rtl/>
        </w:rPr>
        <w:t>. וּבֵית הִלֵּל אוֹמְרִים, זֶה וָזֶה בְּכַזָּיִת</w:t>
      </w:r>
      <w:r>
        <w:rPr>
          <w:rStyle w:val="FootnoteReference"/>
          <w:rtl/>
        </w:rPr>
        <w:footnoteReference w:id="8"/>
      </w:r>
      <w:r>
        <w:rPr>
          <w:rtl/>
        </w:rPr>
        <w:t>:</w:t>
      </w:r>
      <w:r>
        <w:rPr>
          <w:rStyle w:val="FootnoteReference"/>
          <w:rtl/>
        </w:rPr>
        <w:footnoteReference w:id="9"/>
      </w:r>
      <w:r>
        <w:rPr>
          <w:rtl/>
        </w:rPr>
        <w:t xml:space="preserve"> </w:t>
      </w:r>
    </w:p>
    <w:p w14:paraId="74775B8F" w14:textId="77777777" w:rsidR="0009007A" w:rsidRDefault="00000000">
      <w:pPr>
        <w:pStyle w:val="Heading2"/>
        <w:rPr>
          <w:lang w:bidi="he-IL"/>
        </w:rPr>
      </w:pPr>
      <w:r>
        <w:rPr>
          <w:rFonts w:ascii="Times New Roman" w:hAnsi="Times New Roman"/>
          <w:rtl/>
          <w:lang w:bidi="he-IL"/>
        </w:rPr>
        <w:lastRenderedPageBreak/>
        <w:t>משנה</w:t>
      </w:r>
      <w:r>
        <w:rPr>
          <w:rtl/>
          <w:lang w:bidi="he-IL"/>
        </w:rPr>
        <w:t xml:space="preserve"> </w:t>
      </w:r>
      <w:r>
        <w:rPr>
          <w:rFonts w:ascii="Times New Roman" w:hAnsi="Times New Roman"/>
          <w:rtl/>
          <w:lang w:bidi="he-IL"/>
        </w:rPr>
        <w:t>ב</w:t>
      </w:r>
      <w:r>
        <w:rPr>
          <w:rtl/>
          <w:lang w:bidi="he-IL"/>
        </w:rPr>
        <w:t>:</w:t>
      </w:r>
      <w:r>
        <w:rPr>
          <w:rStyle w:val="FootnoteReference"/>
          <w:rtl/>
          <w:lang w:bidi="he-IL"/>
        </w:rPr>
        <w:footnoteReference w:id="10"/>
      </w:r>
    </w:p>
    <w:p w14:paraId="22006FBE" w14:textId="77777777" w:rsidR="0009007A" w:rsidRDefault="00000000">
      <w:pPr>
        <w:rPr>
          <w:lang w:bidi="he-IL"/>
        </w:rPr>
      </w:pPr>
      <w:r>
        <w:rPr>
          <w:rtl/>
          <w:lang w:bidi="he-IL"/>
        </w:rPr>
        <w:t>(ז:- ט.)</w:t>
      </w:r>
    </w:p>
    <w:p w14:paraId="05CB89FE" w14:textId="77777777" w:rsidR="0009007A" w:rsidRDefault="00000000">
      <w:pPr>
        <w:rPr>
          <w:lang w:bidi="he-IL"/>
        </w:rPr>
      </w:pPr>
      <w:r>
        <w:rPr>
          <w:rStyle w:val="FootnoteReference"/>
          <w:rtl/>
          <w:lang w:bidi="he-IL"/>
        </w:rPr>
        <w:footnoteReference w:id="11"/>
      </w:r>
      <w:r>
        <w:rPr>
          <w:rtl/>
          <w:lang w:bidi="he-IL"/>
        </w:rPr>
        <w:t>הַשּׁוֹחֵט</w:t>
      </w:r>
      <w:r>
        <w:rPr>
          <w:rStyle w:val="FootnoteReference"/>
          <w:rtl/>
          <w:lang w:bidi="he-IL"/>
        </w:rPr>
        <w:footnoteReference w:id="12"/>
      </w:r>
      <w:r>
        <w:rPr>
          <w:rtl/>
          <w:lang w:bidi="he-IL"/>
        </w:rPr>
        <w:t xml:space="preserve"> חַיָּה וָעוֹף בְּיוֹם טוֹב, בֵּית שַׁמַּאי אוֹמְרִים, יַחְפֹּר בְּדֶקֶר וִיכַסֶּה</w:t>
      </w:r>
      <w:r>
        <w:rPr>
          <w:rStyle w:val="FootnoteReference"/>
          <w:rtl/>
          <w:lang w:bidi="he-IL"/>
        </w:rPr>
        <w:footnoteReference w:id="13"/>
      </w:r>
      <w:r>
        <w:rPr>
          <w:rStyle w:val="FootnoteReference"/>
          <w:rtl/>
          <w:lang w:bidi="he-IL"/>
        </w:rPr>
        <w:footnoteReference w:id="14"/>
      </w:r>
      <w:r>
        <w:rPr>
          <w:rtl/>
          <w:lang w:bidi="he-IL"/>
        </w:rPr>
        <w:t>, וּבֵית הִלֵּל אוֹמְרִים, לֹא יִשְׁחֹט, אֶלָּא אִם כֵּן הָיָה לוֹ עָפָר מוּכָן מִבְּעוֹד יוֹם</w:t>
      </w:r>
      <w:r>
        <w:rPr>
          <w:rStyle w:val="FootnoteReference"/>
          <w:rtl/>
          <w:lang w:bidi="he-IL"/>
        </w:rPr>
        <w:footnoteReference w:id="15"/>
      </w:r>
      <w:r>
        <w:rPr>
          <w:rtl/>
          <w:lang w:bidi="he-IL"/>
        </w:rPr>
        <w:t>.</w:t>
      </w:r>
      <w:r>
        <w:rPr>
          <w:rStyle w:val="FootnoteReference"/>
          <w:rtl/>
          <w:lang w:bidi="he-IL"/>
        </w:rPr>
        <w:footnoteReference w:id="16"/>
      </w:r>
      <w:r>
        <w:rPr>
          <w:rtl/>
          <w:lang w:bidi="he-IL"/>
        </w:rPr>
        <w:t xml:space="preserve"> וּמוֹדִים, שֶׁאִם שָׁחַט, שֶׁיַּחְפֹּר בְּדֶקֶר וִיכַסֶּה</w:t>
      </w:r>
      <w:r>
        <w:rPr>
          <w:rStyle w:val="FootnoteReference"/>
          <w:rtl/>
          <w:lang w:bidi="he-IL"/>
        </w:rPr>
        <w:footnoteReference w:id="17"/>
      </w:r>
      <w:r>
        <w:rPr>
          <w:rStyle w:val="FootnoteReference"/>
          <w:rtl/>
          <w:lang w:bidi="he-IL"/>
        </w:rPr>
        <w:footnoteReference w:id="18"/>
      </w:r>
      <w:r>
        <w:rPr>
          <w:rtl/>
          <w:lang w:bidi="he-IL"/>
        </w:rPr>
        <w:t>, שֶׁאֵפֶר</w:t>
      </w:r>
      <w:r>
        <w:rPr>
          <w:rStyle w:val="FootnoteReference"/>
          <w:rtl/>
          <w:lang w:bidi="he-IL"/>
        </w:rPr>
        <w:footnoteReference w:id="19"/>
      </w:r>
      <w:r>
        <w:rPr>
          <w:rtl/>
          <w:lang w:bidi="he-IL"/>
        </w:rPr>
        <w:t xml:space="preserve"> כִּירָה מוּכָן הוּא</w:t>
      </w:r>
      <w:r>
        <w:rPr>
          <w:rStyle w:val="FootnoteReference"/>
          <w:rtl/>
          <w:lang w:bidi="he-IL"/>
        </w:rPr>
        <w:footnoteReference w:id="20"/>
      </w:r>
      <w:r>
        <w:rPr>
          <w:rStyle w:val="FootnoteReference"/>
          <w:rtl/>
          <w:lang w:bidi="he-IL"/>
        </w:rPr>
        <w:footnoteReference w:id="21"/>
      </w:r>
      <w:r>
        <w:rPr>
          <w:rStyle w:val="FootnoteReference"/>
          <w:rtl/>
          <w:lang w:bidi="he-IL"/>
        </w:rPr>
        <w:footnoteReference w:id="22"/>
      </w:r>
      <w:r>
        <w:rPr>
          <w:rStyle w:val="FootnoteReference"/>
          <w:rtl/>
          <w:lang w:bidi="he-IL"/>
        </w:rPr>
        <w:footnoteReference w:id="23"/>
      </w:r>
      <w:r>
        <w:rPr>
          <w:rtl/>
          <w:lang w:bidi="he-IL"/>
        </w:rPr>
        <w:t>:</w:t>
      </w:r>
      <w:r>
        <w:rPr>
          <w:rStyle w:val="FootnoteReference"/>
          <w:rtl/>
          <w:lang w:bidi="he-IL"/>
        </w:rPr>
        <w:footnoteReference w:id="24"/>
      </w:r>
    </w:p>
    <w:p w14:paraId="6C799110" w14:textId="77777777" w:rsidR="0009007A" w:rsidRDefault="00000000">
      <w:pPr>
        <w:pStyle w:val="Heading2"/>
        <w:rPr>
          <w:lang w:bidi="he-IL"/>
        </w:rPr>
      </w:pPr>
      <w:r>
        <w:rPr>
          <w:rFonts w:ascii="Times New Roman" w:hAnsi="Times New Roman"/>
          <w:rtl/>
          <w:lang w:bidi="he-IL"/>
        </w:rPr>
        <w:lastRenderedPageBreak/>
        <w:t>משנה</w:t>
      </w:r>
      <w:r>
        <w:rPr>
          <w:rtl/>
          <w:lang w:bidi="he-IL"/>
        </w:rPr>
        <w:t xml:space="preserve"> </w:t>
      </w:r>
      <w:r>
        <w:rPr>
          <w:rFonts w:ascii="Times New Roman" w:hAnsi="Times New Roman"/>
          <w:rtl/>
          <w:lang w:bidi="he-IL"/>
        </w:rPr>
        <w:t>ג</w:t>
      </w:r>
      <w:r>
        <w:rPr>
          <w:rtl/>
          <w:lang w:bidi="he-IL"/>
        </w:rPr>
        <w:t>:</w:t>
      </w:r>
      <w:r>
        <w:rPr>
          <w:rStyle w:val="FootnoteReference"/>
          <w:rtl/>
          <w:lang w:bidi="he-IL"/>
        </w:rPr>
        <w:footnoteReference w:id="25"/>
      </w:r>
    </w:p>
    <w:p w14:paraId="0EBF1112" w14:textId="77777777" w:rsidR="0009007A" w:rsidRDefault="00000000">
      <w:pPr>
        <w:rPr>
          <w:lang w:bidi="he-IL"/>
        </w:rPr>
      </w:pPr>
      <w:r>
        <w:rPr>
          <w:rtl/>
          <w:lang w:bidi="he-IL"/>
        </w:rPr>
        <w:t>(ט.- י:)</w:t>
      </w:r>
    </w:p>
    <w:p w14:paraId="52FE9590" w14:textId="77777777" w:rsidR="0009007A" w:rsidRDefault="00000000">
      <w:pPr>
        <w:rPr>
          <w:lang w:bidi="he-IL"/>
        </w:rPr>
      </w:pPr>
      <w:r>
        <w:rPr>
          <w:rStyle w:val="FootnoteReference"/>
          <w:rtl/>
          <w:lang w:bidi="he-IL"/>
        </w:rPr>
        <w:footnoteReference w:id="26"/>
      </w:r>
      <w:r>
        <w:rPr>
          <w:rtl/>
          <w:lang w:bidi="he-IL"/>
        </w:rPr>
        <w:t>בֵּית שַׁמַּאי אוֹמְרִים, אֵין מוֹלִיכִין אֶת הַסֻּלָּם מִשּׁוֹבָךְ לְשׁוֹבָךְ</w:t>
      </w:r>
      <w:r>
        <w:rPr>
          <w:rStyle w:val="FootnoteReference"/>
          <w:rtl/>
          <w:lang w:bidi="he-IL"/>
        </w:rPr>
        <w:footnoteReference w:id="27"/>
      </w:r>
      <w:r>
        <w:rPr>
          <w:rStyle w:val="FootnoteReference"/>
          <w:rtl/>
          <w:lang w:bidi="he-IL"/>
        </w:rPr>
        <w:footnoteReference w:id="28"/>
      </w:r>
      <w:r>
        <w:rPr>
          <w:rtl/>
          <w:lang w:bidi="he-IL"/>
        </w:rPr>
        <w:t>, אֲבָל מַטֵּהוּ מֵחַלּוֹן לְחַלּוֹן</w:t>
      </w:r>
      <w:r>
        <w:rPr>
          <w:rStyle w:val="FootnoteReference"/>
          <w:rtl/>
          <w:lang w:bidi="he-IL"/>
        </w:rPr>
        <w:footnoteReference w:id="29"/>
      </w:r>
      <w:r>
        <w:rPr>
          <w:rtl/>
          <w:lang w:bidi="he-IL"/>
        </w:rPr>
        <w:t>. וּבֵית הִלֵּל מַתִּירִין</w:t>
      </w:r>
      <w:r>
        <w:rPr>
          <w:rStyle w:val="FootnoteReference"/>
          <w:rtl/>
          <w:lang w:bidi="he-IL"/>
        </w:rPr>
        <w:footnoteReference w:id="30"/>
      </w:r>
      <w:r>
        <w:rPr>
          <w:rtl/>
          <w:lang w:bidi="he-IL"/>
        </w:rPr>
        <w:t>.</w:t>
      </w:r>
      <w:r>
        <w:rPr>
          <w:rStyle w:val="FootnoteReference"/>
          <w:rtl/>
          <w:lang w:bidi="he-IL"/>
        </w:rPr>
        <w:footnoteReference w:id="31"/>
      </w:r>
      <w:r>
        <w:rPr>
          <w:rStyle w:val="FootnoteReference"/>
          <w:rtl/>
          <w:lang w:bidi="he-IL"/>
        </w:rPr>
        <w:footnoteReference w:id="32"/>
      </w:r>
      <w:r>
        <w:rPr>
          <w:rtl/>
          <w:lang w:bidi="he-IL"/>
        </w:rPr>
        <w:t xml:space="preserve"> בֵּית שַׁמַּאי אוֹמְרִים, לֹא יִטֹּל</w:t>
      </w:r>
      <w:r>
        <w:rPr>
          <w:rStyle w:val="FootnoteReference"/>
          <w:rtl/>
          <w:lang w:bidi="he-IL"/>
        </w:rPr>
        <w:footnoteReference w:id="33"/>
      </w:r>
      <w:r>
        <w:rPr>
          <w:rtl/>
          <w:lang w:bidi="he-IL"/>
        </w:rPr>
        <w:t>, אֶלָּא אִם כֵּן</w:t>
      </w:r>
      <w:r>
        <w:rPr>
          <w:rStyle w:val="FootnoteReference"/>
          <w:rtl/>
          <w:lang w:bidi="he-IL"/>
        </w:rPr>
        <w:footnoteReference w:id="34"/>
      </w:r>
      <w:r>
        <w:rPr>
          <w:rtl/>
          <w:lang w:bidi="he-IL"/>
        </w:rPr>
        <w:t xml:space="preserve"> נִעֲנֵעַ מִבְּעוֹד יוֹם</w:t>
      </w:r>
      <w:r>
        <w:rPr>
          <w:rStyle w:val="FootnoteReference"/>
          <w:rtl/>
          <w:lang w:bidi="he-IL"/>
        </w:rPr>
        <w:footnoteReference w:id="35"/>
      </w:r>
      <w:r>
        <w:rPr>
          <w:rtl/>
          <w:lang w:bidi="he-IL"/>
        </w:rPr>
        <w:t>. וּבֵית הִלֵּל אוֹמְרִים, עוֹמֵד וְאוֹמֵר</w:t>
      </w:r>
      <w:r>
        <w:rPr>
          <w:rStyle w:val="FootnoteReference"/>
          <w:rtl/>
          <w:lang w:bidi="he-IL"/>
        </w:rPr>
        <w:footnoteReference w:id="36"/>
      </w:r>
      <w:r>
        <w:rPr>
          <w:rtl/>
          <w:lang w:bidi="he-IL"/>
        </w:rPr>
        <w:t xml:space="preserve"> זֶה וָזֶה אֲנִי נוֹטֵל</w:t>
      </w:r>
      <w:r>
        <w:rPr>
          <w:rStyle w:val="FootnoteReference"/>
          <w:rtl/>
          <w:lang w:bidi="he-IL"/>
        </w:rPr>
        <w:footnoteReference w:id="37"/>
      </w:r>
      <w:r>
        <w:rPr>
          <w:rtl/>
          <w:lang w:bidi="he-IL"/>
        </w:rPr>
        <w:t>:</w:t>
      </w:r>
      <w:r>
        <w:rPr>
          <w:rStyle w:val="FootnoteReference"/>
          <w:rtl/>
          <w:lang w:bidi="he-IL"/>
        </w:rPr>
        <w:footnoteReference w:id="38"/>
      </w:r>
    </w:p>
    <w:p w14:paraId="0BBC8DBB" w14:textId="77777777" w:rsidR="0009007A" w:rsidRDefault="00000000">
      <w:pPr>
        <w:pStyle w:val="Heading2"/>
        <w:rPr>
          <w:lang w:bidi="he-IL"/>
        </w:rPr>
      </w:pPr>
      <w:r>
        <w:rPr>
          <w:rFonts w:ascii="Times New Roman" w:hAnsi="Times New Roman"/>
          <w:rtl/>
          <w:lang w:bidi="he-IL"/>
        </w:rPr>
        <w:lastRenderedPageBreak/>
        <w:t>משנה</w:t>
      </w:r>
      <w:r>
        <w:rPr>
          <w:rtl/>
          <w:lang w:bidi="he-IL"/>
        </w:rPr>
        <w:t xml:space="preserve"> </w:t>
      </w:r>
      <w:r>
        <w:rPr>
          <w:rFonts w:ascii="Times New Roman" w:hAnsi="Times New Roman"/>
          <w:rtl/>
          <w:lang w:bidi="he-IL"/>
        </w:rPr>
        <w:t>ד</w:t>
      </w:r>
      <w:r>
        <w:rPr>
          <w:rtl/>
          <w:lang w:bidi="he-IL"/>
        </w:rPr>
        <w:t>:</w:t>
      </w:r>
      <w:r>
        <w:rPr>
          <w:rStyle w:val="FootnoteReference"/>
          <w:rtl/>
          <w:lang w:bidi="he-IL"/>
        </w:rPr>
        <w:footnoteReference w:id="39"/>
      </w:r>
    </w:p>
    <w:p w14:paraId="5B95FF4C" w14:textId="77777777" w:rsidR="0009007A" w:rsidRDefault="00000000">
      <w:pPr>
        <w:rPr>
          <w:lang w:bidi="he-IL"/>
        </w:rPr>
      </w:pPr>
      <w:r>
        <w:rPr>
          <w:rtl/>
          <w:lang w:bidi="he-IL"/>
        </w:rPr>
        <w:t>(י:- יא.)</w:t>
      </w:r>
    </w:p>
    <w:p w14:paraId="246FE193" w14:textId="77777777" w:rsidR="0009007A" w:rsidRDefault="00000000">
      <w:pPr>
        <w:rPr>
          <w:lang w:bidi="he-IL"/>
        </w:rPr>
      </w:pPr>
      <w:r>
        <w:rPr>
          <w:rStyle w:val="FootnoteReference"/>
          <w:rtl/>
          <w:lang w:bidi="he-IL"/>
        </w:rPr>
        <w:footnoteReference w:id="40"/>
      </w:r>
      <w:r>
        <w:rPr>
          <w:rtl/>
          <w:lang w:bidi="he-IL"/>
        </w:rPr>
        <w:t>זִמֵּן שְׁחוֹרִים וּמָצָא לְבָנִים, לְבָנִים וּמָצָא שְׁחוֹרִים</w:t>
      </w:r>
      <w:r>
        <w:rPr>
          <w:rStyle w:val="FootnoteReference"/>
          <w:rtl/>
          <w:lang w:bidi="he-IL"/>
        </w:rPr>
        <w:footnoteReference w:id="41"/>
      </w:r>
      <w:r>
        <w:rPr>
          <w:rStyle w:val="FootnoteReference"/>
          <w:rtl/>
          <w:lang w:bidi="he-IL"/>
        </w:rPr>
        <w:footnoteReference w:id="42"/>
      </w:r>
      <w:r>
        <w:rPr>
          <w:rtl/>
          <w:lang w:bidi="he-IL"/>
        </w:rPr>
        <w:t>, שְׁנַיִם וּמָצָא שְׁלֹשָׁה</w:t>
      </w:r>
      <w:r>
        <w:rPr>
          <w:rStyle w:val="FootnoteReference"/>
          <w:rtl/>
          <w:lang w:bidi="he-IL"/>
        </w:rPr>
        <w:footnoteReference w:id="43"/>
      </w:r>
      <w:r>
        <w:rPr>
          <w:rtl/>
          <w:lang w:bidi="he-IL"/>
        </w:rPr>
        <w:t>, אֲסוּרִים</w:t>
      </w:r>
      <w:r>
        <w:rPr>
          <w:rStyle w:val="FootnoteReference"/>
          <w:rtl/>
          <w:lang w:bidi="he-IL"/>
        </w:rPr>
        <w:footnoteReference w:id="44"/>
      </w:r>
      <w:r>
        <w:rPr>
          <w:rtl/>
          <w:lang w:bidi="he-IL"/>
        </w:rPr>
        <w:t>. שְׁלֹשָׁה וּמָצָא שְׁנַיִם, מֻתָּרִים</w:t>
      </w:r>
      <w:r>
        <w:rPr>
          <w:rStyle w:val="FootnoteReference"/>
          <w:rtl/>
          <w:lang w:bidi="he-IL"/>
        </w:rPr>
        <w:footnoteReference w:id="45"/>
      </w:r>
      <w:r>
        <w:rPr>
          <w:rtl/>
          <w:lang w:bidi="he-IL"/>
        </w:rPr>
        <w:t>. בְּתוֹךְ הַקֵּן וּמָצָא לִפְנֵי הַקֵּן</w:t>
      </w:r>
      <w:r>
        <w:rPr>
          <w:rStyle w:val="FootnoteReference"/>
          <w:rtl/>
          <w:lang w:bidi="he-IL"/>
        </w:rPr>
        <w:footnoteReference w:id="46"/>
      </w:r>
      <w:r>
        <w:rPr>
          <w:rtl/>
          <w:lang w:bidi="he-IL"/>
        </w:rPr>
        <w:t>, אֲסוּרִים</w:t>
      </w:r>
      <w:r>
        <w:rPr>
          <w:rStyle w:val="FootnoteReference"/>
          <w:rtl/>
          <w:lang w:bidi="he-IL"/>
        </w:rPr>
        <w:footnoteReference w:id="47"/>
      </w:r>
      <w:r>
        <w:rPr>
          <w:rtl/>
          <w:lang w:bidi="he-IL"/>
        </w:rPr>
        <w:t>. וְאִם אֵין שָׁם אֶלָּא הֵם, הֲרֵי אֵלּוּ מֻתָּרִים</w:t>
      </w:r>
      <w:r>
        <w:rPr>
          <w:rStyle w:val="FootnoteReference"/>
          <w:rtl/>
          <w:lang w:bidi="he-IL"/>
        </w:rPr>
        <w:footnoteReference w:id="48"/>
      </w:r>
      <w:r>
        <w:rPr>
          <w:rtl/>
          <w:lang w:bidi="he-IL"/>
        </w:rPr>
        <w:t>:</w:t>
      </w:r>
      <w:r>
        <w:rPr>
          <w:rStyle w:val="FootnoteReference"/>
          <w:rtl/>
          <w:lang w:bidi="he-IL"/>
        </w:rPr>
        <w:footnoteReference w:id="49"/>
      </w:r>
    </w:p>
    <w:p w14:paraId="732D8B82" w14:textId="77777777" w:rsidR="0009007A" w:rsidRDefault="00000000">
      <w:pPr>
        <w:pStyle w:val="Heading2"/>
        <w:rPr>
          <w:lang w:bidi="he-IL"/>
        </w:rPr>
      </w:pPr>
      <w:r>
        <w:rPr>
          <w:rFonts w:ascii="Times New Roman" w:hAnsi="Times New Roman"/>
          <w:rtl/>
          <w:lang w:bidi="he-IL"/>
        </w:rPr>
        <w:t>משנה</w:t>
      </w:r>
      <w:r>
        <w:rPr>
          <w:rtl/>
          <w:lang w:bidi="he-IL"/>
        </w:rPr>
        <w:t xml:space="preserve"> </w:t>
      </w:r>
      <w:r>
        <w:rPr>
          <w:rFonts w:ascii="Times New Roman" w:hAnsi="Times New Roman"/>
          <w:rtl/>
          <w:lang w:bidi="he-IL"/>
        </w:rPr>
        <w:t>ה</w:t>
      </w:r>
      <w:r>
        <w:rPr>
          <w:rtl/>
          <w:lang w:bidi="he-IL"/>
        </w:rPr>
        <w:t>:</w:t>
      </w:r>
      <w:r>
        <w:rPr>
          <w:rStyle w:val="FootnoteReference"/>
          <w:rtl/>
          <w:lang w:bidi="he-IL"/>
        </w:rPr>
        <w:footnoteReference w:id="50"/>
      </w:r>
    </w:p>
    <w:p w14:paraId="354DE287" w14:textId="77777777" w:rsidR="0009007A" w:rsidRDefault="00000000">
      <w:pPr>
        <w:rPr>
          <w:lang w:bidi="he-IL"/>
        </w:rPr>
      </w:pPr>
      <w:r>
        <w:rPr>
          <w:rtl/>
          <w:lang w:bidi="he-IL"/>
        </w:rPr>
        <w:t>(יא.- יב:)</w:t>
      </w:r>
    </w:p>
    <w:p w14:paraId="07F828E4" w14:textId="77777777" w:rsidR="0009007A" w:rsidRDefault="00000000">
      <w:pPr>
        <w:rPr>
          <w:lang w:bidi="he-IL"/>
        </w:rPr>
      </w:pPr>
      <w:r>
        <w:rPr>
          <w:rStyle w:val="FootnoteReference"/>
          <w:rtl/>
          <w:lang w:bidi="he-IL"/>
        </w:rPr>
        <w:footnoteReference w:id="51"/>
      </w:r>
      <w:r>
        <w:rPr>
          <w:rtl/>
          <w:lang w:bidi="he-IL"/>
        </w:rPr>
        <w:t>בֵּית שַׁמַּאי</w:t>
      </w:r>
      <w:r>
        <w:rPr>
          <w:rStyle w:val="FootnoteReference"/>
          <w:rtl/>
          <w:lang w:bidi="he-IL"/>
        </w:rPr>
        <w:footnoteReference w:id="52"/>
      </w:r>
      <w:r>
        <w:rPr>
          <w:rtl/>
          <w:lang w:bidi="he-IL"/>
        </w:rPr>
        <w:t xml:space="preserve"> אוֹמְרִים, אֵין מְסַלְּקִין</w:t>
      </w:r>
      <w:r>
        <w:rPr>
          <w:rStyle w:val="FootnoteReference"/>
          <w:rtl/>
          <w:lang w:bidi="he-IL"/>
        </w:rPr>
        <w:footnoteReference w:id="53"/>
      </w:r>
      <w:r>
        <w:rPr>
          <w:rtl/>
          <w:lang w:bidi="he-IL"/>
        </w:rPr>
        <w:t xml:space="preserve"> אֶת הַתְּרִיסִין</w:t>
      </w:r>
      <w:r>
        <w:rPr>
          <w:rStyle w:val="FootnoteReference"/>
          <w:rtl/>
          <w:lang w:bidi="he-IL"/>
        </w:rPr>
        <w:footnoteReference w:id="54"/>
      </w:r>
      <w:r>
        <w:rPr>
          <w:rtl/>
          <w:lang w:bidi="he-IL"/>
        </w:rPr>
        <w:t xml:space="preserve"> בְּיוֹם טוֹב. וּבֵית הִלֵּל מַתִּירִין אַף לְהַחֲזִיר</w:t>
      </w:r>
      <w:r>
        <w:rPr>
          <w:rStyle w:val="FootnoteReference"/>
          <w:rtl/>
          <w:lang w:bidi="he-IL"/>
        </w:rPr>
        <w:footnoteReference w:id="55"/>
      </w:r>
      <w:r>
        <w:rPr>
          <w:rStyle w:val="FootnoteReference"/>
          <w:rtl/>
          <w:lang w:bidi="he-IL"/>
        </w:rPr>
        <w:footnoteReference w:id="56"/>
      </w:r>
      <w:r>
        <w:rPr>
          <w:rtl/>
          <w:lang w:bidi="he-IL"/>
        </w:rPr>
        <w:t>.</w:t>
      </w:r>
      <w:r>
        <w:rPr>
          <w:rStyle w:val="FootnoteReference"/>
          <w:rtl/>
          <w:lang w:bidi="he-IL"/>
        </w:rPr>
        <w:footnoteReference w:id="57"/>
      </w:r>
      <w:r>
        <w:rPr>
          <w:rtl/>
          <w:lang w:bidi="he-IL"/>
        </w:rPr>
        <w:t xml:space="preserve"> בֵּית שַׁמַּאי אוֹמְרִים, אֵין נוֹטְלִין אֶת הָעֱלִי</w:t>
      </w:r>
      <w:r>
        <w:rPr>
          <w:rStyle w:val="FootnoteReference"/>
          <w:rtl/>
          <w:lang w:bidi="he-IL"/>
        </w:rPr>
        <w:footnoteReference w:id="58"/>
      </w:r>
      <w:r>
        <w:rPr>
          <w:rtl/>
          <w:lang w:bidi="he-IL"/>
        </w:rPr>
        <w:t xml:space="preserve"> לְקַצֵּב</w:t>
      </w:r>
      <w:r>
        <w:rPr>
          <w:rStyle w:val="FootnoteReference"/>
          <w:rtl/>
          <w:lang w:bidi="he-IL"/>
        </w:rPr>
        <w:footnoteReference w:id="59"/>
      </w:r>
      <w:r>
        <w:rPr>
          <w:rtl/>
          <w:lang w:bidi="he-IL"/>
        </w:rPr>
        <w:t xml:space="preserve"> עָלָיו בָּשָׂר</w:t>
      </w:r>
      <w:r>
        <w:rPr>
          <w:rStyle w:val="FootnoteReference"/>
          <w:rtl/>
          <w:lang w:bidi="he-IL"/>
        </w:rPr>
        <w:footnoteReference w:id="60"/>
      </w:r>
      <w:r>
        <w:rPr>
          <w:rtl/>
          <w:lang w:bidi="he-IL"/>
        </w:rPr>
        <w:t>. וּבֵית הִלֵּל מַתִּירִין. בֵּית שַׁמַּאי אוֹמְרִים, אֵין נוֹתְנִין אֶת הָעוֹר לִפְנֵי הַדּוֹרְסָן</w:t>
      </w:r>
      <w:r>
        <w:rPr>
          <w:rStyle w:val="FootnoteReference"/>
          <w:rtl/>
          <w:lang w:bidi="he-IL"/>
        </w:rPr>
        <w:footnoteReference w:id="61"/>
      </w:r>
      <w:r>
        <w:rPr>
          <w:rStyle w:val="FootnoteReference"/>
          <w:rtl/>
          <w:lang w:bidi="he-IL"/>
        </w:rPr>
        <w:footnoteReference w:id="62"/>
      </w:r>
      <w:r>
        <w:rPr>
          <w:rtl/>
          <w:lang w:bidi="he-IL"/>
        </w:rPr>
        <w:t xml:space="preserve"> וְלֹא </w:t>
      </w:r>
      <w:r>
        <w:rPr>
          <w:rtl/>
          <w:lang w:bidi="he-IL"/>
        </w:rPr>
        <w:lastRenderedPageBreak/>
        <w:t>יַגְבִּיהֶנּוּ, אֶלָּא אִם כֵּן יֵשׁ עִמּוֹ כַזַּיִת בָּשָׂר</w:t>
      </w:r>
      <w:r>
        <w:rPr>
          <w:rStyle w:val="FootnoteReference"/>
          <w:rtl/>
          <w:lang w:bidi="he-IL"/>
        </w:rPr>
        <w:footnoteReference w:id="63"/>
      </w:r>
      <w:r>
        <w:rPr>
          <w:rtl/>
          <w:lang w:bidi="he-IL"/>
        </w:rPr>
        <w:t>. וּבֵית הִלֵּל מַתִּירִין</w:t>
      </w:r>
      <w:r>
        <w:rPr>
          <w:rStyle w:val="FootnoteReference"/>
          <w:rtl/>
          <w:lang w:bidi="he-IL"/>
        </w:rPr>
        <w:footnoteReference w:id="64"/>
      </w:r>
      <w:r>
        <w:rPr>
          <w:rStyle w:val="FootnoteReference"/>
          <w:rtl/>
          <w:lang w:bidi="he-IL"/>
        </w:rPr>
        <w:footnoteReference w:id="65"/>
      </w:r>
      <w:r>
        <w:rPr>
          <w:rStyle w:val="FootnoteReference"/>
          <w:rtl/>
          <w:lang w:bidi="he-IL"/>
        </w:rPr>
        <w:footnoteReference w:id="66"/>
      </w:r>
      <w:r>
        <w:rPr>
          <w:rtl/>
          <w:lang w:bidi="he-IL"/>
        </w:rPr>
        <w:t>. בֵּית שַׁמַּאי אוֹמְרִים, אֵין מוֹצִיאִין לֹא אֶת הַקָּטָן וְלֹא אֶת הַלּוּלָב וְלֹא אֶת סֵפֶר תּוֹרָה לִרְשׁוּת הָרַבִּים. וּבֵית הִלֵּל מַתִּירִין</w:t>
      </w:r>
      <w:r>
        <w:rPr>
          <w:rStyle w:val="FootnoteReference"/>
          <w:rtl/>
          <w:lang w:bidi="he-IL"/>
        </w:rPr>
        <w:footnoteReference w:id="67"/>
      </w:r>
      <w:r>
        <w:rPr>
          <w:rtl/>
          <w:lang w:bidi="he-IL"/>
        </w:rPr>
        <w:t>:</w:t>
      </w:r>
      <w:r>
        <w:rPr>
          <w:rStyle w:val="FootnoteReference"/>
          <w:rtl/>
          <w:lang w:bidi="he-IL"/>
        </w:rPr>
        <w:footnoteReference w:id="68"/>
      </w:r>
    </w:p>
    <w:p w14:paraId="5645701E" w14:textId="77777777" w:rsidR="0009007A" w:rsidRDefault="00000000">
      <w:pPr>
        <w:pStyle w:val="Heading2"/>
        <w:rPr>
          <w:lang w:bidi="he-IL"/>
        </w:rPr>
      </w:pPr>
      <w:r>
        <w:rPr>
          <w:rFonts w:ascii="Times New Roman" w:hAnsi="Times New Roman"/>
          <w:rtl/>
          <w:lang w:bidi="he-IL"/>
        </w:rPr>
        <w:t>משנה</w:t>
      </w:r>
      <w:r>
        <w:rPr>
          <w:rtl/>
          <w:lang w:bidi="he-IL"/>
        </w:rPr>
        <w:t xml:space="preserve"> </w:t>
      </w:r>
      <w:r>
        <w:rPr>
          <w:rFonts w:ascii="Times New Roman" w:hAnsi="Times New Roman"/>
          <w:rtl/>
          <w:lang w:bidi="he-IL"/>
        </w:rPr>
        <w:t>ו</w:t>
      </w:r>
      <w:r>
        <w:rPr>
          <w:rtl/>
          <w:lang w:bidi="he-IL"/>
        </w:rPr>
        <w:t>:</w:t>
      </w:r>
      <w:r>
        <w:rPr>
          <w:rStyle w:val="FootnoteReference"/>
          <w:rtl/>
          <w:lang w:bidi="he-IL"/>
        </w:rPr>
        <w:footnoteReference w:id="69"/>
      </w:r>
    </w:p>
    <w:p w14:paraId="40EB1F11" w14:textId="77777777" w:rsidR="0009007A" w:rsidRDefault="00000000">
      <w:pPr>
        <w:rPr>
          <w:lang w:bidi="he-IL"/>
        </w:rPr>
      </w:pPr>
      <w:r>
        <w:rPr>
          <w:rtl/>
          <w:lang w:bidi="he-IL"/>
        </w:rPr>
        <w:t>(יב:- יד.)</w:t>
      </w:r>
    </w:p>
    <w:p w14:paraId="1713A5CC" w14:textId="77777777" w:rsidR="0009007A" w:rsidRDefault="00000000">
      <w:pPr>
        <w:rPr>
          <w:lang w:val="en-US" w:bidi="he-IL"/>
        </w:rPr>
      </w:pPr>
      <w:r>
        <w:rPr>
          <w:rStyle w:val="FootnoteReference"/>
          <w:rtl/>
          <w:lang w:val="en-US" w:bidi="he-IL"/>
        </w:rPr>
        <w:footnoteReference w:id="70"/>
      </w:r>
      <w:r>
        <w:rPr>
          <w:rtl/>
          <w:lang w:val="en-US" w:bidi="he-IL"/>
        </w:rPr>
        <w:t>בֵּית שַׁמַּאי אוֹמְרִים, אֵין מוֹלִיכִין חַלָּה וּמַתָּנוֹת לַכֹּהֵן בְּיוֹם טוֹב, בֵּין שֶׁהוּרְמוּ מֵאֶמֶשׁ, בֵּין שֶׁהוּרְמוּ מֵהַיּוֹם</w:t>
      </w:r>
      <w:r>
        <w:rPr>
          <w:rStyle w:val="FootnoteReference"/>
          <w:rtl/>
          <w:lang w:val="en-US" w:bidi="he-IL"/>
        </w:rPr>
        <w:footnoteReference w:id="71"/>
      </w:r>
      <w:r>
        <w:rPr>
          <w:rStyle w:val="FootnoteReference"/>
          <w:rtl/>
          <w:lang w:val="en-US" w:bidi="he-IL"/>
        </w:rPr>
        <w:footnoteReference w:id="72"/>
      </w:r>
      <w:r>
        <w:rPr>
          <w:rStyle w:val="FootnoteReference"/>
          <w:rtl/>
          <w:lang w:val="en-US" w:bidi="he-IL"/>
        </w:rPr>
        <w:footnoteReference w:id="73"/>
      </w:r>
      <w:r>
        <w:rPr>
          <w:rtl/>
          <w:lang w:val="en-US" w:bidi="he-IL"/>
        </w:rPr>
        <w:t>. וּבֵית הִלֵּל מַתִּירִין.</w:t>
      </w:r>
      <w:r>
        <w:rPr>
          <w:rStyle w:val="FootnoteReference"/>
          <w:rtl/>
          <w:lang w:val="en-US" w:bidi="he-IL"/>
        </w:rPr>
        <w:footnoteReference w:id="74"/>
      </w:r>
      <w:r>
        <w:rPr>
          <w:rtl/>
          <w:lang w:val="en-US" w:bidi="he-IL"/>
        </w:rPr>
        <w:t xml:space="preserve"> אָמְרוּ לָהֶם בֵּית שַׁמַּאי, גְּזֵרָה שָׁוָה</w:t>
      </w:r>
      <w:r>
        <w:rPr>
          <w:rStyle w:val="FootnoteReference"/>
          <w:rtl/>
          <w:lang w:val="en-US" w:bidi="he-IL"/>
        </w:rPr>
        <w:footnoteReference w:id="75"/>
      </w:r>
      <w:r>
        <w:rPr>
          <w:rtl/>
          <w:lang w:val="en-US" w:bidi="he-IL"/>
        </w:rPr>
        <w:t>, חַלָּה וּמַתָּנוֹת מַתָּנָה לַכֹּהֵן, וּתְרוּמָה מַתָּנָה לַכֹּהֵן, כְּשֵׁם שֶׁאֵין מוֹלִיכִין אֶת הַתְּרוּמָה, כָּךְ אֵין מוֹלִיכִין אֶת הַמַּתָּנוֹת</w:t>
      </w:r>
      <w:r>
        <w:rPr>
          <w:rStyle w:val="FootnoteReference"/>
          <w:rtl/>
          <w:lang w:val="en-US" w:bidi="he-IL"/>
        </w:rPr>
        <w:footnoteReference w:id="76"/>
      </w:r>
      <w:r>
        <w:rPr>
          <w:rtl/>
          <w:lang w:val="en-US" w:bidi="he-IL"/>
        </w:rPr>
        <w:t>. אָמְרוּ לָהֶם בֵּית הִלֵּל, לֹא, אִם אֲמַרְתֶּם בַּתְּרוּמָה, שֶׁאֵינוֹ זַכַּאי בַּהֲרָמָתָהּ</w:t>
      </w:r>
      <w:r>
        <w:rPr>
          <w:rStyle w:val="FootnoteReference"/>
          <w:rtl/>
          <w:lang w:val="en-US" w:bidi="he-IL"/>
        </w:rPr>
        <w:footnoteReference w:id="77"/>
      </w:r>
      <w:r>
        <w:rPr>
          <w:rtl/>
          <w:lang w:val="en-US" w:bidi="he-IL"/>
        </w:rPr>
        <w:t>, תֹּאמְרוּ בַמַּתָּנוֹת, שֶׁזַּכַּאי בַּהֲרָמָתָן:</w:t>
      </w:r>
      <w:r>
        <w:rPr>
          <w:rStyle w:val="FootnoteReference"/>
          <w:rtl/>
          <w:lang w:val="en-US" w:bidi="he-IL"/>
        </w:rPr>
        <w:footnoteReference w:id="78"/>
      </w:r>
    </w:p>
    <w:p w14:paraId="67CC35AF" w14:textId="77777777" w:rsidR="0009007A" w:rsidRDefault="00000000">
      <w:pPr>
        <w:pStyle w:val="Heading2"/>
        <w:rPr>
          <w:lang w:val="en-US" w:bidi="he-IL"/>
        </w:rPr>
      </w:pPr>
      <w:r>
        <w:rPr>
          <w:rFonts w:ascii="Times New Roman" w:hAnsi="Times New Roman"/>
          <w:rtl/>
          <w:lang w:val="en-US" w:bidi="he-IL"/>
        </w:rPr>
        <w:lastRenderedPageBreak/>
        <w:t>משנה</w:t>
      </w:r>
      <w:r>
        <w:rPr>
          <w:rtl/>
          <w:lang w:val="en-US" w:bidi="he-IL"/>
        </w:rPr>
        <w:t xml:space="preserve"> </w:t>
      </w:r>
      <w:r>
        <w:rPr>
          <w:rFonts w:ascii="Times New Roman" w:hAnsi="Times New Roman"/>
          <w:rtl/>
          <w:lang w:val="en-US" w:bidi="he-IL"/>
        </w:rPr>
        <w:t>ז</w:t>
      </w:r>
      <w:r>
        <w:rPr>
          <w:rtl/>
          <w:lang w:val="en-US" w:bidi="he-IL"/>
        </w:rPr>
        <w:t>:</w:t>
      </w:r>
      <w:r>
        <w:rPr>
          <w:rStyle w:val="FootnoteReference"/>
          <w:rtl/>
          <w:lang w:val="en-US" w:bidi="he-IL"/>
        </w:rPr>
        <w:footnoteReference w:id="79"/>
      </w:r>
    </w:p>
    <w:p w14:paraId="20346BB8" w14:textId="77777777" w:rsidR="0009007A" w:rsidRDefault="00000000">
      <w:pPr>
        <w:rPr>
          <w:lang w:val="en-US" w:bidi="he-IL"/>
        </w:rPr>
      </w:pPr>
      <w:r>
        <w:rPr>
          <w:rtl/>
          <w:lang w:val="en-US" w:bidi="he-IL"/>
        </w:rPr>
        <w:t>(יד.- יד:)</w:t>
      </w:r>
    </w:p>
    <w:p w14:paraId="16152FF6" w14:textId="77777777" w:rsidR="0009007A" w:rsidRDefault="00000000">
      <w:pPr>
        <w:rPr>
          <w:lang w:val="en-US" w:bidi="he-IL"/>
        </w:rPr>
      </w:pPr>
      <w:r>
        <w:rPr>
          <w:rStyle w:val="FootnoteReference"/>
          <w:rtl/>
          <w:lang w:val="en-US" w:bidi="he-IL"/>
        </w:rPr>
        <w:footnoteReference w:id="80"/>
      </w:r>
      <w:r>
        <w:rPr>
          <w:rtl/>
          <w:lang w:val="en-US" w:bidi="he-IL"/>
        </w:rPr>
        <w:t>בֵּית שַׁמַּאי אוֹמְרִים, תְּבָלִין נִדּוֹכִין</w:t>
      </w:r>
      <w:r>
        <w:rPr>
          <w:rStyle w:val="FootnoteReference"/>
          <w:rtl/>
          <w:lang w:val="en-US" w:bidi="he-IL"/>
        </w:rPr>
        <w:footnoteReference w:id="81"/>
      </w:r>
      <w:r>
        <w:rPr>
          <w:rtl/>
          <w:lang w:val="en-US" w:bidi="he-IL"/>
        </w:rPr>
        <w:t xml:space="preserve"> בְּמָדוֹךְ</w:t>
      </w:r>
      <w:r>
        <w:rPr>
          <w:rStyle w:val="FootnoteReference"/>
          <w:rtl/>
          <w:lang w:val="en-US" w:bidi="he-IL"/>
        </w:rPr>
        <w:footnoteReference w:id="82"/>
      </w:r>
      <w:r>
        <w:rPr>
          <w:rtl/>
          <w:lang w:val="en-US" w:bidi="he-IL"/>
        </w:rPr>
        <w:t xml:space="preserve"> שֶׁל עֵץ</w:t>
      </w:r>
      <w:r>
        <w:rPr>
          <w:rStyle w:val="FootnoteReference"/>
          <w:rtl/>
          <w:lang w:val="en-US" w:bidi="he-IL"/>
        </w:rPr>
        <w:footnoteReference w:id="83"/>
      </w:r>
      <w:r>
        <w:rPr>
          <w:rtl/>
          <w:lang w:val="en-US" w:bidi="he-IL"/>
        </w:rPr>
        <w:t>, וְהַמֶּלַח בְּפַךְ</w:t>
      </w:r>
      <w:r>
        <w:rPr>
          <w:rStyle w:val="FootnoteReference"/>
          <w:rtl/>
          <w:lang w:val="en-US" w:bidi="he-IL"/>
        </w:rPr>
        <w:footnoteReference w:id="84"/>
      </w:r>
      <w:r>
        <w:rPr>
          <w:rtl/>
          <w:lang w:val="en-US" w:bidi="he-IL"/>
        </w:rPr>
        <w:t>, וּבְעֵץ הַפָּרוּר</w:t>
      </w:r>
      <w:r>
        <w:rPr>
          <w:rStyle w:val="FootnoteReference"/>
          <w:rtl/>
          <w:lang w:val="en-US" w:bidi="he-IL"/>
        </w:rPr>
        <w:footnoteReference w:id="85"/>
      </w:r>
      <w:r>
        <w:rPr>
          <w:rStyle w:val="FootnoteReference"/>
          <w:rtl/>
          <w:lang w:val="en-US" w:bidi="he-IL"/>
        </w:rPr>
        <w:footnoteReference w:id="86"/>
      </w:r>
      <w:r>
        <w:rPr>
          <w:rtl/>
          <w:lang w:val="en-US" w:bidi="he-IL"/>
        </w:rPr>
        <w:t>. וּבֵית הִלֵּל אוֹמְרִים, תְּבָלִין נִדּוֹכִין כְּדַרְכָּן בְּמָדוֹךְ שֶׁל אֶבֶן</w:t>
      </w:r>
      <w:r>
        <w:rPr>
          <w:rStyle w:val="FootnoteReference"/>
          <w:rtl/>
          <w:lang w:val="en-US" w:bidi="he-IL"/>
        </w:rPr>
        <w:footnoteReference w:id="87"/>
      </w:r>
      <w:r>
        <w:rPr>
          <w:rtl/>
          <w:lang w:val="en-US" w:bidi="he-IL"/>
        </w:rPr>
        <w:t>, וְהַמֶּלַח בְּמָדוֹךְ שֶׁל עֵץ</w:t>
      </w:r>
      <w:r>
        <w:rPr>
          <w:rStyle w:val="FootnoteReference"/>
          <w:rtl/>
          <w:lang w:val="en-US" w:bidi="he-IL"/>
        </w:rPr>
        <w:footnoteReference w:id="88"/>
      </w:r>
      <w:r>
        <w:rPr>
          <w:rStyle w:val="FootnoteReference"/>
          <w:rtl/>
          <w:lang w:val="en-US" w:bidi="he-IL"/>
        </w:rPr>
        <w:footnoteReference w:id="89"/>
      </w:r>
      <w:r>
        <w:rPr>
          <w:rStyle w:val="FootnoteReference"/>
          <w:rtl/>
          <w:lang w:val="en-US" w:bidi="he-IL"/>
        </w:rPr>
        <w:footnoteReference w:id="90"/>
      </w:r>
      <w:r>
        <w:rPr>
          <w:rStyle w:val="FootnoteReference"/>
          <w:rtl/>
          <w:lang w:val="en-US" w:bidi="he-IL"/>
        </w:rPr>
        <w:footnoteReference w:id="91"/>
      </w:r>
      <w:r>
        <w:rPr>
          <w:rtl/>
          <w:lang w:val="en-US" w:bidi="he-IL"/>
        </w:rPr>
        <w:t>:</w:t>
      </w:r>
      <w:r>
        <w:rPr>
          <w:rStyle w:val="FootnoteReference"/>
          <w:rtl/>
          <w:lang w:val="en-US" w:bidi="he-IL"/>
        </w:rPr>
        <w:footnoteReference w:id="92"/>
      </w:r>
    </w:p>
    <w:p w14:paraId="45DDBA19" w14:textId="77777777" w:rsidR="0009007A" w:rsidRDefault="00000000">
      <w:pPr>
        <w:pStyle w:val="Heading2"/>
        <w:rPr>
          <w:lang w:val="en-US" w:bidi="he-IL"/>
        </w:rPr>
      </w:pPr>
      <w:r>
        <w:rPr>
          <w:rFonts w:ascii="Times New Roman" w:hAnsi="Times New Roman"/>
          <w:rtl/>
          <w:lang w:val="en-US" w:bidi="he-IL"/>
        </w:rPr>
        <w:t>משנה</w:t>
      </w:r>
      <w:r>
        <w:rPr>
          <w:rtl/>
          <w:lang w:val="en-US" w:bidi="he-IL"/>
        </w:rPr>
        <w:t xml:space="preserve"> </w:t>
      </w:r>
      <w:r>
        <w:rPr>
          <w:rFonts w:ascii="Times New Roman" w:hAnsi="Times New Roman"/>
          <w:rtl/>
          <w:lang w:val="en-US" w:bidi="he-IL"/>
        </w:rPr>
        <w:t>ח</w:t>
      </w:r>
      <w:r>
        <w:rPr>
          <w:rtl/>
          <w:lang w:val="en-US" w:bidi="he-IL"/>
        </w:rPr>
        <w:t>:</w:t>
      </w:r>
      <w:r>
        <w:rPr>
          <w:rStyle w:val="FootnoteReference"/>
          <w:rtl/>
          <w:lang w:val="en-US" w:bidi="he-IL"/>
        </w:rPr>
        <w:footnoteReference w:id="93"/>
      </w:r>
    </w:p>
    <w:p w14:paraId="663920BB" w14:textId="77777777" w:rsidR="0009007A" w:rsidRDefault="00000000">
      <w:pPr>
        <w:rPr>
          <w:lang w:val="en-US" w:bidi="he-IL"/>
        </w:rPr>
      </w:pPr>
      <w:r>
        <w:rPr>
          <w:rtl/>
          <w:lang w:val="en-US" w:bidi="he-IL"/>
        </w:rPr>
        <w:t>(יד:)</w:t>
      </w:r>
    </w:p>
    <w:p w14:paraId="38A982FF" w14:textId="77777777" w:rsidR="0009007A" w:rsidRDefault="00000000">
      <w:pPr>
        <w:rPr>
          <w:lang w:val="en-US" w:bidi="he-IL"/>
        </w:rPr>
      </w:pPr>
      <w:r>
        <w:rPr>
          <w:rStyle w:val="FootnoteReference"/>
          <w:rtl/>
          <w:lang w:val="en-US" w:bidi="he-IL"/>
        </w:rPr>
        <w:footnoteReference w:id="94"/>
      </w:r>
      <w:r>
        <w:rPr>
          <w:rtl/>
          <w:lang w:val="en-US" w:bidi="he-IL"/>
        </w:rPr>
        <w:t>הַבּוֹרֵר קִטְנִית בְּיוֹם טוֹב, בֵּית שַׁמַּאי אוֹמְרִים, בּוֹרֵר אֹכֶל וְאוֹכֵל</w:t>
      </w:r>
      <w:r>
        <w:rPr>
          <w:rStyle w:val="FootnoteReference"/>
          <w:rtl/>
          <w:lang w:val="en-US" w:bidi="he-IL"/>
        </w:rPr>
        <w:footnoteReference w:id="95"/>
      </w:r>
      <w:r>
        <w:rPr>
          <w:rtl/>
          <w:lang w:val="en-US" w:bidi="he-IL"/>
        </w:rPr>
        <w:t>. וּבֵית הִלֵּל אוֹמְרִים, בּוֹרֵר כְּדַרְכּוֹ</w:t>
      </w:r>
      <w:r>
        <w:rPr>
          <w:rStyle w:val="FootnoteReference"/>
          <w:rtl/>
          <w:lang w:val="en-US" w:bidi="he-IL"/>
        </w:rPr>
        <w:footnoteReference w:id="96"/>
      </w:r>
      <w:r>
        <w:rPr>
          <w:rtl/>
          <w:lang w:val="en-US" w:bidi="he-IL"/>
        </w:rPr>
        <w:t xml:space="preserve"> בְּחֵיקוֹ, בְּקָנוֹן וּבְתַמְחוּי, אֲבָל לֹא בְטַבְלָא וְלֹא בְנָפָה וְלֹא בִכְבָרָה</w:t>
      </w:r>
      <w:r>
        <w:rPr>
          <w:rStyle w:val="FootnoteReference"/>
          <w:rtl/>
          <w:lang w:val="en-US" w:bidi="he-IL"/>
        </w:rPr>
        <w:footnoteReference w:id="97"/>
      </w:r>
      <w:r>
        <w:rPr>
          <w:rtl/>
          <w:lang w:val="en-US" w:bidi="he-IL"/>
        </w:rPr>
        <w:t>. רַבָּן גַּמְלִיאֵל אוֹמֵר, אַף מֵדִיחַ וְשׁוֹלֶה</w:t>
      </w:r>
      <w:r>
        <w:rPr>
          <w:rStyle w:val="FootnoteReference"/>
          <w:rtl/>
          <w:lang w:val="en-US" w:bidi="he-IL"/>
        </w:rPr>
        <w:footnoteReference w:id="98"/>
      </w:r>
      <w:r>
        <w:rPr>
          <w:rtl/>
          <w:lang w:val="en-US" w:bidi="he-IL"/>
        </w:rPr>
        <w:t>:</w:t>
      </w:r>
      <w:r>
        <w:rPr>
          <w:rStyle w:val="FootnoteReference"/>
          <w:rtl/>
          <w:lang w:val="en-US" w:bidi="he-IL"/>
        </w:rPr>
        <w:footnoteReference w:id="99"/>
      </w:r>
    </w:p>
    <w:p w14:paraId="5A133B0A" w14:textId="77777777" w:rsidR="0009007A" w:rsidRDefault="00000000">
      <w:pPr>
        <w:pStyle w:val="Heading2"/>
        <w:rPr>
          <w:lang w:val="en-US" w:bidi="he-IL"/>
        </w:rPr>
      </w:pPr>
      <w:r>
        <w:rPr>
          <w:rFonts w:ascii="Times New Roman" w:hAnsi="Times New Roman"/>
          <w:rtl/>
          <w:lang w:val="en-US" w:bidi="he-IL"/>
        </w:rPr>
        <w:lastRenderedPageBreak/>
        <w:t>משנה</w:t>
      </w:r>
      <w:r>
        <w:rPr>
          <w:rtl/>
          <w:lang w:val="en-US" w:bidi="he-IL"/>
        </w:rPr>
        <w:t xml:space="preserve"> </w:t>
      </w:r>
      <w:r>
        <w:rPr>
          <w:rFonts w:ascii="Times New Roman" w:hAnsi="Times New Roman"/>
          <w:rtl/>
          <w:lang w:val="en-US" w:bidi="he-IL"/>
        </w:rPr>
        <w:t>ט</w:t>
      </w:r>
      <w:r>
        <w:rPr>
          <w:rtl/>
          <w:lang w:val="en-US" w:bidi="he-IL"/>
        </w:rPr>
        <w:t>:</w:t>
      </w:r>
      <w:r>
        <w:rPr>
          <w:rStyle w:val="FootnoteReference"/>
          <w:rtl/>
          <w:lang w:val="en-US" w:bidi="he-IL"/>
        </w:rPr>
        <w:footnoteReference w:id="100"/>
      </w:r>
    </w:p>
    <w:p w14:paraId="2ECCD6A2" w14:textId="77777777" w:rsidR="0009007A" w:rsidRDefault="00000000">
      <w:pPr>
        <w:rPr>
          <w:lang w:val="en-US" w:bidi="he-IL"/>
        </w:rPr>
      </w:pPr>
      <w:r>
        <w:rPr>
          <w:rtl/>
          <w:lang w:val="en-US" w:bidi="he-IL"/>
        </w:rPr>
        <w:t>(יד:)</w:t>
      </w:r>
    </w:p>
    <w:p w14:paraId="0352E331" w14:textId="77777777" w:rsidR="0009007A" w:rsidRDefault="00000000">
      <w:pPr>
        <w:rPr>
          <w:lang w:val="en-US"/>
        </w:rPr>
      </w:pPr>
      <w:r>
        <w:rPr>
          <w:rStyle w:val="FootnoteReference"/>
          <w:rtl/>
          <w:lang w:val="en-US" w:bidi="he-IL"/>
        </w:rPr>
        <w:footnoteReference w:id="101"/>
      </w:r>
      <w:r>
        <w:rPr>
          <w:rtl/>
          <w:lang w:val="en-US" w:bidi="he-IL"/>
        </w:rPr>
        <w:t>בֵּית שַׁמַּאי אוֹמְרִים, אֵין מְשַׁלְּחִין בְּיוֹם טוֹב אֶלָּא מָנוֹת</w:t>
      </w:r>
      <w:r>
        <w:rPr>
          <w:rStyle w:val="FootnoteReference"/>
          <w:rtl/>
          <w:lang w:val="en-US" w:bidi="he-IL"/>
        </w:rPr>
        <w:footnoteReference w:id="102"/>
      </w:r>
      <w:r>
        <w:rPr>
          <w:rtl/>
          <w:lang w:val="en-US" w:bidi="he-IL"/>
        </w:rPr>
        <w:t>. וּבֵית הִלֵּל אוֹמְרִים, מְשַׁלְּחִין</w:t>
      </w:r>
      <w:r>
        <w:rPr>
          <w:rStyle w:val="FootnoteReference"/>
          <w:rtl/>
          <w:lang w:val="en-US" w:bidi="he-IL"/>
        </w:rPr>
        <w:footnoteReference w:id="103"/>
      </w:r>
      <w:r>
        <w:rPr>
          <w:rtl/>
          <w:lang w:val="en-US" w:bidi="he-IL"/>
        </w:rPr>
        <w:t xml:space="preserve"> בְּהֵמָה חַיָּה וָעוֹף</w:t>
      </w:r>
      <w:r>
        <w:rPr>
          <w:rStyle w:val="FootnoteReference"/>
          <w:rtl/>
          <w:lang w:val="en-US" w:bidi="he-IL"/>
        </w:rPr>
        <w:footnoteReference w:id="104"/>
      </w:r>
      <w:r>
        <w:rPr>
          <w:rtl/>
          <w:lang w:val="en-US" w:bidi="he-IL"/>
        </w:rPr>
        <w:t>, בֵּין חַיִּין בֵּין שְׁחוּטִין</w:t>
      </w:r>
      <w:r>
        <w:rPr>
          <w:rStyle w:val="FootnoteReference"/>
          <w:rtl/>
          <w:lang w:val="en-US" w:bidi="he-IL"/>
        </w:rPr>
        <w:footnoteReference w:id="105"/>
      </w:r>
      <w:r>
        <w:rPr>
          <w:rtl/>
          <w:lang w:val="en-US" w:bidi="he-IL"/>
        </w:rPr>
        <w:t>. מְשַׁלְּחִין יֵינוֹת שְׁמָנִים וּסְלָתוֹת וְקִטְנִיּוֹת</w:t>
      </w:r>
      <w:r>
        <w:rPr>
          <w:rStyle w:val="FootnoteReference"/>
          <w:rtl/>
          <w:lang w:val="en-US" w:bidi="he-IL"/>
        </w:rPr>
        <w:footnoteReference w:id="106"/>
      </w:r>
      <w:r>
        <w:rPr>
          <w:rtl/>
          <w:lang w:val="en-US" w:bidi="he-IL"/>
        </w:rPr>
        <w:t>, אֲבָל לֹא תְבוּאָה</w:t>
      </w:r>
      <w:r>
        <w:rPr>
          <w:rStyle w:val="FootnoteReference"/>
          <w:rtl/>
          <w:lang w:val="en-US" w:bidi="he-IL"/>
        </w:rPr>
        <w:footnoteReference w:id="107"/>
      </w:r>
      <w:r>
        <w:rPr>
          <w:rtl/>
          <w:lang w:val="en-US" w:bidi="he-IL"/>
        </w:rPr>
        <w:t>, וְרַבִּי שִׁמְעוֹן מַתִּיר בִּתְבוּאָה</w:t>
      </w:r>
      <w:r>
        <w:rPr>
          <w:rStyle w:val="FootnoteReference"/>
          <w:rtl/>
          <w:lang w:val="en-US" w:bidi="he-IL"/>
        </w:rPr>
        <w:footnoteReference w:id="108"/>
      </w:r>
      <w:r>
        <w:rPr>
          <w:rtl/>
          <w:lang w:val="en-US" w:bidi="he-IL"/>
        </w:rPr>
        <w:t>:</w:t>
      </w:r>
      <w:r>
        <w:rPr>
          <w:rStyle w:val="FootnoteReference"/>
          <w:rtl/>
          <w:lang w:val="en-US" w:bidi="he-IL"/>
        </w:rPr>
        <w:footnoteReference w:id="109"/>
      </w:r>
    </w:p>
    <w:p w14:paraId="1DE27637" w14:textId="77777777" w:rsidR="0009007A" w:rsidRDefault="00000000">
      <w:pPr>
        <w:pStyle w:val="Heading2"/>
        <w:rPr>
          <w:lang w:val="en-US" w:bidi="he-IL"/>
        </w:rPr>
      </w:pPr>
      <w:r>
        <w:rPr>
          <w:rFonts w:ascii="Times New Roman" w:hAnsi="Times New Roman"/>
          <w:rtl/>
          <w:lang w:val="en-US" w:bidi="he-IL"/>
        </w:rPr>
        <w:t>משנה</w:t>
      </w:r>
      <w:r>
        <w:rPr>
          <w:rtl/>
          <w:lang w:val="en-US" w:bidi="he-IL"/>
        </w:rPr>
        <w:t xml:space="preserve"> </w:t>
      </w:r>
      <w:r>
        <w:rPr>
          <w:rFonts w:ascii="Times New Roman" w:hAnsi="Times New Roman"/>
          <w:rtl/>
          <w:lang w:val="en-US" w:bidi="he-IL"/>
        </w:rPr>
        <w:t>י</w:t>
      </w:r>
      <w:r>
        <w:rPr>
          <w:rtl/>
          <w:lang w:val="en-US" w:bidi="he-IL"/>
        </w:rPr>
        <w:t>:</w:t>
      </w:r>
      <w:r>
        <w:rPr>
          <w:rStyle w:val="FootnoteReference"/>
          <w:rtl/>
          <w:lang w:val="en-US" w:bidi="he-IL"/>
        </w:rPr>
        <w:footnoteReference w:id="110"/>
      </w:r>
    </w:p>
    <w:p w14:paraId="13DDE44B" w14:textId="77777777" w:rsidR="0009007A" w:rsidRDefault="00000000">
      <w:pPr>
        <w:rPr>
          <w:lang w:val="en-US" w:bidi="he-IL"/>
        </w:rPr>
      </w:pPr>
      <w:r>
        <w:rPr>
          <w:rtl/>
          <w:lang w:val="en-US" w:bidi="he-IL"/>
        </w:rPr>
        <w:t>(יד:- טו.)</w:t>
      </w:r>
    </w:p>
    <w:p w14:paraId="428BC03A" w14:textId="77777777" w:rsidR="0009007A" w:rsidRDefault="00000000">
      <w:pPr>
        <w:rPr>
          <w:lang w:val="en-US" w:bidi="he-IL"/>
        </w:rPr>
      </w:pPr>
      <w:r>
        <w:rPr>
          <w:rStyle w:val="FootnoteReference"/>
          <w:rtl/>
          <w:lang w:val="en-US" w:bidi="he-IL"/>
        </w:rPr>
        <w:footnoteReference w:id="111"/>
      </w:r>
      <w:r>
        <w:rPr>
          <w:rtl/>
          <w:lang w:val="en-US" w:bidi="he-IL"/>
        </w:rPr>
        <w:t>מְשַׁלְּחִין כֵּלִים</w:t>
      </w:r>
      <w:r>
        <w:rPr>
          <w:rStyle w:val="FootnoteReference"/>
          <w:rtl/>
          <w:lang w:val="en-US" w:bidi="he-IL"/>
        </w:rPr>
        <w:footnoteReference w:id="112"/>
      </w:r>
      <w:r>
        <w:rPr>
          <w:rtl/>
          <w:lang w:val="en-US" w:bidi="he-IL"/>
        </w:rPr>
        <w:t>, בֵּין תְּפוּרִין</w:t>
      </w:r>
      <w:r>
        <w:rPr>
          <w:rStyle w:val="FootnoteReference"/>
          <w:rtl/>
          <w:lang w:val="en-US" w:bidi="he-IL"/>
        </w:rPr>
        <w:footnoteReference w:id="113"/>
      </w:r>
      <w:r>
        <w:rPr>
          <w:rtl/>
          <w:lang w:val="en-US" w:bidi="he-IL"/>
        </w:rPr>
        <w:t xml:space="preserve"> בֵּין שֶׁאֵינָן תְּפוּרִין</w:t>
      </w:r>
      <w:r>
        <w:rPr>
          <w:rStyle w:val="FootnoteReference"/>
          <w:rtl/>
          <w:lang w:val="en-US" w:bidi="he-IL"/>
        </w:rPr>
        <w:footnoteReference w:id="114"/>
      </w:r>
      <w:r>
        <w:rPr>
          <w:rtl/>
          <w:lang w:val="en-US" w:bidi="he-IL"/>
        </w:rPr>
        <w:t>, וְאַף עַל פִּי שֶׁיֵּשׁ בָּהֶן כִּלְאַיִם</w:t>
      </w:r>
      <w:r>
        <w:rPr>
          <w:rStyle w:val="FootnoteReference"/>
          <w:rtl/>
          <w:lang w:val="en-US" w:bidi="he-IL"/>
        </w:rPr>
        <w:footnoteReference w:id="115"/>
      </w:r>
      <w:r>
        <w:rPr>
          <w:rtl/>
          <w:lang w:val="en-US" w:bidi="he-IL"/>
        </w:rPr>
        <w:t>, וְהֵן לְצֹרֶךְ הַמּוֹעֵד</w:t>
      </w:r>
      <w:r>
        <w:rPr>
          <w:rStyle w:val="FootnoteReference"/>
          <w:rtl/>
          <w:lang w:val="en-US" w:bidi="he-IL"/>
        </w:rPr>
        <w:footnoteReference w:id="116"/>
      </w:r>
      <w:r>
        <w:rPr>
          <w:rtl/>
          <w:lang w:val="en-US" w:bidi="he-IL"/>
        </w:rPr>
        <w:t>, אֲבָל לֹא סַנְדָּל הַמְסֻמָּר</w:t>
      </w:r>
      <w:r>
        <w:rPr>
          <w:rStyle w:val="FootnoteReference"/>
          <w:rtl/>
          <w:lang w:val="en-US" w:bidi="he-IL"/>
        </w:rPr>
        <w:footnoteReference w:id="117"/>
      </w:r>
      <w:r>
        <w:rPr>
          <w:rtl/>
          <w:lang w:val="en-US" w:bidi="he-IL"/>
        </w:rPr>
        <w:t xml:space="preserve"> וְלֹא מִנְעָל שֶׁאֵינוֹ תָפוּר</w:t>
      </w:r>
      <w:r>
        <w:rPr>
          <w:rStyle w:val="FootnoteReference"/>
          <w:rtl/>
          <w:lang w:val="en-US" w:bidi="he-IL"/>
        </w:rPr>
        <w:footnoteReference w:id="118"/>
      </w:r>
      <w:r>
        <w:rPr>
          <w:rtl/>
          <w:lang w:val="en-US" w:bidi="he-IL"/>
        </w:rPr>
        <w:t>. רַבִּי יְהוּדָה אוֹמֵר, אַף לֹא מִנְעָל לָבָן, מִפְּנֵי שֶׁצָּרִיךְ אֻמָּן</w:t>
      </w:r>
      <w:r>
        <w:rPr>
          <w:rStyle w:val="FootnoteReference"/>
          <w:rtl/>
          <w:lang w:val="en-US" w:bidi="he-IL"/>
        </w:rPr>
        <w:footnoteReference w:id="119"/>
      </w:r>
      <w:r>
        <w:rPr>
          <w:rtl/>
          <w:lang w:val="en-US" w:bidi="he-IL"/>
        </w:rPr>
        <w:t>. זֶה הַכְּלָל, כֹּל שֶׁנֵּאוֹתִין בּוֹ, בְּיוֹם טוֹב מְשַׁלְּחִין אוֹתוֹ</w:t>
      </w:r>
      <w:r>
        <w:rPr>
          <w:rStyle w:val="FootnoteReference"/>
          <w:rtl/>
          <w:lang w:val="en-US" w:bidi="he-IL"/>
        </w:rPr>
        <w:footnoteReference w:id="120"/>
      </w:r>
      <w:r>
        <w:rPr>
          <w:rtl/>
          <w:lang w:val="en-US" w:bidi="he-IL"/>
        </w:rPr>
        <w:t>:</w:t>
      </w:r>
      <w:r>
        <w:rPr>
          <w:rStyle w:val="FootnoteReference"/>
          <w:rtl/>
          <w:lang w:val="en-US" w:bidi="he-IL"/>
        </w:rPr>
        <w:footnoteReference w:id="121"/>
      </w:r>
    </w:p>
    <w:p w14:paraId="065A46A4" w14:textId="77777777" w:rsidR="0009007A" w:rsidRDefault="00000000">
      <w:pPr>
        <w:pStyle w:val="Heading1"/>
        <w:rPr>
          <w:lang w:val="en-US" w:bidi="he-IL"/>
        </w:rPr>
      </w:pPr>
      <w:r>
        <w:rPr>
          <w:rtl/>
          <w:lang w:val="en-US" w:bidi="he-IL"/>
        </w:rPr>
        <w:lastRenderedPageBreak/>
        <w:t>פרק שני:</w:t>
      </w:r>
      <w:r>
        <w:rPr>
          <w:rStyle w:val="FootnoteReference"/>
          <w:rtl/>
          <w:lang w:val="en-US" w:bidi="he-IL"/>
        </w:rPr>
        <w:footnoteReference w:id="122"/>
      </w:r>
    </w:p>
    <w:p w14:paraId="5054C5B0" w14:textId="77777777" w:rsidR="0009007A" w:rsidRDefault="00000000">
      <w:pPr>
        <w:pStyle w:val="Heading2"/>
        <w:rPr>
          <w:lang w:val="en-US" w:bidi="he-IL"/>
        </w:rPr>
      </w:pPr>
      <w:r>
        <w:rPr>
          <w:rFonts w:ascii="Times New Roman" w:hAnsi="Times New Roman"/>
          <w:rtl/>
          <w:lang w:val="en-US" w:bidi="he-IL"/>
        </w:rPr>
        <w:t>משנה</w:t>
      </w:r>
      <w:r>
        <w:rPr>
          <w:rtl/>
          <w:lang w:val="en-US" w:bidi="he-IL"/>
        </w:rPr>
        <w:t xml:space="preserve"> </w:t>
      </w:r>
      <w:r>
        <w:rPr>
          <w:rFonts w:ascii="Times New Roman" w:hAnsi="Times New Roman"/>
          <w:rtl/>
          <w:lang w:val="en-US" w:bidi="he-IL"/>
        </w:rPr>
        <w:t>א</w:t>
      </w:r>
      <w:r>
        <w:rPr>
          <w:rtl/>
          <w:lang w:val="en-US" w:bidi="he-IL"/>
        </w:rPr>
        <w:t>:</w:t>
      </w:r>
      <w:r>
        <w:rPr>
          <w:rStyle w:val="FootnoteReference"/>
          <w:rtl/>
          <w:lang w:val="en-US" w:bidi="he-IL"/>
        </w:rPr>
        <w:footnoteReference w:id="123"/>
      </w:r>
    </w:p>
    <w:p w14:paraId="5F30CF0C" w14:textId="77777777" w:rsidR="0009007A" w:rsidRDefault="00000000">
      <w:pPr>
        <w:rPr>
          <w:lang w:val="en-US" w:bidi="he-IL"/>
        </w:rPr>
      </w:pPr>
      <w:r>
        <w:rPr>
          <w:rtl/>
          <w:lang w:val="en-US" w:bidi="he-IL"/>
        </w:rPr>
        <w:t>(טו:- יז:)</w:t>
      </w:r>
    </w:p>
    <w:p w14:paraId="6E83DE97" w14:textId="77777777" w:rsidR="0009007A" w:rsidRDefault="00000000">
      <w:pPr>
        <w:rPr>
          <w:lang w:val="en-US" w:bidi="he-IL"/>
        </w:rPr>
      </w:pPr>
      <w:r>
        <w:rPr>
          <w:rStyle w:val="FootnoteReference"/>
          <w:rtl/>
          <w:lang w:val="en-US" w:bidi="he-IL"/>
        </w:rPr>
        <w:footnoteReference w:id="124"/>
      </w:r>
      <w:r>
        <w:rPr>
          <w:rtl/>
          <w:lang w:val="en-US" w:bidi="he-IL"/>
        </w:rPr>
        <w:t>יוֹם טוֹב שֶׁחָל לִהְיוֹת עֶרֶב שַׁבָּת</w:t>
      </w:r>
      <w:r>
        <w:rPr>
          <w:rStyle w:val="FootnoteReference"/>
          <w:rtl/>
          <w:lang w:val="en-US" w:bidi="he-IL"/>
        </w:rPr>
        <w:footnoteReference w:id="125"/>
      </w:r>
      <w:r>
        <w:rPr>
          <w:rtl/>
          <w:lang w:val="en-US" w:bidi="he-IL"/>
        </w:rPr>
        <w:t>, לֹא יְבַשֵּׁל אָדָם בַּתְּחִלָּה מִיּוֹם טוֹב לַשַּׁבָּת</w:t>
      </w:r>
      <w:r>
        <w:rPr>
          <w:rStyle w:val="FootnoteReference"/>
          <w:rtl/>
          <w:lang w:val="en-US" w:bidi="he-IL"/>
        </w:rPr>
        <w:footnoteReference w:id="126"/>
      </w:r>
      <w:r>
        <w:rPr>
          <w:rtl/>
          <w:lang w:val="en-US" w:bidi="he-IL"/>
        </w:rPr>
        <w:t>, אֲבָל מְבַשֵּׁל הוּא לְיוֹם טוֹב, וְאִם הוֹתִיר</w:t>
      </w:r>
      <w:r>
        <w:rPr>
          <w:rStyle w:val="FootnoteReference"/>
          <w:rtl/>
          <w:lang w:val="en-US" w:bidi="he-IL"/>
        </w:rPr>
        <w:footnoteReference w:id="127"/>
      </w:r>
      <w:r>
        <w:rPr>
          <w:rtl/>
          <w:lang w:val="en-US" w:bidi="he-IL"/>
        </w:rPr>
        <w:t>, הוֹתִיר לַשַּׁבָּת</w:t>
      </w:r>
      <w:r>
        <w:rPr>
          <w:rStyle w:val="FootnoteReference"/>
          <w:rtl/>
          <w:lang w:val="en-US" w:bidi="he-IL"/>
        </w:rPr>
        <w:footnoteReference w:id="128"/>
      </w:r>
      <w:r>
        <w:rPr>
          <w:rtl/>
          <w:lang w:val="en-US" w:bidi="he-IL"/>
        </w:rPr>
        <w:t>, וְעוֹשֶׂה תַבְשִׁיל</w:t>
      </w:r>
      <w:r>
        <w:rPr>
          <w:rStyle w:val="FootnoteReference"/>
          <w:rtl/>
          <w:lang w:val="en-US" w:bidi="he-IL"/>
        </w:rPr>
        <w:footnoteReference w:id="129"/>
      </w:r>
      <w:r>
        <w:rPr>
          <w:rtl/>
          <w:lang w:val="en-US" w:bidi="he-IL"/>
        </w:rPr>
        <w:t xml:space="preserve"> מֵעֶרֶב יוֹם טוֹב וְסוֹמֵךְ עָלָיו לַשַּׁבָּת. בֵּית שַׁמַּאי אוֹמְרִים, שְׁנֵי תַבְשִׁילִין. וּבֵית הִלֵּל אוֹמְרִים, </w:t>
      </w:r>
      <w:r>
        <w:rPr>
          <w:rtl/>
          <w:lang w:val="en-US" w:bidi="he-IL"/>
        </w:rPr>
        <w:lastRenderedPageBreak/>
        <w:t>תַּבְשִׁיל אֶחָד</w:t>
      </w:r>
      <w:r>
        <w:rPr>
          <w:rStyle w:val="FootnoteReference"/>
          <w:rtl/>
          <w:lang w:val="en-US" w:bidi="he-IL"/>
        </w:rPr>
        <w:footnoteReference w:id="130"/>
      </w:r>
      <w:r>
        <w:rPr>
          <w:rtl/>
          <w:lang w:val="en-US" w:bidi="he-IL"/>
        </w:rPr>
        <w:t>. וְשָׁוִין בְּדָג וּבֵיצָה שֶׁעָלָיו שֶׁהֵן שְׁנֵי תַבְשִׁילִין. אֲכָלוֹ</w:t>
      </w:r>
      <w:r>
        <w:rPr>
          <w:rStyle w:val="FootnoteReference"/>
          <w:rtl/>
          <w:lang w:val="en-US" w:bidi="he-IL"/>
        </w:rPr>
        <w:footnoteReference w:id="131"/>
      </w:r>
      <w:r>
        <w:rPr>
          <w:rtl/>
          <w:lang w:val="en-US" w:bidi="he-IL"/>
        </w:rPr>
        <w:t xml:space="preserve"> אוֹ שֶׁאָבַד, לֹא יְבַשֵּׁל עָלָיו בַּתְּחִלָּה</w:t>
      </w:r>
      <w:r>
        <w:rPr>
          <w:rStyle w:val="FootnoteReference"/>
          <w:rtl/>
          <w:lang w:val="en-US" w:bidi="he-IL"/>
        </w:rPr>
        <w:footnoteReference w:id="132"/>
      </w:r>
      <w:r>
        <w:rPr>
          <w:rtl/>
          <w:lang w:val="en-US" w:bidi="he-IL"/>
        </w:rPr>
        <w:t>. וְאִם שִׁיֵּר מִמֶּנּוּ כָל שֶׁהוּא</w:t>
      </w:r>
      <w:r>
        <w:rPr>
          <w:rStyle w:val="FootnoteReference"/>
          <w:rtl/>
          <w:lang w:val="en-US" w:bidi="he-IL"/>
        </w:rPr>
        <w:footnoteReference w:id="133"/>
      </w:r>
      <w:r>
        <w:rPr>
          <w:rtl/>
          <w:lang w:val="en-US" w:bidi="he-IL"/>
        </w:rPr>
        <w:t>, סוֹמֵךְ עָלָיו לַשַּׁבָּת</w:t>
      </w:r>
      <w:r>
        <w:rPr>
          <w:rStyle w:val="FootnoteReference"/>
          <w:rtl/>
          <w:lang w:val="en-US" w:bidi="he-IL"/>
        </w:rPr>
        <w:footnoteReference w:id="134"/>
      </w:r>
      <w:r>
        <w:rPr>
          <w:rtl/>
          <w:lang w:val="en-US" w:bidi="he-IL"/>
        </w:rPr>
        <w:t>:</w:t>
      </w:r>
    </w:p>
    <w:p w14:paraId="53FF41E3" w14:textId="77777777" w:rsidR="0009007A" w:rsidRDefault="00000000">
      <w:pPr>
        <w:pStyle w:val="Heading2"/>
        <w:rPr>
          <w:lang w:val="en-US" w:bidi="he-IL"/>
        </w:rPr>
      </w:pPr>
      <w:r>
        <w:rPr>
          <w:rFonts w:ascii="Times New Roman" w:hAnsi="Times New Roman"/>
          <w:rtl/>
          <w:lang w:val="en-US" w:bidi="he-IL"/>
        </w:rPr>
        <w:t>משנה</w:t>
      </w:r>
      <w:r>
        <w:rPr>
          <w:rtl/>
          <w:lang w:val="en-US" w:bidi="he-IL"/>
        </w:rPr>
        <w:t xml:space="preserve"> </w:t>
      </w:r>
      <w:r>
        <w:rPr>
          <w:rFonts w:ascii="Times New Roman" w:hAnsi="Times New Roman"/>
          <w:rtl/>
          <w:lang w:val="en-US" w:bidi="he-IL"/>
        </w:rPr>
        <w:t>ב</w:t>
      </w:r>
      <w:r>
        <w:rPr>
          <w:rtl/>
          <w:lang w:val="en-US" w:bidi="he-IL"/>
        </w:rPr>
        <w:t>:</w:t>
      </w:r>
      <w:r>
        <w:rPr>
          <w:rStyle w:val="FootnoteReference"/>
          <w:rtl/>
          <w:lang w:val="en-US" w:bidi="he-IL"/>
        </w:rPr>
        <w:footnoteReference w:id="135"/>
      </w:r>
    </w:p>
    <w:p w14:paraId="028F8533" w14:textId="77777777" w:rsidR="0009007A" w:rsidRDefault="00000000">
      <w:pPr>
        <w:rPr>
          <w:lang w:val="en-US" w:bidi="he-IL"/>
        </w:rPr>
      </w:pPr>
      <w:r>
        <w:rPr>
          <w:rtl/>
          <w:lang w:val="en-US" w:bidi="he-IL"/>
        </w:rPr>
        <w:t>(יז:- יט.)</w:t>
      </w:r>
    </w:p>
    <w:p w14:paraId="56F59FF0" w14:textId="77777777" w:rsidR="0009007A" w:rsidRDefault="00000000">
      <w:pPr>
        <w:rPr>
          <w:lang w:val="en-US" w:bidi="he-IL"/>
        </w:rPr>
      </w:pPr>
      <w:r>
        <w:rPr>
          <w:rStyle w:val="FootnoteReference"/>
          <w:rtl/>
          <w:lang w:val="en-US" w:bidi="he-IL"/>
        </w:rPr>
        <w:footnoteReference w:id="136"/>
      </w:r>
      <w:r>
        <w:rPr>
          <w:rtl/>
          <w:lang w:val="en-US" w:bidi="he-IL"/>
        </w:rPr>
        <w:t>חָל לִהְיוֹת אַחַר הַשַּׁבָּת</w:t>
      </w:r>
      <w:r>
        <w:rPr>
          <w:rStyle w:val="FootnoteReference"/>
          <w:rtl/>
          <w:lang w:val="en-US" w:bidi="he-IL"/>
        </w:rPr>
        <w:footnoteReference w:id="137"/>
      </w:r>
      <w:r>
        <w:rPr>
          <w:rtl/>
          <w:lang w:val="en-US" w:bidi="he-IL"/>
        </w:rPr>
        <w:t>, בֵּית שַׁמַּאי אוֹמְרִים, מַטְבִּילִין אֶת הַכֹּל מִלִּפְנֵי הַשַּׁבָּת</w:t>
      </w:r>
      <w:r>
        <w:rPr>
          <w:rStyle w:val="FootnoteReference"/>
          <w:rtl/>
          <w:lang w:val="en-US" w:bidi="he-IL"/>
        </w:rPr>
        <w:footnoteReference w:id="138"/>
      </w:r>
      <w:r>
        <w:rPr>
          <w:rtl/>
          <w:lang w:val="en-US" w:bidi="he-IL"/>
        </w:rPr>
        <w:t>, וּבֵית הִלֵּל אוֹמְרִים, כֵּלִים מִלִּפְנֵי הַשַּׁבָּת, וְאָדָם בַּשַּׁבָּת</w:t>
      </w:r>
      <w:r>
        <w:rPr>
          <w:rStyle w:val="FootnoteReference"/>
          <w:rtl/>
          <w:lang w:val="en-US" w:bidi="he-IL"/>
        </w:rPr>
        <w:footnoteReference w:id="139"/>
      </w:r>
      <w:r>
        <w:rPr>
          <w:rtl/>
          <w:lang w:val="en-US" w:bidi="he-IL"/>
        </w:rPr>
        <w:t>:</w:t>
      </w:r>
      <w:r>
        <w:rPr>
          <w:rStyle w:val="FootnoteReference"/>
          <w:rtl/>
          <w:lang w:val="en-US" w:bidi="he-IL"/>
        </w:rPr>
        <w:footnoteReference w:id="140"/>
      </w:r>
    </w:p>
    <w:p w14:paraId="28058CB0" w14:textId="77777777" w:rsidR="0009007A" w:rsidRDefault="00000000">
      <w:pPr>
        <w:pStyle w:val="Heading2"/>
        <w:rPr>
          <w:lang w:val="en-US" w:bidi="he-IL"/>
        </w:rPr>
      </w:pPr>
      <w:r>
        <w:rPr>
          <w:rFonts w:ascii="Times New Roman" w:hAnsi="Times New Roman"/>
          <w:rtl/>
          <w:lang w:val="en-US" w:bidi="he-IL"/>
        </w:rPr>
        <w:lastRenderedPageBreak/>
        <w:t>משנה</w:t>
      </w:r>
      <w:r>
        <w:rPr>
          <w:rtl/>
          <w:lang w:val="en-US" w:bidi="he-IL"/>
        </w:rPr>
        <w:t xml:space="preserve"> </w:t>
      </w:r>
      <w:r>
        <w:rPr>
          <w:rFonts w:ascii="Times New Roman" w:hAnsi="Times New Roman"/>
          <w:rtl/>
          <w:lang w:val="en-US" w:bidi="he-IL"/>
        </w:rPr>
        <w:t>ג</w:t>
      </w:r>
      <w:r>
        <w:rPr>
          <w:rtl/>
          <w:lang w:val="en-US" w:bidi="he-IL"/>
        </w:rPr>
        <w:t>:</w:t>
      </w:r>
      <w:r>
        <w:rPr>
          <w:rStyle w:val="FootnoteReference"/>
          <w:rtl/>
          <w:lang w:val="en-US" w:bidi="he-IL"/>
        </w:rPr>
        <w:footnoteReference w:id="141"/>
      </w:r>
    </w:p>
    <w:p w14:paraId="77F305E3" w14:textId="77777777" w:rsidR="0009007A" w:rsidRDefault="00000000">
      <w:pPr>
        <w:rPr>
          <w:lang w:val="en-US" w:bidi="he-IL"/>
        </w:rPr>
      </w:pPr>
      <w:r>
        <w:rPr>
          <w:rtl/>
          <w:lang w:val="en-US" w:bidi="he-IL"/>
        </w:rPr>
        <w:t>(יז:- יט.)</w:t>
      </w:r>
    </w:p>
    <w:p w14:paraId="4135E062" w14:textId="77777777" w:rsidR="0009007A" w:rsidRDefault="00000000">
      <w:pPr>
        <w:rPr>
          <w:lang w:val="en-US" w:bidi="he-IL"/>
        </w:rPr>
      </w:pPr>
      <w:r>
        <w:rPr>
          <w:rStyle w:val="FootnoteReference"/>
          <w:rtl/>
          <w:lang w:val="en-US" w:bidi="he-IL"/>
        </w:rPr>
        <w:footnoteReference w:id="142"/>
      </w:r>
      <w:r>
        <w:rPr>
          <w:rtl/>
          <w:lang w:val="en-US" w:bidi="he-IL"/>
        </w:rPr>
        <w:t>וְשָׁוִין שֶׁמַּשִּׁיקִין אֶת הַמַּיִם</w:t>
      </w:r>
      <w:r>
        <w:rPr>
          <w:rStyle w:val="FootnoteReference"/>
          <w:rtl/>
          <w:lang w:val="en-US" w:bidi="he-IL"/>
        </w:rPr>
        <w:footnoteReference w:id="143"/>
      </w:r>
      <w:r>
        <w:rPr>
          <w:rStyle w:val="FootnoteReference"/>
          <w:rtl/>
          <w:lang w:val="en-US" w:bidi="he-IL"/>
        </w:rPr>
        <w:footnoteReference w:id="144"/>
      </w:r>
      <w:r>
        <w:rPr>
          <w:rtl/>
          <w:lang w:val="en-US" w:bidi="he-IL"/>
        </w:rPr>
        <w:t xml:space="preserve"> בִּכְלִי אֶבֶן</w:t>
      </w:r>
      <w:r>
        <w:rPr>
          <w:rStyle w:val="FootnoteReference"/>
          <w:rtl/>
          <w:lang w:val="en-US" w:bidi="he-IL"/>
        </w:rPr>
        <w:footnoteReference w:id="145"/>
      </w:r>
      <w:r>
        <w:rPr>
          <w:rtl/>
          <w:lang w:val="en-US" w:bidi="he-IL"/>
        </w:rPr>
        <w:t xml:space="preserve"> לְטַהֲרָן, אֲבָל לֹא מַטְבִּילִין</w:t>
      </w:r>
      <w:r>
        <w:rPr>
          <w:rStyle w:val="FootnoteReference"/>
          <w:rtl/>
          <w:lang w:val="en-US" w:bidi="he-IL"/>
        </w:rPr>
        <w:footnoteReference w:id="146"/>
      </w:r>
      <w:r>
        <w:rPr>
          <w:rStyle w:val="FootnoteReference"/>
          <w:rtl/>
          <w:lang w:val="en-US" w:bidi="he-IL"/>
        </w:rPr>
        <w:footnoteReference w:id="147"/>
      </w:r>
      <w:r>
        <w:rPr>
          <w:rStyle w:val="FootnoteReference"/>
          <w:rtl/>
          <w:lang w:val="en-US" w:bidi="he-IL"/>
        </w:rPr>
        <w:footnoteReference w:id="148"/>
      </w:r>
      <w:r>
        <w:rPr>
          <w:rtl/>
          <w:lang w:val="en-US" w:bidi="he-IL"/>
        </w:rPr>
        <w:t>. וּמַטְבִּילִין מִגַּב לְגַב</w:t>
      </w:r>
      <w:r>
        <w:rPr>
          <w:rStyle w:val="FootnoteReference"/>
          <w:rtl/>
          <w:lang w:val="en-US" w:bidi="he-IL"/>
        </w:rPr>
        <w:footnoteReference w:id="149"/>
      </w:r>
      <w:r>
        <w:rPr>
          <w:rtl/>
          <w:lang w:val="en-US" w:bidi="he-IL"/>
        </w:rPr>
        <w:t xml:space="preserve"> וּמֵחֲבוּרָה לַחֲבוּרָה</w:t>
      </w:r>
      <w:r>
        <w:rPr>
          <w:rStyle w:val="FootnoteReference"/>
          <w:rtl/>
          <w:lang w:val="en-US" w:bidi="he-IL"/>
        </w:rPr>
        <w:footnoteReference w:id="150"/>
      </w:r>
      <w:r>
        <w:rPr>
          <w:rtl/>
          <w:lang w:val="en-US" w:bidi="he-IL"/>
        </w:rPr>
        <w:t>:</w:t>
      </w:r>
      <w:r>
        <w:rPr>
          <w:rStyle w:val="FootnoteReference"/>
          <w:rtl/>
          <w:lang w:val="en-US" w:bidi="he-IL"/>
        </w:rPr>
        <w:footnoteReference w:id="151"/>
      </w:r>
    </w:p>
    <w:p w14:paraId="4AEDE073" w14:textId="77777777" w:rsidR="0009007A" w:rsidRDefault="00000000">
      <w:pPr>
        <w:pStyle w:val="Heading2"/>
        <w:rPr>
          <w:lang w:val="en-US" w:bidi="he-IL"/>
        </w:rPr>
      </w:pPr>
      <w:r>
        <w:rPr>
          <w:rFonts w:ascii="Times New Roman" w:hAnsi="Times New Roman"/>
          <w:rtl/>
          <w:lang w:val="en-US" w:bidi="he-IL"/>
        </w:rPr>
        <w:t>משנה</w:t>
      </w:r>
      <w:r>
        <w:rPr>
          <w:rtl/>
          <w:lang w:val="en-US" w:bidi="he-IL"/>
        </w:rPr>
        <w:t xml:space="preserve"> </w:t>
      </w:r>
      <w:r>
        <w:rPr>
          <w:rFonts w:ascii="Times New Roman" w:hAnsi="Times New Roman"/>
          <w:rtl/>
          <w:lang w:val="en-US" w:bidi="he-IL"/>
        </w:rPr>
        <w:t>ד</w:t>
      </w:r>
      <w:r>
        <w:rPr>
          <w:rtl/>
          <w:lang w:val="en-US" w:bidi="he-IL"/>
        </w:rPr>
        <w:t>:</w:t>
      </w:r>
      <w:r>
        <w:rPr>
          <w:rStyle w:val="FootnoteReference"/>
          <w:rtl/>
          <w:lang w:val="en-US" w:bidi="he-IL"/>
        </w:rPr>
        <w:footnoteReference w:id="152"/>
      </w:r>
    </w:p>
    <w:p w14:paraId="22C8753E" w14:textId="77777777" w:rsidR="0009007A" w:rsidRDefault="00000000">
      <w:pPr>
        <w:rPr>
          <w:lang w:val="en-US" w:bidi="he-IL"/>
        </w:rPr>
      </w:pPr>
      <w:r>
        <w:rPr>
          <w:rtl/>
          <w:lang w:val="en-US" w:bidi="he-IL"/>
        </w:rPr>
        <w:t>(יט.- כא:)</w:t>
      </w:r>
    </w:p>
    <w:p w14:paraId="7F46A0B7" w14:textId="77777777" w:rsidR="0009007A" w:rsidRDefault="00000000">
      <w:pPr>
        <w:rPr>
          <w:lang w:val="en-US" w:bidi="he-IL"/>
        </w:rPr>
      </w:pPr>
      <w:r>
        <w:rPr>
          <w:rStyle w:val="FootnoteReference"/>
          <w:rtl/>
          <w:lang w:val="en-US" w:bidi="he-IL"/>
        </w:rPr>
        <w:footnoteReference w:id="153"/>
      </w:r>
      <w:r>
        <w:rPr>
          <w:rtl/>
          <w:lang w:val="en-US" w:bidi="he-IL"/>
        </w:rPr>
        <w:t>בֵּית שַׁמַּאי אוֹמְרִים, מְבִיאִין שְׁלָמִים</w:t>
      </w:r>
      <w:r>
        <w:rPr>
          <w:rStyle w:val="FootnoteReference"/>
          <w:rtl/>
          <w:lang w:val="en-US" w:bidi="he-IL"/>
        </w:rPr>
        <w:footnoteReference w:id="154"/>
      </w:r>
      <w:r>
        <w:rPr>
          <w:rtl/>
          <w:lang w:val="en-US" w:bidi="he-IL"/>
        </w:rPr>
        <w:t xml:space="preserve"> וְאֵין סוֹמְכִין</w:t>
      </w:r>
      <w:r>
        <w:rPr>
          <w:rStyle w:val="FootnoteReference"/>
          <w:rtl/>
          <w:lang w:val="en-US" w:bidi="he-IL"/>
        </w:rPr>
        <w:footnoteReference w:id="155"/>
      </w:r>
      <w:r>
        <w:rPr>
          <w:rtl/>
          <w:lang w:val="en-US" w:bidi="he-IL"/>
        </w:rPr>
        <w:t xml:space="preserve"> עֲלֵיהֶן</w:t>
      </w:r>
      <w:r>
        <w:rPr>
          <w:rStyle w:val="FootnoteReference"/>
          <w:rtl/>
          <w:lang w:val="en-US" w:bidi="he-IL"/>
        </w:rPr>
        <w:footnoteReference w:id="156"/>
      </w:r>
      <w:r>
        <w:rPr>
          <w:rtl/>
          <w:lang w:val="en-US" w:bidi="he-IL"/>
        </w:rPr>
        <w:t>, אֲבָל לֹא עוֹלוֹת</w:t>
      </w:r>
      <w:r>
        <w:rPr>
          <w:rStyle w:val="FootnoteReference"/>
          <w:rtl/>
          <w:lang w:val="en-US" w:bidi="he-IL"/>
        </w:rPr>
        <w:footnoteReference w:id="157"/>
      </w:r>
      <w:r>
        <w:rPr>
          <w:rtl/>
          <w:lang w:val="en-US" w:bidi="he-IL"/>
        </w:rPr>
        <w:t>. וּבֵית הִלֵּל אוֹמְרִים, מְבִיאִין שְׁלָמִים</w:t>
      </w:r>
      <w:r>
        <w:rPr>
          <w:rStyle w:val="FootnoteReference"/>
          <w:rtl/>
          <w:lang w:val="en-US" w:bidi="he-IL"/>
        </w:rPr>
        <w:footnoteReference w:id="158"/>
      </w:r>
      <w:r>
        <w:rPr>
          <w:rtl/>
          <w:lang w:val="en-US" w:bidi="he-IL"/>
        </w:rPr>
        <w:t xml:space="preserve"> וְעוֹלוֹת</w:t>
      </w:r>
      <w:r>
        <w:rPr>
          <w:rStyle w:val="FootnoteReference"/>
          <w:rtl/>
          <w:lang w:val="en-US" w:bidi="he-IL"/>
        </w:rPr>
        <w:footnoteReference w:id="159"/>
      </w:r>
      <w:r>
        <w:rPr>
          <w:rtl/>
          <w:lang w:val="en-US" w:bidi="he-IL"/>
        </w:rPr>
        <w:t xml:space="preserve"> וְסוֹמְכִין עֲלֵיהֶם</w:t>
      </w:r>
      <w:r>
        <w:rPr>
          <w:rStyle w:val="FootnoteReference"/>
          <w:rtl/>
          <w:lang w:val="en-US" w:bidi="he-IL"/>
        </w:rPr>
        <w:footnoteReference w:id="160"/>
      </w:r>
      <w:r>
        <w:rPr>
          <w:rtl/>
          <w:lang w:val="en-US" w:bidi="he-IL"/>
        </w:rPr>
        <w:t>:</w:t>
      </w:r>
      <w:r>
        <w:rPr>
          <w:rStyle w:val="FootnoteReference"/>
          <w:rtl/>
          <w:lang w:val="en-US" w:bidi="he-IL"/>
        </w:rPr>
        <w:footnoteReference w:id="161"/>
      </w:r>
    </w:p>
    <w:p w14:paraId="53907A79" w14:textId="77777777" w:rsidR="0009007A" w:rsidRDefault="00000000">
      <w:pPr>
        <w:pStyle w:val="Heading2"/>
        <w:rPr>
          <w:lang w:val="en-US" w:bidi="he-IL"/>
        </w:rPr>
      </w:pPr>
      <w:r>
        <w:rPr>
          <w:rFonts w:ascii="Times New Roman" w:hAnsi="Times New Roman"/>
          <w:rtl/>
          <w:lang w:val="en-US" w:bidi="he-IL"/>
        </w:rPr>
        <w:lastRenderedPageBreak/>
        <w:t>משנה</w:t>
      </w:r>
      <w:r>
        <w:rPr>
          <w:rtl/>
          <w:lang w:val="en-US" w:bidi="he-IL"/>
        </w:rPr>
        <w:t xml:space="preserve"> </w:t>
      </w:r>
      <w:r>
        <w:rPr>
          <w:rFonts w:ascii="Times New Roman" w:hAnsi="Times New Roman"/>
          <w:rtl/>
          <w:lang w:val="en-US" w:bidi="he-IL"/>
        </w:rPr>
        <w:t>ה</w:t>
      </w:r>
      <w:r>
        <w:rPr>
          <w:rtl/>
          <w:lang w:val="en-US" w:bidi="he-IL"/>
        </w:rPr>
        <w:t>:</w:t>
      </w:r>
      <w:r>
        <w:rPr>
          <w:rStyle w:val="FootnoteReference"/>
          <w:rtl/>
          <w:lang w:val="en-US" w:bidi="he-IL"/>
        </w:rPr>
        <w:footnoteReference w:id="162"/>
      </w:r>
    </w:p>
    <w:p w14:paraId="68B766AC" w14:textId="77777777" w:rsidR="0009007A" w:rsidRDefault="00000000">
      <w:pPr>
        <w:rPr>
          <w:lang w:val="en-US" w:bidi="he-IL"/>
        </w:rPr>
      </w:pPr>
      <w:r>
        <w:rPr>
          <w:rtl/>
          <w:lang w:val="en-US" w:bidi="he-IL"/>
        </w:rPr>
        <w:t>(כא:)</w:t>
      </w:r>
    </w:p>
    <w:p w14:paraId="5EEAB1D8" w14:textId="77777777" w:rsidR="0009007A" w:rsidRDefault="00000000">
      <w:pPr>
        <w:rPr>
          <w:lang w:val="en-US" w:bidi="he-IL"/>
        </w:rPr>
      </w:pPr>
      <w:r>
        <w:rPr>
          <w:rStyle w:val="FootnoteReference"/>
          <w:rtl/>
          <w:lang w:val="en-US" w:bidi="he-IL"/>
        </w:rPr>
        <w:footnoteReference w:id="163"/>
      </w:r>
      <w:r>
        <w:rPr>
          <w:rtl/>
          <w:lang w:val="en-US" w:bidi="he-IL"/>
        </w:rPr>
        <w:t>בֵּית שַׁמַּאי אוֹמְרִים, לֹא יָחֵם אָדָם חַמִּין לְרַגְלָיו</w:t>
      </w:r>
      <w:r>
        <w:rPr>
          <w:rStyle w:val="FootnoteReference"/>
          <w:rtl/>
          <w:lang w:val="en-US" w:bidi="he-IL"/>
        </w:rPr>
        <w:footnoteReference w:id="164"/>
      </w:r>
      <w:r>
        <w:rPr>
          <w:rtl/>
          <w:lang w:val="en-US" w:bidi="he-IL"/>
        </w:rPr>
        <w:t>, אֶלָּא אִם כֵּן רְאוּיִין לִשְׁתִיָּה</w:t>
      </w:r>
      <w:r>
        <w:rPr>
          <w:rStyle w:val="FootnoteReference"/>
          <w:rtl/>
          <w:lang w:val="en-US" w:bidi="he-IL"/>
        </w:rPr>
        <w:footnoteReference w:id="165"/>
      </w:r>
      <w:r>
        <w:rPr>
          <w:rtl/>
          <w:lang w:val="en-US" w:bidi="he-IL"/>
        </w:rPr>
        <w:t>. וּבֵית הִלֵּל מַתִּירִין</w:t>
      </w:r>
      <w:r>
        <w:rPr>
          <w:rStyle w:val="FootnoteReference"/>
          <w:rtl/>
          <w:lang w:val="en-US" w:bidi="he-IL"/>
        </w:rPr>
        <w:footnoteReference w:id="166"/>
      </w:r>
      <w:r>
        <w:rPr>
          <w:rtl/>
          <w:lang w:val="en-US" w:bidi="he-IL"/>
        </w:rPr>
        <w:t>. עוֹשֶׂה אָדָם מְדוּרָה וּמִתְחַמֵּם כְּנֶגְדָּהּ</w:t>
      </w:r>
      <w:r>
        <w:rPr>
          <w:rStyle w:val="FootnoteReference"/>
          <w:rtl/>
          <w:lang w:val="en-US" w:bidi="he-IL"/>
        </w:rPr>
        <w:footnoteReference w:id="167"/>
      </w:r>
      <w:r>
        <w:rPr>
          <w:rStyle w:val="FootnoteReference"/>
          <w:rtl/>
          <w:lang w:val="en-US" w:bidi="he-IL"/>
        </w:rPr>
        <w:footnoteReference w:id="168"/>
      </w:r>
      <w:r>
        <w:rPr>
          <w:rtl/>
          <w:lang w:val="en-US" w:bidi="he-IL"/>
        </w:rPr>
        <w:t>:</w:t>
      </w:r>
      <w:r>
        <w:rPr>
          <w:rStyle w:val="FootnoteReference"/>
          <w:rtl/>
          <w:lang w:val="en-US" w:bidi="he-IL"/>
        </w:rPr>
        <w:footnoteReference w:id="169"/>
      </w:r>
    </w:p>
    <w:p w14:paraId="6CB591BE" w14:textId="77777777" w:rsidR="0009007A" w:rsidRDefault="00000000">
      <w:pPr>
        <w:pStyle w:val="Heading2"/>
        <w:rPr>
          <w:lang w:val="en-US" w:bidi="he-IL"/>
        </w:rPr>
      </w:pPr>
      <w:r>
        <w:rPr>
          <w:rtl/>
        </w:rPr>
        <w:lastRenderedPageBreak/>
        <w:t>משנה ו:</w:t>
      </w:r>
      <w:r>
        <w:rPr>
          <w:rStyle w:val="FootnoteReference"/>
          <w:rtl/>
        </w:rPr>
        <w:footnoteReference w:id="170"/>
      </w:r>
    </w:p>
    <w:p w14:paraId="0CA523E8" w14:textId="77777777" w:rsidR="0009007A" w:rsidRDefault="00000000">
      <w:pPr>
        <w:rPr>
          <w:lang w:val="en-US" w:bidi="he-IL"/>
        </w:rPr>
      </w:pPr>
      <w:r>
        <w:rPr>
          <w:rtl/>
          <w:lang w:val="en-US" w:bidi="he-IL"/>
        </w:rPr>
        <w:t>(כא:- כב:)</w:t>
      </w:r>
    </w:p>
    <w:p w14:paraId="365F34C1" w14:textId="77777777" w:rsidR="0009007A" w:rsidRDefault="00000000">
      <w:pPr>
        <w:rPr>
          <w:lang w:val="en-US" w:bidi="he-IL"/>
        </w:rPr>
      </w:pPr>
      <w:r>
        <w:rPr>
          <w:rStyle w:val="FootnoteReference"/>
          <w:rtl/>
          <w:lang w:val="en-US" w:bidi="he-IL"/>
        </w:rPr>
        <w:footnoteReference w:id="171"/>
      </w:r>
      <w:r>
        <w:rPr>
          <w:rtl/>
          <w:lang w:val="en-US" w:bidi="he-IL"/>
        </w:rPr>
        <w:t>שְׁלשָׁה דְבָרִים רַבָּן גַּמְלִיאֵל מַחֲמִיר</w:t>
      </w:r>
      <w:r>
        <w:rPr>
          <w:rStyle w:val="FootnoteReference"/>
          <w:rtl/>
          <w:lang w:val="en-US" w:bidi="he-IL"/>
        </w:rPr>
        <w:footnoteReference w:id="172"/>
      </w:r>
      <w:r>
        <w:rPr>
          <w:rtl/>
          <w:lang w:val="en-US" w:bidi="he-IL"/>
        </w:rPr>
        <w:t xml:space="preserve"> כְּדִבְרֵי בֵית שַׁמַּאי, אֵין טוֹמְנִין אֶת הַחַמִּין מִיּוֹם טוֹב לַשַּׁבָּת</w:t>
      </w:r>
      <w:r>
        <w:rPr>
          <w:rStyle w:val="FootnoteReference"/>
          <w:rtl/>
          <w:lang w:val="en-US" w:bidi="he-IL"/>
        </w:rPr>
        <w:footnoteReference w:id="173"/>
      </w:r>
      <w:r>
        <w:rPr>
          <w:rtl/>
          <w:lang w:val="en-US" w:bidi="he-IL"/>
        </w:rPr>
        <w:t>, וְאֵין זוֹקְפִין אֶת הַמְּנוֹרָה בְיוֹם טוֹב</w:t>
      </w:r>
      <w:r>
        <w:rPr>
          <w:rStyle w:val="FootnoteReference"/>
          <w:rtl/>
          <w:lang w:val="en-US" w:bidi="he-IL"/>
        </w:rPr>
        <w:footnoteReference w:id="174"/>
      </w:r>
      <w:r>
        <w:rPr>
          <w:rtl/>
          <w:lang w:val="en-US" w:bidi="he-IL"/>
        </w:rPr>
        <w:t>, וְאֵין אוֹפִין פִּתִּין גְּרִיצִין אֶלָּא רְקִיקִין. אָמַר רַבָּן גַּמְלִיאֵל, מִימֵיהֶן שֶׁל בֵּית אַבָּא לֹא הָיוּ אוֹפִין פִּתִּין גְּרִיצִין, אֶלָּא רְקִיקִין</w:t>
      </w:r>
      <w:r>
        <w:rPr>
          <w:rStyle w:val="FootnoteReference"/>
          <w:rtl/>
          <w:lang w:val="en-US" w:bidi="he-IL"/>
        </w:rPr>
        <w:footnoteReference w:id="175"/>
      </w:r>
      <w:r>
        <w:rPr>
          <w:rtl/>
          <w:lang w:val="en-US" w:bidi="he-IL"/>
        </w:rPr>
        <w:t>. אָמְרוּ לוֹ, מַה נַּעֲשֶׂה לְבֵית אָבִיךָ, שֶׁהָיוּ מַחֲמִירִין עַל עַצְמָן וּמְקִלִּין לְכָל יִשְׂרָאֵל, לִהְיוֹת אוֹפִין פִּתִּין גְּרִיצִין וְחֹרִי</w:t>
      </w:r>
      <w:r>
        <w:rPr>
          <w:rStyle w:val="FootnoteReference"/>
          <w:rtl/>
          <w:lang w:val="en-US" w:bidi="he-IL"/>
        </w:rPr>
        <w:footnoteReference w:id="176"/>
      </w:r>
      <w:r>
        <w:rPr>
          <w:rStyle w:val="FootnoteReference"/>
          <w:rtl/>
          <w:lang w:val="en-US" w:bidi="he-IL"/>
        </w:rPr>
        <w:footnoteReference w:id="177"/>
      </w:r>
      <w:r>
        <w:rPr>
          <w:rtl/>
          <w:lang w:val="en-US" w:bidi="he-IL"/>
        </w:rPr>
        <w:t>:</w:t>
      </w:r>
      <w:r>
        <w:rPr>
          <w:rStyle w:val="FootnoteReference"/>
          <w:rtl/>
          <w:lang w:val="en-US" w:bidi="he-IL"/>
        </w:rPr>
        <w:footnoteReference w:id="178"/>
      </w:r>
    </w:p>
    <w:p w14:paraId="7D778FCD" w14:textId="77777777" w:rsidR="0009007A" w:rsidRDefault="00000000">
      <w:pPr>
        <w:pStyle w:val="Heading2"/>
        <w:rPr>
          <w:lang w:val="en-US" w:bidi="he-IL"/>
        </w:rPr>
      </w:pPr>
      <w:r>
        <w:rPr>
          <w:rtl/>
        </w:rPr>
        <w:t>משנה ז:</w:t>
      </w:r>
      <w:r>
        <w:rPr>
          <w:rStyle w:val="FootnoteReference"/>
          <w:rtl/>
        </w:rPr>
        <w:footnoteReference w:id="179"/>
      </w:r>
    </w:p>
    <w:p w14:paraId="6ED49472" w14:textId="77777777" w:rsidR="0009007A" w:rsidRDefault="00000000">
      <w:pPr>
        <w:rPr>
          <w:lang w:val="en-US" w:bidi="he-IL"/>
        </w:rPr>
      </w:pPr>
      <w:r>
        <w:rPr>
          <w:rtl/>
          <w:lang w:val="en-US" w:bidi="he-IL"/>
        </w:rPr>
        <w:t>(כב:- כג.)</w:t>
      </w:r>
    </w:p>
    <w:p w14:paraId="6C4FC5AF" w14:textId="77777777" w:rsidR="0009007A" w:rsidRDefault="00000000">
      <w:pPr>
        <w:rPr>
          <w:lang w:val="en-US" w:bidi="he-IL"/>
        </w:rPr>
      </w:pPr>
      <w:r>
        <w:rPr>
          <w:rStyle w:val="FootnoteReference"/>
          <w:rtl/>
          <w:lang w:val="en-US" w:bidi="he-IL"/>
        </w:rPr>
        <w:footnoteReference w:id="180"/>
      </w:r>
      <w:r>
        <w:rPr>
          <w:rtl/>
          <w:lang w:val="en-US" w:bidi="he-IL"/>
        </w:rPr>
        <w:t>אַף הוּא</w:t>
      </w:r>
      <w:r>
        <w:rPr>
          <w:rStyle w:val="FootnoteReference"/>
          <w:rtl/>
          <w:lang w:val="en-US" w:bidi="he-IL"/>
        </w:rPr>
        <w:footnoteReference w:id="181"/>
      </w:r>
      <w:r>
        <w:rPr>
          <w:rtl/>
          <w:lang w:val="en-US" w:bidi="he-IL"/>
        </w:rPr>
        <w:t xml:space="preserve"> אָמַר שְׁלֹשָׁה דְבָרִים לְהָקֵל</w:t>
      </w:r>
      <w:r>
        <w:rPr>
          <w:rStyle w:val="FootnoteReference"/>
          <w:rtl/>
          <w:lang w:val="en-US" w:bidi="he-IL"/>
        </w:rPr>
        <w:footnoteReference w:id="182"/>
      </w:r>
      <w:r>
        <w:rPr>
          <w:rtl/>
          <w:lang w:val="en-US" w:bidi="he-IL"/>
        </w:rPr>
        <w:t>, מְכַבְּדִין</w:t>
      </w:r>
      <w:r>
        <w:rPr>
          <w:rStyle w:val="FootnoteReference"/>
          <w:rtl/>
          <w:lang w:val="en-US" w:bidi="he-IL"/>
        </w:rPr>
        <w:footnoteReference w:id="183"/>
      </w:r>
      <w:r>
        <w:rPr>
          <w:rtl/>
          <w:lang w:val="en-US" w:bidi="he-IL"/>
        </w:rPr>
        <w:t xml:space="preserve"> בֵּין הַמִּטּוֹת</w:t>
      </w:r>
      <w:r>
        <w:rPr>
          <w:rStyle w:val="FootnoteReference"/>
          <w:rtl/>
          <w:lang w:val="en-US" w:bidi="he-IL"/>
        </w:rPr>
        <w:footnoteReference w:id="184"/>
      </w:r>
      <w:r>
        <w:rPr>
          <w:rtl/>
          <w:lang w:val="en-US" w:bidi="he-IL"/>
        </w:rPr>
        <w:t>, וּמַנִּיחִין אֶת הַמֻּגְמָר בְּיוֹם טוֹב</w:t>
      </w:r>
      <w:r>
        <w:rPr>
          <w:rStyle w:val="FootnoteReference"/>
          <w:rtl/>
          <w:lang w:val="en-US" w:bidi="he-IL"/>
        </w:rPr>
        <w:footnoteReference w:id="185"/>
      </w:r>
      <w:r>
        <w:rPr>
          <w:rStyle w:val="FootnoteReference"/>
          <w:rtl/>
          <w:lang w:val="en-US" w:bidi="he-IL"/>
        </w:rPr>
        <w:footnoteReference w:id="186"/>
      </w:r>
      <w:r>
        <w:rPr>
          <w:rStyle w:val="FootnoteReference"/>
          <w:rtl/>
          <w:lang w:val="en-US" w:bidi="he-IL"/>
        </w:rPr>
        <w:footnoteReference w:id="187"/>
      </w:r>
      <w:r>
        <w:rPr>
          <w:rtl/>
          <w:lang w:val="en-US" w:bidi="he-IL"/>
        </w:rPr>
        <w:t>, וְעוֹשִׂין גְּדִי מְקֻלָּס בְּלֵילֵי פְסָחִים</w:t>
      </w:r>
      <w:r>
        <w:rPr>
          <w:rStyle w:val="FootnoteReference"/>
          <w:rtl/>
          <w:lang w:val="en-US" w:bidi="he-IL"/>
        </w:rPr>
        <w:footnoteReference w:id="188"/>
      </w:r>
      <w:r>
        <w:rPr>
          <w:rtl/>
          <w:lang w:val="en-US" w:bidi="he-IL"/>
        </w:rPr>
        <w:t>. וַחֲכָמִים אוֹסְרִין</w:t>
      </w:r>
      <w:r>
        <w:rPr>
          <w:rStyle w:val="FootnoteReference"/>
          <w:rtl/>
          <w:lang w:val="en-US" w:bidi="he-IL"/>
        </w:rPr>
        <w:footnoteReference w:id="189"/>
      </w:r>
      <w:r>
        <w:rPr>
          <w:rtl/>
          <w:lang w:val="en-US" w:bidi="he-IL"/>
        </w:rPr>
        <w:t>:</w:t>
      </w:r>
      <w:r>
        <w:rPr>
          <w:rStyle w:val="FootnoteReference"/>
          <w:rtl/>
          <w:lang w:val="en-US" w:bidi="he-IL"/>
        </w:rPr>
        <w:footnoteReference w:id="190"/>
      </w:r>
    </w:p>
    <w:p w14:paraId="4B5FB68C" w14:textId="77777777" w:rsidR="0009007A" w:rsidRDefault="00000000">
      <w:pPr>
        <w:pStyle w:val="Heading2"/>
      </w:pPr>
      <w:r>
        <w:rPr>
          <w:rtl/>
        </w:rPr>
        <w:lastRenderedPageBreak/>
        <w:t>משנה ח:</w:t>
      </w:r>
      <w:r>
        <w:rPr>
          <w:rStyle w:val="FootnoteReference"/>
          <w:rtl/>
        </w:rPr>
        <w:footnoteReference w:id="191"/>
      </w:r>
    </w:p>
    <w:p w14:paraId="31EAE8F5" w14:textId="77777777" w:rsidR="0009007A" w:rsidRDefault="00000000">
      <w:pPr>
        <w:rPr>
          <w:lang w:bidi="he-IL"/>
        </w:rPr>
      </w:pPr>
      <w:r>
        <w:rPr>
          <w:rtl/>
          <w:lang w:bidi="he-IL"/>
        </w:rPr>
        <w:t>(כג.)</w:t>
      </w:r>
    </w:p>
    <w:p w14:paraId="1BF7DF84" w14:textId="77777777" w:rsidR="0009007A" w:rsidRDefault="00000000">
      <w:r>
        <w:rPr>
          <w:rStyle w:val="FootnoteReference"/>
          <w:rtl/>
        </w:rPr>
        <w:footnoteReference w:id="192"/>
      </w:r>
      <w:r>
        <w:rPr>
          <w:rtl/>
        </w:rPr>
        <w:t>שְׁלשָׁה דְבָרִים רַבִּי אֶלְעָזָר בֶּן עֲזַרְיָה מַתִּיר, וַחֲכָמִים אוֹסְרִין. פָּרָתוֹ</w:t>
      </w:r>
      <w:r>
        <w:rPr>
          <w:rStyle w:val="FootnoteReference"/>
          <w:rtl/>
        </w:rPr>
        <w:footnoteReference w:id="193"/>
      </w:r>
      <w:r>
        <w:rPr>
          <w:rtl/>
        </w:rPr>
        <w:t xml:space="preserve"> יוֹצְאָה בִרְצוּעָה שֶׁבֵּין קַרְנֶיהָ</w:t>
      </w:r>
      <w:r>
        <w:rPr>
          <w:rStyle w:val="FootnoteReference"/>
          <w:rtl/>
        </w:rPr>
        <w:footnoteReference w:id="194"/>
      </w:r>
      <w:r>
        <w:rPr>
          <w:rStyle w:val="FootnoteReference"/>
          <w:rtl/>
        </w:rPr>
        <w:footnoteReference w:id="195"/>
      </w:r>
      <w:r>
        <w:rPr>
          <w:rtl/>
        </w:rPr>
        <w:t>, וּמְקָרְדִין</w:t>
      </w:r>
      <w:r>
        <w:rPr>
          <w:rStyle w:val="FootnoteReference"/>
          <w:rtl/>
        </w:rPr>
        <w:footnoteReference w:id="196"/>
      </w:r>
      <w:r>
        <w:rPr>
          <w:rtl/>
        </w:rPr>
        <w:t xml:space="preserve"> אֶת הַבְּהֵמָה בְיוֹם טוֹב</w:t>
      </w:r>
      <w:r>
        <w:rPr>
          <w:rStyle w:val="FootnoteReference"/>
          <w:rtl/>
        </w:rPr>
        <w:footnoteReference w:id="197"/>
      </w:r>
      <w:r>
        <w:rPr>
          <w:rStyle w:val="FootnoteReference"/>
          <w:rtl/>
        </w:rPr>
        <w:footnoteReference w:id="198"/>
      </w:r>
      <w:r>
        <w:rPr>
          <w:rtl/>
        </w:rPr>
        <w:t>, וְשׁוֹחֲקִין אֶת הַפִּלְפְּלִין בָּרֵחַיִם שֶׁלָּהֶם</w:t>
      </w:r>
      <w:r>
        <w:rPr>
          <w:rStyle w:val="FootnoteReference"/>
          <w:rtl/>
        </w:rPr>
        <w:footnoteReference w:id="199"/>
      </w:r>
      <w:r>
        <w:rPr>
          <w:rtl/>
        </w:rPr>
        <w:t>. רַבִּי יְהוּדָה אוֹמֵר, אֵין מְקָרְדִין אֶת הַבְּהֵמָה בְיוֹם טוֹב, מִפְּנֵי שֶׁעוֹשֶׂה חַבּוּרָה</w:t>
      </w:r>
      <w:r>
        <w:rPr>
          <w:rStyle w:val="FootnoteReference"/>
          <w:rtl/>
        </w:rPr>
        <w:footnoteReference w:id="200"/>
      </w:r>
      <w:r>
        <w:rPr>
          <w:rtl/>
        </w:rPr>
        <w:t>, אֲבָל מְקַרְצְפִין</w:t>
      </w:r>
      <w:r>
        <w:rPr>
          <w:rStyle w:val="FootnoteReference"/>
          <w:rtl/>
        </w:rPr>
        <w:footnoteReference w:id="201"/>
      </w:r>
      <w:r>
        <w:rPr>
          <w:rtl/>
        </w:rPr>
        <w:t>. וַחֲכָמִים אוֹמְרִים, אֵין מְקָרְדִין</w:t>
      </w:r>
      <w:r>
        <w:rPr>
          <w:rStyle w:val="FootnoteReference"/>
          <w:rtl/>
        </w:rPr>
        <w:footnoteReference w:id="202"/>
      </w:r>
      <w:r>
        <w:rPr>
          <w:rtl/>
        </w:rPr>
        <w:t>, אַף לֹא מְקַרְצְפִין</w:t>
      </w:r>
      <w:r>
        <w:rPr>
          <w:rStyle w:val="FootnoteReference"/>
          <w:rtl/>
        </w:rPr>
        <w:footnoteReference w:id="203"/>
      </w:r>
      <w:r>
        <w:rPr>
          <w:rtl/>
        </w:rPr>
        <w:t>:</w:t>
      </w:r>
      <w:r>
        <w:rPr>
          <w:rStyle w:val="FootnoteReference"/>
          <w:rtl/>
        </w:rPr>
        <w:footnoteReference w:id="204"/>
      </w:r>
    </w:p>
    <w:p w14:paraId="0F467CA2" w14:textId="77777777" w:rsidR="0009007A" w:rsidRDefault="00000000">
      <w:pPr>
        <w:pStyle w:val="Heading2"/>
      </w:pPr>
      <w:r>
        <w:rPr>
          <w:rtl/>
        </w:rPr>
        <w:lastRenderedPageBreak/>
        <w:t>משנה ט:</w:t>
      </w:r>
      <w:r>
        <w:rPr>
          <w:rStyle w:val="FootnoteReference"/>
          <w:rtl/>
        </w:rPr>
        <w:footnoteReference w:id="205"/>
      </w:r>
    </w:p>
    <w:p w14:paraId="1E2816BD" w14:textId="77777777" w:rsidR="0009007A" w:rsidRDefault="00000000">
      <w:pPr>
        <w:rPr>
          <w:lang w:bidi="he-IL"/>
        </w:rPr>
      </w:pPr>
      <w:r>
        <w:rPr>
          <w:rtl/>
          <w:lang w:bidi="he-IL"/>
        </w:rPr>
        <w:t>(כג:)</w:t>
      </w:r>
    </w:p>
    <w:p w14:paraId="02FD19DF" w14:textId="77777777" w:rsidR="0009007A" w:rsidRDefault="00000000">
      <w:pPr>
        <w:rPr>
          <w:lang w:bidi="he-IL"/>
        </w:rPr>
      </w:pPr>
      <w:r>
        <w:rPr>
          <w:rStyle w:val="FootnoteReference"/>
          <w:rtl/>
          <w:lang w:bidi="he-IL"/>
        </w:rPr>
        <w:footnoteReference w:id="206"/>
      </w:r>
      <w:r>
        <w:rPr>
          <w:rtl/>
          <w:lang w:bidi="he-IL"/>
        </w:rPr>
        <w:t>הָרֵחַיִם שֶׁל פִּלְפְּלִין טְמֵאָה</w:t>
      </w:r>
      <w:r>
        <w:rPr>
          <w:rStyle w:val="FootnoteReference"/>
          <w:rtl/>
          <w:lang w:bidi="he-IL"/>
        </w:rPr>
        <w:footnoteReference w:id="207"/>
      </w:r>
      <w:r>
        <w:rPr>
          <w:rtl/>
          <w:lang w:bidi="he-IL"/>
        </w:rPr>
        <w:t>, מִשּׁוּם שְׁלשָׁה כֵלִים</w:t>
      </w:r>
      <w:r>
        <w:rPr>
          <w:rStyle w:val="FootnoteReference"/>
          <w:rtl/>
          <w:lang w:bidi="he-IL"/>
        </w:rPr>
        <w:footnoteReference w:id="208"/>
      </w:r>
      <w:r>
        <w:rPr>
          <w:rtl/>
          <w:lang w:bidi="he-IL"/>
        </w:rPr>
        <w:t>, מִשּׁוּם כְּלִי קִבּוּל</w:t>
      </w:r>
      <w:r>
        <w:rPr>
          <w:rStyle w:val="FootnoteReference"/>
          <w:rtl/>
          <w:lang w:bidi="he-IL"/>
        </w:rPr>
        <w:footnoteReference w:id="209"/>
      </w:r>
      <w:r>
        <w:rPr>
          <w:rtl/>
          <w:lang w:bidi="he-IL"/>
        </w:rPr>
        <w:t>, וּמִשּׁוּם כְּלִי מַתָּכוֹת</w:t>
      </w:r>
      <w:r>
        <w:rPr>
          <w:rStyle w:val="FootnoteReference"/>
          <w:rtl/>
          <w:lang w:bidi="he-IL"/>
        </w:rPr>
        <w:footnoteReference w:id="210"/>
      </w:r>
      <w:r>
        <w:rPr>
          <w:rtl/>
          <w:lang w:bidi="he-IL"/>
        </w:rPr>
        <w:t>, וּמִשּׁוּם כְּלִי כְבָרָה</w:t>
      </w:r>
      <w:r>
        <w:rPr>
          <w:rStyle w:val="FootnoteReference"/>
          <w:rtl/>
          <w:lang w:bidi="he-IL"/>
        </w:rPr>
        <w:footnoteReference w:id="211"/>
      </w:r>
      <w:r>
        <w:rPr>
          <w:rtl/>
          <w:lang w:bidi="he-IL"/>
        </w:rPr>
        <w:t>:</w:t>
      </w:r>
      <w:r>
        <w:rPr>
          <w:rStyle w:val="FootnoteReference"/>
          <w:rtl/>
          <w:lang w:bidi="he-IL"/>
        </w:rPr>
        <w:footnoteReference w:id="212"/>
      </w:r>
    </w:p>
    <w:p w14:paraId="42D61EE2" w14:textId="77777777" w:rsidR="0009007A" w:rsidRDefault="00000000">
      <w:pPr>
        <w:pStyle w:val="Heading2"/>
      </w:pPr>
      <w:r>
        <w:rPr>
          <w:rtl/>
        </w:rPr>
        <w:t>משנה י:</w:t>
      </w:r>
      <w:r>
        <w:rPr>
          <w:rStyle w:val="FootnoteReference"/>
          <w:rtl/>
        </w:rPr>
        <w:footnoteReference w:id="213"/>
      </w:r>
    </w:p>
    <w:p w14:paraId="2B6B97A7" w14:textId="77777777" w:rsidR="0009007A" w:rsidRDefault="00000000">
      <w:pPr>
        <w:rPr>
          <w:lang w:bidi="he-IL"/>
        </w:rPr>
      </w:pPr>
      <w:r>
        <w:rPr>
          <w:rtl/>
          <w:lang w:bidi="he-IL"/>
        </w:rPr>
        <w:t>(כג:)</w:t>
      </w:r>
    </w:p>
    <w:p w14:paraId="59A59A16" w14:textId="77777777" w:rsidR="0009007A" w:rsidRDefault="00000000">
      <w:r>
        <w:rPr>
          <w:rStyle w:val="FootnoteReference"/>
          <w:rtl/>
        </w:rPr>
        <w:footnoteReference w:id="214"/>
      </w:r>
      <w:r>
        <w:rPr>
          <w:rtl/>
        </w:rPr>
        <w:t>עֲגָלָה שֶׁל קָטָן</w:t>
      </w:r>
      <w:r>
        <w:rPr>
          <w:rStyle w:val="FootnoteReference"/>
          <w:rtl/>
        </w:rPr>
        <w:footnoteReference w:id="215"/>
      </w:r>
      <w:r>
        <w:rPr>
          <w:rtl/>
        </w:rPr>
        <w:t xml:space="preserve"> טְמֵאָה מִדְרָס</w:t>
      </w:r>
      <w:r>
        <w:rPr>
          <w:rStyle w:val="FootnoteReference"/>
          <w:rtl/>
        </w:rPr>
        <w:footnoteReference w:id="216"/>
      </w:r>
      <w:r>
        <w:rPr>
          <w:rStyle w:val="FootnoteReference"/>
          <w:rtl/>
        </w:rPr>
        <w:footnoteReference w:id="217"/>
      </w:r>
      <w:r>
        <w:rPr>
          <w:rtl/>
        </w:rPr>
        <w:t xml:space="preserve"> וְנִטֶּלֶת בְּשַׁבָּת</w:t>
      </w:r>
      <w:r>
        <w:rPr>
          <w:rStyle w:val="FootnoteReference"/>
          <w:rtl/>
        </w:rPr>
        <w:footnoteReference w:id="218"/>
      </w:r>
      <w:r>
        <w:rPr>
          <w:rtl/>
        </w:rPr>
        <w:t>, וְאֵינָהּ נִגְרֶרֶת אֶלָּא עַל גַּבֵּי כֵלִים</w:t>
      </w:r>
      <w:r>
        <w:rPr>
          <w:rStyle w:val="FootnoteReference"/>
          <w:rtl/>
        </w:rPr>
        <w:footnoteReference w:id="219"/>
      </w:r>
      <w:r>
        <w:rPr>
          <w:rtl/>
        </w:rPr>
        <w:t>. רַבִּי יְהוּדָה אוֹמֵר, כָּל הַכֵּלִים אֵין נִגְרָרִין חוּץ מִן הָעֲגָלָה</w:t>
      </w:r>
      <w:r>
        <w:rPr>
          <w:rStyle w:val="FootnoteReference"/>
          <w:rtl/>
        </w:rPr>
        <w:footnoteReference w:id="220"/>
      </w:r>
      <w:r>
        <w:rPr>
          <w:rtl/>
        </w:rPr>
        <w:t>, מִפְּנֵי שֶׁהִיא כוֹבֶשֶׁת</w:t>
      </w:r>
      <w:r>
        <w:rPr>
          <w:rStyle w:val="FootnoteReference"/>
          <w:rtl/>
        </w:rPr>
        <w:footnoteReference w:id="221"/>
      </w:r>
      <w:r>
        <w:rPr>
          <w:rtl/>
        </w:rPr>
        <w:t>:</w:t>
      </w:r>
      <w:r>
        <w:rPr>
          <w:rStyle w:val="FootnoteReference"/>
          <w:rtl/>
        </w:rPr>
        <w:footnoteReference w:id="222"/>
      </w:r>
    </w:p>
    <w:p w14:paraId="41153594" w14:textId="77777777" w:rsidR="0009007A" w:rsidRDefault="00000000">
      <w:pPr>
        <w:pStyle w:val="Heading1"/>
      </w:pPr>
      <w:r>
        <w:rPr>
          <w:rtl/>
        </w:rPr>
        <w:lastRenderedPageBreak/>
        <w:t>פרק שלישי</w:t>
      </w:r>
      <w:r>
        <w:rPr>
          <w:rStyle w:val="FootnoteReference"/>
          <w:rtl/>
        </w:rPr>
        <w:footnoteReference w:id="223"/>
      </w:r>
    </w:p>
    <w:p w14:paraId="65B544B5" w14:textId="77777777" w:rsidR="0009007A" w:rsidRDefault="00000000">
      <w:pPr>
        <w:pStyle w:val="Heading2"/>
      </w:pPr>
      <w:r>
        <w:rPr>
          <w:rtl/>
        </w:rPr>
        <w:t>משנה א:</w:t>
      </w:r>
      <w:r>
        <w:rPr>
          <w:rStyle w:val="FootnoteReference"/>
          <w:rtl/>
        </w:rPr>
        <w:footnoteReference w:id="224"/>
      </w:r>
    </w:p>
    <w:p w14:paraId="7619BAB4" w14:textId="77777777" w:rsidR="0009007A" w:rsidRDefault="00000000">
      <w:pPr>
        <w:rPr>
          <w:lang w:bidi="he-IL"/>
        </w:rPr>
      </w:pPr>
      <w:r>
        <w:rPr>
          <w:rtl/>
          <w:lang w:bidi="he-IL"/>
        </w:rPr>
        <w:t>(כג:- כד.)</w:t>
      </w:r>
    </w:p>
    <w:p w14:paraId="541C7B42" w14:textId="77777777" w:rsidR="0009007A" w:rsidRDefault="00000000">
      <w:r>
        <w:rPr>
          <w:rStyle w:val="FootnoteReference"/>
          <w:rtl/>
        </w:rPr>
        <w:footnoteReference w:id="225"/>
      </w:r>
      <w:r>
        <w:rPr>
          <w:rtl/>
        </w:rPr>
        <w:t>אֵין צָדִין דָּגִים מִן הַבֵּיבָרִין בְּיוֹם טוֹב, וְאֵין נוֹתְנִין לִפְנֵיהֶם מְזוֹנוֹת</w:t>
      </w:r>
      <w:r>
        <w:rPr>
          <w:rStyle w:val="FootnoteReference"/>
          <w:rtl/>
        </w:rPr>
        <w:footnoteReference w:id="226"/>
      </w:r>
      <w:r>
        <w:rPr>
          <w:rtl/>
        </w:rPr>
        <w:t>. אֲבָל צָדִין חַיָּה</w:t>
      </w:r>
      <w:r>
        <w:rPr>
          <w:rStyle w:val="FootnoteReference"/>
          <w:rtl/>
        </w:rPr>
        <w:footnoteReference w:id="227"/>
      </w:r>
      <w:r>
        <w:rPr>
          <w:rtl/>
        </w:rPr>
        <w:t xml:space="preserve"> וָעוֹף</w:t>
      </w:r>
      <w:r>
        <w:rPr>
          <w:rStyle w:val="FootnoteReference"/>
          <w:rtl/>
        </w:rPr>
        <w:footnoteReference w:id="228"/>
      </w:r>
      <w:r>
        <w:rPr>
          <w:rtl/>
        </w:rPr>
        <w:t xml:space="preserve"> מִן הַבֵּיבָרִין</w:t>
      </w:r>
      <w:r>
        <w:rPr>
          <w:rStyle w:val="FootnoteReference"/>
          <w:rtl/>
        </w:rPr>
        <w:footnoteReference w:id="229"/>
      </w:r>
      <w:r>
        <w:rPr>
          <w:rtl/>
        </w:rPr>
        <w:t>, וְנוֹתְנִין לִפְנֵיהֶם מְזוֹנוֹת</w:t>
      </w:r>
      <w:r>
        <w:rPr>
          <w:rStyle w:val="FootnoteReference"/>
          <w:rtl/>
        </w:rPr>
        <w:footnoteReference w:id="230"/>
      </w:r>
      <w:r>
        <w:rPr>
          <w:rtl/>
        </w:rPr>
        <w:t>. רַבָּן שִׁמְעוֹן בֶּן גַּמְלִיאֵל אוֹמֵר, לֹא כָל הַבֵּיבָרִין שָׁוִין</w:t>
      </w:r>
      <w:r>
        <w:rPr>
          <w:rStyle w:val="FootnoteReference"/>
          <w:rtl/>
        </w:rPr>
        <w:footnoteReference w:id="231"/>
      </w:r>
      <w:r>
        <w:rPr>
          <w:rtl/>
        </w:rPr>
        <w:t>. זֶה הַכְּלָל, כָּל הַמְחֻסָּר צִידָה אָסוּר</w:t>
      </w:r>
      <w:r>
        <w:rPr>
          <w:rStyle w:val="FootnoteReference"/>
          <w:rtl/>
        </w:rPr>
        <w:footnoteReference w:id="232"/>
      </w:r>
      <w:r>
        <w:rPr>
          <w:rtl/>
        </w:rPr>
        <w:t>, וְשֶׁאֵינוֹ מְחֻסָּר צִידָה מֻתָּר</w:t>
      </w:r>
      <w:r>
        <w:rPr>
          <w:rStyle w:val="FootnoteReference"/>
          <w:rtl/>
        </w:rPr>
        <w:footnoteReference w:id="233"/>
      </w:r>
      <w:r>
        <w:rPr>
          <w:rtl/>
        </w:rPr>
        <w:t>:</w:t>
      </w:r>
      <w:r>
        <w:rPr>
          <w:rStyle w:val="FootnoteReference"/>
          <w:rtl/>
        </w:rPr>
        <w:footnoteReference w:id="234"/>
      </w:r>
    </w:p>
    <w:p w14:paraId="63B17428" w14:textId="77777777" w:rsidR="0009007A" w:rsidRDefault="00000000">
      <w:pPr>
        <w:pStyle w:val="Heading2"/>
      </w:pPr>
      <w:r>
        <w:rPr>
          <w:rtl/>
        </w:rPr>
        <w:lastRenderedPageBreak/>
        <w:t>משנה ב:</w:t>
      </w:r>
      <w:r>
        <w:rPr>
          <w:rStyle w:val="FootnoteReference"/>
          <w:rtl/>
        </w:rPr>
        <w:footnoteReference w:id="235"/>
      </w:r>
    </w:p>
    <w:p w14:paraId="29C212ED" w14:textId="77777777" w:rsidR="0009007A" w:rsidRDefault="00000000">
      <w:pPr>
        <w:rPr>
          <w:lang w:bidi="he-IL"/>
        </w:rPr>
      </w:pPr>
      <w:r>
        <w:rPr>
          <w:rtl/>
          <w:lang w:bidi="he-IL"/>
        </w:rPr>
        <w:t>(כד.- כה.)</w:t>
      </w:r>
    </w:p>
    <w:p w14:paraId="155CD342" w14:textId="77777777" w:rsidR="0009007A" w:rsidRDefault="00000000">
      <w:r>
        <w:rPr>
          <w:rStyle w:val="FootnoteReference"/>
          <w:rtl/>
        </w:rPr>
        <w:footnoteReference w:id="236"/>
      </w:r>
      <w:r>
        <w:rPr>
          <w:rtl/>
        </w:rPr>
        <w:t>מְצוּדוֹת חַיָּה וָעוֹף וְדָגִים שֶׁעֲשָׂאָן מֵעֶרֶב יוֹם טוֹב, לֹא יִטֹּל מֵהֶן בְּיוֹם טוֹב</w:t>
      </w:r>
      <w:r>
        <w:rPr>
          <w:rStyle w:val="FootnoteReference"/>
          <w:rtl/>
        </w:rPr>
        <w:footnoteReference w:id="237"/>
      </w:r>
      <w:r>
        <w:rPr>
          <w:rtl/>
        </w:rPr>
        <w:t>, אֶלָּא אִם כֵּן יוֹדֵעַ שֶׁנִּצּוֹדוּ מֵעֶרֶב יוֹם טוֹב</w:t>
      </w:r>
      <w:r>
        <w:rPr>
          <w:rStyle w:val="FootnoteReference"/>
          <w:rtl/>
        </w:rPr>
        <w:footnoteReference w:id="238"/>
      </w:r>
      <w:r>
        <w:rPr>
          <w:rStyle w:val="FootnoteReference"/>
          <w:rtl/>
        </w:rPr>
        <w:footnoteReference w:id="239"/>
      </w:r>
      <w:r>
        <w:rPr>
          <w:rtl/>
        </w:rPr>
        <w:t xml:space="preserve">. </w:t>
      </w:r>
      <w:r>
        <w:rPr>
          <w:rStyle w:val="FootnoteReference"/>
          <w:rtl/>
        </w:rPr>
        <w:footnoteReference w:id="240"/>
      </w:r>
      <w:r>
        <w:rPr>
          <w:rtl/>
        </w:rPr>
        <w:t>וּמַעֲשֶׂה בְנָכְרִי אֶחָד, שֶׁהֵבִיא דָגִים לְרַבָּן גַּמְלִיאֵל</w:t>
      </w:r>
      <w:r>
        <w:rPr>
          <w:rStyle w:val="FootnoteReference"/>
          <w:rtl/>
        </w:rPr>
        <w:footnoteReference w:id="241"/>
      </w:r>
      <w:r>
        <w:rPr>
          <w:rtl/>
        </w:rPr>
        <w:t>, וְאָמַר, מֻתָּרִין הֵן, אֶלָּא שֶׁאֵין רְצוֹנִי לְקַבֵּל הֵימֶנּוּ</w:t>
      </w:r>
      <w:r>
        <w:rPr>
          <w:rStyle w:val="FootnoteReference"/>
          <w:rtl/>
        </w:rPr>
        <w:footnoteReference w:id="242"/>
      </w:r>
      <w:r>
        <w:rPr>
          <w:rStyle w:val="FootnoteReference"/>
          <w:rtl/>
        </w:rPr>
        <w:footnoteReference w:id="243"/>
      </w:r>
      <w:r>
        <w:rPr>
          <w:rStyle w:val="FootnoteReference"/>
          <w:rtl/>
        </w:rPr>
        <w:footnoteReference w:id="244"/>
      </w:r>
      <w:r>
        <w:rPr>
          <w:rtl/>
        </w:rPr>
        <w:t>:</w:t>
      </w:r>
      <w:r>
        <w:rPr>
          <w:rStyle w:val="FootnoteReference"/>
          <w:rtl/>
        </w:rPr>
        <w:footnoteReference w:id="245"/>
      </w:r>
    </w:p>
    <w:p w14:paraId="2521578E" w14:textId="77777777" w:rsidR="0009007A" w:rsidRDefault="00000000">
      <w:pPr>
        <w:pStyle w:val="Heading2"/>
      </w:pPr>
      <w:r>
        <w:rPr>
          <w:rtl/>
        </w:rPr>
        <w:t>משנה ג:</w:t>
      </w:r>
      <w:r>
        <w:rPr>
          <w:rStyle w:val="FootnoteReference"/>
          <w:rtl/>
        </w:rPr>
        <w:footnoteReference w:id="246"/>
      </w:r>
    </w:p>
    <w:p w14:paraId="0B28AE7E" w14:textId="77777777" w:rsidR="0009007A" w:rsidRDefault="00000000">
      <w:pPr>
        <w:rPr>
          <w:lang w:bidi="he-IL"/>
        </w:rPr>
      </w:pPr>
      <w:r>
        <w:rPr>
          <w:rtl/>
          <w:lang w:bidi="he-IL"/>
        </w:rPr>
        <w:t>(כה.- כה:)</w:t>
      </w:r>
    </w:p>
    <w:p w14:paraId="32BACB53" w14:textId="77777777" w:rsidR="0009007A" w:rsidRDefault="00000000">
      <w:r>
        <w:rPr>
          <w:rStyle w:val="FootnoteReference"/>
          <w:rtl/>
        </w:rPr>
        <w:footnoteReference w:id="247"/>
      </w:r>
      <w:r>
        <w:rPr>
          <w:rtl/>
        </w:rPr>
        <w:t>בְּהֵמָה מְסֻכֶּנֶת לֹא יִשְׁחֹט, אֶלָּא אִם כֵּן יֵשׁ שָׁהוּת בַּיּוֹם לֶאֱכֹל מִמֶּנָּה כַּזַּיִת צָלִי</w:t>
      </w:r>
      <w:r>
        <w:rPr>
          <w:rStyle w:val="FootnoteReference"/>
          <w:rtl/>
        </w:rPr>
        <w:footnoteReference w:id="248"/>
      </w:r>
      <w:r>
        <w:rPr>
          <w:rStyle w:val="FootnoteReference"/>
          <w:rtl/>
        </w:rPr>
        <w:footnoteReference w:id="249"/>
      </w:r>
      <w:r>
        <w:rPr>
          <w:rtl/>
        </w:rPr>
        <w:t>. רַבִּי עֲקִיבָא אוֹמֵר, אֲפִלּוּ כַזַּיִת חַי מִבֵּית טְבִיחָתָהּ</w:t>
      </w:r>
      <w:r>
        <w:rPr>
          <w:rStyle w:val="FootnoteReference"/>
          <w:rtl/>
        </w:rPr>
        <w:footnoteReference w:id="250"/>
      </w:r>
      <w:r>
        <w:rPr>
          <w:rStyle w:val="FootnoteReference"/>
          <w:rtl/>
        </w:rPr>
        <w:footnoteReference w:id="251"/>
      </w:r>
      <w:r>
        <w:rPr>
          <w:rtl/>
        </w:rPr>
        <w:t>. שְׁחָטָהּ בַּשָּׂדֶה, לֹא יְבִיאֶנָּה בְמוֹט וּבְמוֹטָה</w:t>
      </w:r>
      <w:r>
        <w:rPr>
          <w:rStyle w:val="FootnoteReference"/>
          <w:rtl/>
        </w:rPr>
        <w:footnoteReference w:id="252"/>
      </w:r>
      <w:r>
        <w:rPr>
          <w:rtl/>
        </w:rPr>
        <w:t>. אֲבָל מֵבִיא בְיָדוֹ אֵבָרִים אֵבָרִים</w:t>
      </w:r>
      <w:r>
        <w:rPr>
          <w:rStyle w:val="FootnoteReference"/>
          <w:rtl/>
        </w:rPr>
        <w:footnoteReference w:id="253"/>
      </w:r>
      <w:r>
        <w:rPr>
          <w:rtl/>
        </w:rPr>
        <w:t>:</w:t>
      </w:r>
      <w:r>
        <w:rPr>
          <w:rStyle w:val="FootnoteReference"/>
          <w:rtl/>
        </w:rPr>
        <w:footnoteReference w:id="254"/>
      </w:r>
    </w:p>
    <w:p w14:paraId="431707CB" w14:textId="77777777" w:rsidR="0009007A" w:rsidRDefault="00000000">
      <w:pPr>
        <w:pStyle w:val="Heading2"/>
      </w:pPr>
      <w:r>
        <w:rPr>
          <w:rtl/>
        </w:rPr>
        <w:lastRenderedPageBreak/>
        <w:t>משנה ד:</w:t>
      </w:r>
      <w:r>
        <w:rPr>
          <w:rStyle w:val="FootnoteReference"/>
          <w:rtl/>
        </w:rPr>
        <w:footnoteReference w:id="255"/>
      </w:r>
    </w:p>
    <w:p w14:paraId="6592CC03" w14:textId="77777777" w:rsidR="0009007A" w:rsidRDefault="00000000">
      <w:pPr>
        <w:rPr>
          <w:lang w:bidi="he-IL"/>
        </w:rPr>
      </w:pPr>
      <w:r>
        <w:rPr>
          <w:rtl/>
          <w:lang w:bidi="he-IL"/>
        </w:rPr>
        <w:t>(כה:- כז:)</w:t>
      </w:r>
    </w:p>
    <w:p w14:paraId="4BA9840D" w14:textId="77777777" w:rsidR="0009007A" w:rsidRDefault="00000000">
      <w:pPr>
        <w:rPr>
          <w:lang w:bidi="he-IL"/>
        </w:rPr>
      </w:pPr>
      <w:r>
        <w:rPr>
          <w:rStyle w:val="FootnoteReference"/>
          <w:rtl/>
          <w:lang w:bidi="he-IL"/>
        </w:rPr>
        <w:footnoteReference w:id="256"/>
      </w:r>
      <w:r>
        <w:rPr>
          <w:rtl/>
          <w:lang w:bidi="he-IL"/>
        </w:rPr>
        <w:t>בְּכוֹר שֶׁנָּפַל לְבוֹר, רַבִּי יְהוּדָה אוֹמֵר, יֵרֵד מֻמְחֶה וְיִרְאֶה</w:t>
      </w:r>
      <w:r>
        <w:rPr>
          <w:rStyle w:val="FootnoteReference"/>
          <w:rtl/>
          <w:lang w:bidi="he-IL"/>
        </w:rPr>
        <w:footnoteReference w:id="257"/>
      </w:r>
      <w:r>
        <w:rPr>
          <w:rtl/>
          <w:lang w:bidi="he-IL"/>
        </w:rPr>
        <w:t>, אִם יֶשׁ בּוֹ מוּם, יַעֲלֶה וְיִשְׁחֹט</w:t>
      </w:r>
      <w:r>
        <w:rPr>
          <w:rStyle w:val="FootnoteReference"/>
          <w:rtl/>
          <w:lang w:bidi="he-IL"/>
        </w:rPr>
        <w:footnoteReference w:id="258"/>
      </w:r>
      <w:r>
        <w:rPr>
          <w:rtl/>
          <w:lang w:bidi="he-IL"/>
        </w:rPr>
        <w:t>. וְאִם לָאו, לֹא יִשְׁחֹט</w:t>
      </w:r>
      <w:r>
        <w:rPr>
          <w:rStyle w:val="FootnoteReference"/>
          <w:rtl/>
          <w:lang w:bidi="he-IL"/>
        </w:rPr>
        <w:footnoteReference w:id="259"/>
      </w:r>
      <w:r>
        <w:rPr>
          <w:rtl/>
          <w:lang w:bidi="he-IL"/>
        </w:rPr>
        <w:t>. רַבִּי שִׁמְעוֹן אוֹמֵר, כֹּל שֶׁאֵין מוּמוֹ נִכָּר מִבְּעוֹד יוֹם, אֵין זֶה מִן הַמּוּכָן</w:t>
      </w:r>
      <w:r>
        <w:rPr>
          <w:rStyle w:val="FootnoteReference"/>
          <w:rtl/>
          <w:lang w:bidi="he-IL"/>
        </w:rPr>
        <w:footnoteReference w:id="260"/>
      </w:r>
      <w:r>
        <w:rPr>
          <w:rStyle w:val="FootnoteReference"/>
          <w:rtl/>
          <w:lang w:bidi="he-IL"/>
        </w:rPr>
        <w:footnoteReference w:id="261"/>
      </w:r>
      <w:r>
        <w:rPr>
          <w:rStyle w:val="FootnoteReference"/>
          <w:rtl/>
          <w:lang w:bidi="he-IL"/>
        </w:rPr>
        <w:footnoteReference w:id="262"/>
      </w:r>
      <w:r>
        <w:rPr>
          <w:rtl/>
          <w:lang w:bidi="he-IL"/>
        </w:rPr>
        <w:t>:</w:t>
      </w:r>
      <w:r>
        <w:rPr>
          <w:rStyle w:val="FootnoteReference"/>
          <w:rtl/>
          <w:lang w:bidi="he-IL"/>
        </w:rPr>
        <w:footnoteReference w:id="263"/>
      </w:r>
    </w:p>
    <w:p w14:paraId="413BD551" w14:textId="77777777" w:rsidR="0009007A" w:rsidRDefault="00000000">
      <w:pPr>
        <w:pStyle w:val="Heading2"/>
      </w:pPr>
      <w:r>
        <w:rPr>
          <w:rtl/>
        </w:rPr>
        <w:t>משנה ה:</w:t>
      </w:r>
      <w:r>
        <w:rPr>
          <w:rStyle w:val="FootnoteReference"/>
          <w:rtl/>
        </w:rPr>
        <w:footnoteReference w:id="264"/>
      </w:r>
    </w:p>
    <w:p w14:paraId="2F73622A" w14:textId="77777777" w:rsidR="0009007A" w:rsidRDefault="00000000">
      <w:pPr>
        <w:rPr>
          <w:lang w:bidi="he-IL"/>
        </w:rPr>
      </w:pPr>
      <w:r>
        <w:rPr>
          <w:rtl/>
          <w:lang w:bidi="he-IL"/>
        </w:rPr>
        <w:t>(כז:)</w:t>
      </w:r>
    </w:p>
    <w:p w14:paraId="7889A1A6" w14:textId="77777777" w:rsidR="0009007A" w:rsidRDefault="00000000">
      <w:pPr>
        <w:rPr>
          <w:lang w:bidi="he-IL"/>
        </w:rPr>
      </w:pPr>
      <w:r>
        <w:rPr>
          <w:rStyle w:val="FootnoteReference"/>
          <w:rtl/>
          <w:lang w:bidi="he-IL"/>
        </w:rPr>
        <w:footnoteReference w:id="265"/>
      </w:r>
      <w:r>
        <w:rPr>
          <w:rtl/>
          <w:lang w:bidi="he-IL"/>
        </w:rPr>
        <w:t>בְּהֵמָה שֶׁמֵּתָה, לֹא יְזִיזֶנָּה מִמְּקוֹמָהּ</w:t>
      </w:r>
      <w:r>
        <w:rPr>
          <w:rStyle w:val="FootnoteReference"/>
          <w:rtl/>
          <w:lang w:bidi="he-IL"/>
        </w:rPr>
        <w:footnoteReference w:id="266"/>
      </w:r>
      <w:r>
        <w:rPr>
          <w:rtl/>
          <w:lang w:bidi="he-IL"/>
        </w:rPr>
        <w:t>. וּמַעֲשֶׂה וְשָׁאֲלוּ אֶת רַבִּי טַרְפוֹן עָלֶיהָ</w:t>
      </w:r>
      <w:r>
        <w:rPr>
          <w:rStyle w:val="FootnoteReference"/>
          <w:rtl/>
          <w:lang w:bidi="he-IL"/>
        </w:rPr>
        <w:footnoteReference w:id="267"/>
      </w:r>
      <w:r>
        <w:rPr>
          <w:rtl/>
          <w:lang w:bidi="he-IL"/>
        </w:rPr>
        <w:t xml:space="preserve"> וְעַל הַחַלָּה שֶׁנִּטְמְאָה</w:t>
      </w:r>
      <w:r>
        <w:rPr>
          <w:rStyle w:val="FootnoteReference"/>
          <w:rtl/>
          <w:lang w:bidi="he-IL"/>
        </w:rPr>
        <w:footnoteReference w:id="268"/>
      </w:r>
      <w:r>
        <w:rPr>
          <w:rtl/>
          <w:lang w:bidi="he-IL"/>
        </w:rPr>
        <w:t>, וְנִכְנַס לְבֵית הַמִּדְרָשׁ וְשָׁאַל</w:t>
      </w:r>
      <w:r>
        <w:rPr>
          <w:rStyle w:val="FootnoteReference"/>
          <w:rtl/>
          <w:lang w:bidi="he-IL"/>
        </w:rPr>
        <w:footnoteReference w:id="269"/>
      </w:r>
      <w:r>
        <w:rPr>
          <w:rtl/>
          <w:lang w:bidi="he-IL"/>
        </w:rPr>
        <w:t>, וְאָמְרוּ לוֹ, לֹא יְזִיזֵם מִמְּקוֹמָם:</w:t>
      </w:r>
      <w:r>
        <w:rPr>
          <w:rStyle w:val="FootnoteReference"/>
          <w:rtl/>
          <w:lang w:bidi="he-IL"/>
        </w:rPr>
        <w:footnoteReference w:id="270"/>
      </w:r>
    </w:p>
    <w:p w14:paraId="530B4694" w14:textId="77777777" w:rsidR="0009007A" w:rsidRDefault="00000000">
      <w:pPr>
        <w:pStyle w:val="Heading2"/>
      </w:pPr>
      <w:r>
        <w:rPr>
          <w:rtl/>
        </w:rPr>
        <w:lastRenderedPageBreak/>
        <w:t>משנה ו:</w:t>
      </w:r>
      <w:r>
        <w:rPr>
          <w:rStyle w:val="FootnoteReference"/>
          <w:rtl/>
        </w:rPr>
        <w:footnoteReference w:id="271"/>
      </w:r>
    </w:p>
    <w:p w14:paraId="729F7D8B" w14:textId="77777777" w:rsidR="0009007A" w:rsidRDefault="00000000">
      <w:pPr>
        <w:rPr>
          <w:lang w:bidi="he-IL"/>
        </w:rPr>
      </w:pPr>
      <w:r>
        <w:rPr>
          <w:rtl/>
          <w:lang w:bidi="he-IL"/>
        </w:rPr>
        <w:t>(כז:- כח.)</w:t>
      </w:r>
    </w:p>
    <w:p w14:paraId="6BA03F45" w14:textId="77777777" w:rsidR="0009007A" w:rsidRDefault="00000000">
      <w:pPr>
        <w:rPr>
          <w:lang w:bidi="he-IL"/>
        </w:rPr>
      </w:pPr>
      <w:r>
        <w:rPr>
          <w:rStyle w:val="FootnoteReference"/>
          <w:rtl/>
          <w:lang w:bidi="he-IL"/>
        </w:rPr>
        <w:footnoteReference w:id="272"/>
      </w:r>
      <w:r>
        <w:rPr>
          <w:rtl/>
          <w:lang w:bidi="he-IL"/>
        </w:rPr>
        <w:t>אֵין נִמְנִין עַל הַבְּהֵמָה לְכַתְּחִלָּה בְּיוֹם טוֹב</w:t>
      </w:r>
      <w:r>
        <w:rPr>
          <w:rStyle w:val="FootnoteReference"/>
          <w:rtl/>
          <w:lang w:bidi="he-IL"/>
        </w:rPr>
        <w:footnoteReference w:id="273"/>
      </w:r>
      <w:r>
        <w:rPr>
          <w:rtl/>
          <w:lang w:bidi="he-IL"/>
        </w:rPr>
        <w:t>, אֲבָל נִמְנִין עָלֶיהָ מֵעֶרֶב יוֹם טוֹב וְשׁוֹחֲטִין וּמְחַלְּקִין בֵּינֵיהֶן</w:t>
      </w:r>
      <w:r>
        <w:rPr>
          <w:rStyle w:val="FootnoteReference"/>
          <w:rtl/>
          <w:lang w:bidi="he-IL"/>
        </w:rPr>
        <w:footnoteReference w:id="274"/>
      </w:r>
      <w:r>
        <w:rPr>
          <w:rtl/>
          <w:lang w:bidi="he-IL"/>
        </w:rPr>
        <w:t>. רַבִּי יְהוּדָה אוֹמֵר, שׁוֹקֵל אָדָם בָּשָׂר כְּנֶגֶד הַכְּלִי אוֹ כְנֶגֶד הַקּוֹפִיץ</w:t>
      </w:r>
      <w:r>
        <w:rPr>
          <w:rStyle w:val="FootnoteReference"/>
          <w:rtl/>
          <w:lang w:bidi="he-IL"/>
        </w:rPr>
        <w:footnoteReference w:id="275"/>
      </w:r>
      <w:r>
        <w:rPr>
          <w:rStyle w:val="FootnoteReference"/>
          <w:rtl/>
          <w:lang w:bidi="he-IL"/>
        </w:rPr>
        <w:footnoteReference w:id="276"/>
      </w:r>
      <w:r>
        <w:rPr>
          <w:rtl/>
          <w:lang w:bidi="he-IL"/>
        </w:rPr>
        <w:t>. וַחֲכָמִים אוֹמְרִים, אֵין מַשְׁגִּיחִין בְּכַף מֹאזְנַיִם כָּל עִקָּר</w:t>
      </w:r>
      <w:r>
        <w:rPr>
          <w:rStyle w:val="FootnoteReference"/>
          <w:rtl/>
          <w:lang w:bidi="he-IL"/>
        </w:rPr>
        <w:footnoteReference w:id="277"/>
      </w:r>
      <w:r>
        <w:rPr>
          <w:rStyle w:val="FootnoteReference"/>
          <w:rtl/>
          <w:lang w:bidi="he-IL"/>
        </w:rPr>
        <w:footnoteReference w:id="278"/>
      </w:r>
      <w:r>
        <w:rPr>
          <w:rStyle w:val="FootnoteReference"/>
          <w:rtl/>
          <w:lang w:bidi="he-IL"/>
        </w:rPr>
        <w:footnoteReference w:id="279"/>
      </w:r>
      <w:r>
        <w:rPr>
          <w:rtl/>
          <w:lang w:bidi="he-IL"/>
        </w:rPr>
        <w:t>:</w:t>
      </w:r>
      <w:r>
        <w:rPr>
          <w:rStyle w:val="FootnoteReference"/>
          <w:rtl/>
          <w:lang w:bidi="he-IL"/>
        </w:rPr>
        <w:footnoteReference w:id="280"/>
      </w:r>
    </w:p>
    <w:p w14:paraId="7DA82AFB" w14:textId="77777777" w:rsidR="0009007A" w:rsidRDefault="00000000">
      <w:pPr>
        <w:pStyle w:val="Heading2"/>
      </w:pPr>
      <w:r>
        <w:rPr>
          <w:rtl/>
        </w:rPr>
        <w:t>משנה ז:</w:t>
      </w:r>
      <w:r>
        <w:rPr>
          <w:rStyle w:val="FootnoteReference"/>
          <w:rtl/>
        </w:rPr>
        <w:footnoteReference w:id="281"/>
      </w:r>
    </w:p>
    <w:p w14:paraId="3785D532" w14:textId="77777777" w:rsidR="0009007A" w:rsidRDefault="00000000">
      <w:pPr>
        <w:rPr>
          <w:lang w:bidi="he-IL"/>
        </w:rPr>
      </w:pPr>
      <w:r>
        <w:rPr>
          <w:rtl/>
          <w:lang w:bidi="he-IL"/>
        </w:rPr>
        <w:t>(כח.- כט.)</w:t>
      </w:r>
    </w:p>
    <w:p w14:paraId="2450BC4D" w14:textId="77777777" w:rsidR="0009007A" w:rsidRDefault="00000000">
      <w:pPr>
        <w:rPr>
          <w:lang w:bidi="he-IL"/>
        </w:rPr>
      </w:pPr>
      <w:r>
        <w:rPr>
          <w:rStyle w:val="FootnoteReference"/>
          <w:rtl/>
          <w:lang w:bidi="he-IL"/>
        </w:rPr>
        <w:lastRenderedPageBreak/>
        <w:footnoteReference w:id="282"/>
      </w:r>
      <w:r>
        <w:rPr>
          <w:rtl/>
          <w:lang w:bidi="he-IL"/>
        </w:rPr>
        <w:t>אֵין מַשְׁחִיזִין אֶת הַסַּכִּין בְּיוֹם טוֹב, אֲבָל מַשִּׂיאָהּ עַל גַּבֵּי חֲבֶרְתָּהּ</w:t>
      </w:r>
      <w:r>
        <w:rPr>
          <w:rStyle w:val="FootnoteReference"/>
          <w:rtl/>
          <w:lang w:bidi="he-IL"/>
        </w:rPr>
        <w:footnoteReference w:id="283"/>
      </w:r>
      <w:r>
        <w:rPr>
          <w:rtl/>
          <w:lang w:bidi="he-IL"/>
        </w:rPr>
        <w:t>. לֹא יֹאמַר אָדָם לַטַּבָּח, שְׁקוֹל לִי בְדִינָר בָּשָׂר. אֲבָל שׁוֹחֵט וּמְחַלְּקִים בֵּינֵיהֶן</w:t>
      </w:r>
      <w:r>
        <w:rPr>
          <w:rStyle w:val="FootnoteReference"/>
          <w:rtl/>
          <w:lang w:bidi="he-IL"/>
        </w:rPr>
        <w:footnoteReference w:id="284"/>
      </w:r>
      <w:r>
        <w:rPr>
          <w:rtl/>
          <w:lang w:bidi="he-IL"/>
        </w:rPr>
        <w:t>:</w:t>
      </w:r>
      <w:r>
        <w:rPr>
          <w:rStyle w:val="FootnoteReference"/>
          <w:rtl/>
          <w:lang w:bidi="he-IL"/>
        </w:rPr>
        <w:footnoteReference w:id="285"/>
      </w:r>
      <w:r>
        <w:rPr>
          <w:rtl/>
          <w:lang w:bidi="he-IL"/>
        </w:rPr>
        <w:t xml:space="preserve"> </w:t>
      </w:r>
    </w:p>
    <w:p w14:paraId="4854A758" w14:textId="77777777" w:rsidR="0009007A" w:rsidRDefault="00000000">
      <w:pPr>
        <w:pStyle w:val="Heading2"/>
      </w:pPr>
      <w:r>
        <w:rPr>
          <w:rtl/>
        </w:rPr>
        <w:t>משנה ח:</w:t>
      </w:r>
      <w:r>
        <w:rPr>
          <w:rStyle w:val="FootnoteReference"/>
          <w:rtl/>
        </w:rPr>
        <w:footnoteReference w:id="286"/>
      </w:r>
    </w:p>
    <w:p w14:paraId="72A4BED8" w14:textId="77777777" w:rsidR="0009007A" w:rsidRDefault="00000000">
      <w:pPr>
        <w:rPr>
          <w:lang w:bidi="he-IL"/>
        </w:rPr>
      </w:pPr>
      <w:r>
        <w:rPr>
          <w:rtl/>
          <w:lang w:bidi="he-IL"/>
        </w:rPr>
        <w:t>(כט.- כט:)</w:t>
      </w:r>
    </w:p>
    <w:p w14:paraId="353A698B" w14:textId="77777777" w:rsidR="0009007A" w:rsidRDefault="00000000">
      <w:r>
        <w:rPr>
          <w:rStyle w:val="FootnoteReference"/>
          <w:rtl/>
        </w:rPr>
        <w:footnoteReference w:id="287"/>
      </w:r>
      <w:r>
        <w:rPr>
          <w:rtl/>
        </w:rPr>
        <w:t>אוֹמֵר אָדָם לַחֲבֵרוֹ, מַלֵּא לִי כְלִי זֶה, אֲבָל לֹא בַמִּדָּה</w:t>
      </w:r>
      <w:r>
        <w:rPr>
          <w:rStyle w:val="FootnoteReference"/>
          <w:rtl/>
        </w:rPr>
        <w:footnoteReference w:id="288"/>
      </w:r>
      <w:r>
        <w:rPr>
          <w:rtl/>
        </w:rPr>
        <w:t>. רַבִּי יְהוּדָה אוֹמֵר, אִם הָיָה כְלִי שֶׁל מִדָּה</w:t>
      </w:r>
      <w:r>
        <w:rPr>
          <w:rStyle w:val="FootnoteReference"/>
          <w:rtl/>
        </w:rPr>
        <w:footnoteReference w:id="289"/>
      </w:r>
      <w:r>
        <w:rPr>
          <w:rtl/>
        </w:rPr>
        <w:t>, לֹא יְמַלְאֶנּוּ. מַעֲשֶׂה בְאַבָּא שָׁאוּל בֶּן בָּטְנִית, שֶׁהָיָה מְמַלֵּא מִדּוֹתָיו מֵעֶרֶב יוֹם טוֹב</w:t>
      </w:r>
      <w:r>
        <w:rPr>
          <w:rStyle w:val="FootnoteReference"/>
          <w:rtl/>
        </w:rPr>
        <w:footnoteReference w:id="290"/>
      </w:r>
      <w:r>
        <w:rPr>
          <w:rtl/>
        </w:rPr>
        <w:t xml:space="preserve"> וְנוֹתְנָן לַלָּקוֹחוֹת בְּיוֹם טוֹב</w:t>
      </w:r>
      <w:r>
        <w:rPr>
          <w:rStyle w:val="FootnoteReference"/>
          <w:rtl/>
        </w:rPr>
        <w:footnoteReference w:id="291"/>
      </w:r>
      <w:r>
        <w:rPr>
          <w:rtl/>
        </w:rPr>
        <w:t>. אַבָּא שָׁאוּל אוֹמֵר, אַף בַּמּוֹעֵד עוֹשֶׂה כֵן, מִפְּנֵי בֵרוּרֵי הַמִּדּוֹת</w:t>
      </w:r>
      <w:r>
        <w:rPr>
          <w:rStyle w:val="FootnoteReference"/>
          <w:rtl/>
        </w:rPr>
        <w:footnoteReference w:id="292"/>
      </w:r>
      <w:r>
        <w:rPr>
          <w:rStyle w:val="FootnoteReference"/>
          <w:rtl/>
        </w:rPr>
        <w:footnoteReference w:id="293"/>
      </w:r>
      <w:r>
        <w:rPr>
          <w:rtl/>
        </w:rPr>
        <w:t>. וַחֲכָמִים אוֹמְרִים, אַף בְּחֹל עוֹשֶׂה כֵן, מִפְּנֵי מִצּוּי הַמִּדּוֹת</w:t>
      </w:r>
      <w:r>
        <w:rPr>
          <w:rStyle w:val="FootnoteReference"/>
          <w:rtl/>
        </w:rPr>
        <w:footnoteReference w:id="294"/>
      </w:r>
      <w:r>
        <w:rPr>
          <w:rtl/>
        </w:rPr>
        <w:t>.</w:t>
      </w:r>
      <w:r>
        <w:rPr>
          <w:rStyle w:val="FootnoteReference"/>
          <w:rtl/>
        </w:rPr>
        <w:footnoteReference w:id="295"/>
      </w:r>
      <w:r>
        <w:rPr>
          <w:rtl/>
        </w:rPr>
        <w:t xml:space="preserve"> הוֹלֵךְ אָדָם אֵצֶל חֶנְוָנִי הָרָגִיל אֶצְלוֹ</w:t>
      </w:r>
      <w:r>
        <w:rPr>
          <w:rStyle w:val="FootnoteReference"/>
          <w:rtl/>
        </w:rPr>
        <w:footnoteReference w:id="296"/>
      </w:r>
      <w:r>
        <w:rPr>
          <w:rtl/>
        </w:rPr>
        <w:t>, וְאוֹמֵר לוֹ, תֵּן לִי בֵּיצִים וֶאֱגוֹזִים בְּמִנְיָן, שֶׁכֵּן דֶּרֶךְ בַּעַל הַבַּיִת לִהְיוֹת מוֹנֶה בְּתוֹךְ בֵּיתוֹ</w:t>
      </w:r>
      <w:r>
        <w:rPr>
          <w:rStyle w:val="FootnoteReference"/>
          <w:rtl/>
        </w:rPr>
        <w:footnoteReference w:id="297"/>
      </w:r>
      <w:r>
        <w:rPr>
          <w:rtl/>
        </w:rPr>
        <w:t xml:space="preserve">: </w:t>
      </w:r>
      <w:r>
        <w:rPr>
          <w:rStyle w:val="FootnoteReference"/>
          <w:rtl/>
        </w:rPr>
        <w:footnoteReference w:id="298"/>
      </w:r>
    </w:p>
    <w:p w14:paraId="1CEFC3C1" w14:textId="77777777" w:rsidR="0009007A" w:rsidRDefault="00000000">
      <w:pPr>
        <w:pStyle w:val="Heading1"/>
      </w:pPr>
      <w:r>
        <w:rPr>
          <w:rtl/>
        </w:rPr>
        <w:lastRenderedPageBreak/>
        <w:t>פרק רביעי</w:t>
      </w:r>
      <w:r>
        <w:rPr>
          <w:rStyle w:val="FootnoteReference"/>
          <w:rtl/>
        </w:rPr>
        <w:footnoteReference w:id="299"/>
      </w:r>
    </w:p>
    <w:p w14:paraId="353576D1" w14:textId="77777777" w:rsidR="0009007A" w:rsidRDefault="00000000">
      <w:pPr>
        <w:pStyle w:val="Heading2"/>
      </w:pPr>
      <w:r>
        <w:rPr>
          <w:rtl/>
        </w:rPr>
        <w:t>משנה א:</w:t>
      </w:r>
      <w:r>
        <w:rPr>
          <w:rStyle w:val="FootnoteReference"/>
          <w:rtl/>
        </w:rPr>
        <w:footnoteReference w:id="300"/>
      </w:r>
    </w:p>
    <w:p w14:paraId="5F1BF023" w14:textId="77777777" w:rsidR="0009007A" w:rsidRDefault="00000000">
      <w:pPr>
        <w:rPr>
          <w:lang w:bidi="he-IL"/>
        </w:rPr>
      </w:pPr>
      <w:r>
        <w:rPr>
          <w:rtl/>
          <w:lang w:bidi="he-IL"/>
        </w:rPr>
        <w:t>(כט:- ל.)</w:t>
      </w:r>
    </w:p>
    <w:p w14:paraId="4DD8621B" w14:textId="77777777" w:rsidR="0009007A" w:rsidRDefault="00000000">
      <w:pPr>
        <w:rPr>
          <w:lang w:bidi="he-IL"/>
        </w:rPr>
      </w:pPr>
      <w:r>
        <w:rPr>
          <w:rStyle w:val="FootnoteReference"/>
          <w:rtl/>
          <w:lang w:bidi="he-IL"/>
        </w:rPr>
        <w:footnoteReference w:id="301"/>
      </w:r>
      <w:r>
        <w:rPr>
          <w:rtl/>
          <w:lang w:bidi="he-IL"/>
        </w:rPr>
        <w:t>הַמֵּבִיא כַדֵּי יַיִן מִמָּקוֹם לְמָקוֹם, לֹא יְבִיאֵם בְּסַל וּבְקֻפָּה</w:t>
      </w:r>
      <w:r>
        <w:rPr>
          <w:rStyle w:val="FootnoteReference"/>
          <w:rtl/>
          <w:lang w:bidi="he-IL"/>
        </w:rPr>
        <w:footnoteReference w:id="302"/>
      </w:r>
      <w:r>
        <w:rPr>
          <w:rtl/>
          <w:lang w:bidi="he-IL"/>
        </w:rPr>
        <w:t>, אֲבָל מֵבִיא הוּא עַל כְּתֵפוֹ אוֹ לְפָנָיו</w:t>
      </w:r>
      <w:r>
        <w:rPr>
          <w:rStyle w:val="FootnoteReference"/>
          <w:rtl/>
          <w:lang w:bidi="he-IL"/>
        </w:rPr>
        <w:footnoteReference w:id="303"/>
      </w:r>
      <w:r>
        <w:rPr>
          <w:rtl/>
          <w:lang w:bidi="he-IL"/>
        </w:rPr>
        <w:t>. וְכֵן הַמּוֹלִיךְ אֶת הַתֶּבֶן, לֹא יַפְשִׁיל אֶת הַקֻּפָּה לַאֲחוֹרָיו, אֲבָל מְבִיאָהּ הוּא בְיָדוֹ. וּמַתְחִילִין בַּעֲרֵמַת הַתֶּבֶן</w:t>
      </w:r>
      <w:r>
        <w:rPr>
          <w:rStyle w:val="FootnoteReference"/>
          <w:rtl/>
          <w:lang w:bidi="he-IL"/>
        </w:rPr>
        <w:footnoteReference w:id="304"/>
      </w:r>
      <w:r>
        <w:rPr>
          <w:rtl/>
          <w:lang w:bidi="he-IL"/>
        </w:rPr>
        <w:t>, אֲבָל לֹא בָעֵצִים שֶׁבַּמֻּקְצֶה</w:t>
      </w:r>
      <w:r>
        <w:rPr>
          <w:rStyle w:val="FootnoteReference"/>
          <w:rtl/>
          <w:lang w:bidi="he-IL"/>
        </w:rPr>
        <w:footnoteReference w:id="305"/>
      </w:r>
      <w:r>
        <w:rPr>
          <w:rStyle w:val="FootnoteReference"/>
          <w:rtl/>
          <w:lang w:bidi="he-IL"/>
        </w:rPr>
        <w:footnoteReference w:id="306"/>
      </w:r>
      <w:r>
        <w:rPr>
          <w:rtl/>
          <w:lang w:bidi="he-IL"/>
        </w:rPr>
        <w:t>:</w:t>
      </w:r>
      <w:r>
        <w:rPr>
          <w:rStyle w:val="FootnoteReference"/>
          <w:rtl/>
          <w:lang w:bidi="he-IL"/>
        </w:rPr>
        <w:footnoteReference w:id="307"/>
      </w:r>
    </w:p>
    <w:p w14:paraId="01387529" w14:textId="77777777" w:rsidR="0009007A" w:rsidRDefault="00000000">
      <w:pPr>
        <w:pStyle w:val="Heading2"/>
      </w:pPr>
      <w:r>
        <w:rPr>
          <w:rtl/>
        </w:rPr>
        <w:t>משנה ב:</w:t>
      </w:r>
      <w:r>
        <w:rPr>
          <w:rStyle w:val="FootnoteReference"/>
          <w:rtl/>
        </w:rPr>
        <w:footnoteReference w:id="308"/>
      </w:r>
    </w:p>
    <w:p w14:paraId="6DF36714" w14:textId="77777777" w:rsidR="0009007A" w:rsidRDefault="00000000">
      <w:pPr>
        <w:rPr>
          <w:lang w:bidi="he-IL"/>
        </w:rPr>
      </w:pPr>
      <w:r>
        <w:rPr>
          <w:rtl/>
          <w:lang w:bidi="he-IL"/>
        </w:rPr>
        <w:t>(ל:- לא.)</w:t>
      </w:r>
    </w:p>
    <w:p w14:paraId="2DC66B85" w14:textId="77777777" w:rsidR="0009007A" w:rsidRDefault="00000000">
      <w:r>
        <w:rPr>
          <w:rStyle w:val="FootnoteReference"/>
          <w:rtl/>
        </w:rPr>
        <w:footnoteReference w:id="309"/>
      </w:r>
      <w:r>
        <w:rPr>
          <w:rtl/>
        </w:rPr>
        <w:t>אֵין נוֹטְלִין עֵצִים מִן הַסֻּכָּה</w:t>
      </w:r>
      <w:r>
        <w:rPr>
          <w:rStyle w:val="FootnoteReference"/>
          <w:rtl/>
        </w:rPr>
        <w:footnoteReference w:id="310"/>
      </w:r>
      <w:r>
        <w:rPr>
          <w:rStyle w:val="FootnoteReference"/>
          <w:rtl/>
        </w:rPr>
        <w:footnoteReference w:id="311"/>
      </w:r>
      <w:r>
        <w:rPr>
          <w:rtl/>
        </w:rPr>
        <w:t>, אֶלָּא מִן הַסָּמוּךְ לָהּ</w:t>
      </w:r>
      <w:r>
        <w:rPr>
          <w:rStyle w:val="FootnoteReference"/>
          <w:rtl/>
        </w:rPr>
        <w:footnoteReference w:id="312"/>
      </w:r>
      <w:r>
        <w:rPr>
          <w:rtl/>
        </w:rPr>
        <w:t>.</w:t>
      </w:r>
      <w:r>
        <w:rPr>
          <w:rStyle w:val="FootnoteReference"/>
          <w:rtl/>
        </w:rPr>
        <w:footnoteReference w:id="313"/>
      </w:r>
      <w:r>
        <w:rPr>
          <w:rtl/>
        </w:rPr>
        <w:t xml:space="preserve"> מְבִיאִין עֵצִים</w:t>
      </w:r>
      <w:r>
        <w:rPr>
          <w:rStyle w:val="FootnoteReference"/>
          <w:rtl/>
        </w:rPr>
        <w:footnoteReference w:id="314"/>
      </w:r>
      <w:r>
        <w:rPr>
          <w:rtl/>
        </w:rPr>
        <w:t xml:space="preserve"> מִן הַשָּׂדֶה</w:t>
      </w:r>
      <w:r>
        <w:rPr>
          <w:rStyle w:val="FootnoteReference"/>
          <w:rtl/>
        </w:rPr>
        <w:footnoteReference w:id="315"/>
      </w:r>
      <w:r>
        <w:rPr>
          <w:rtl/>
        </w:rPr>
        <w:t xml:space="preserve"> מִן הַמְכֻנָּס</w:t>
      </w:r>
      <w:r>
        <w:rPr>
          <w:rStyle w:val="FootnoteReference"/>
          <w:rtl/>
        </w:rPr>
        <w:footnoteReference w:id="316"/>
      </w:r>
      <w:r>
        <w:rPr>
          <w:rStyle w:val="FootnoteReference"/>
          <w:rtl/>
        </w:rPr>
        <w:footnoteReference w:id="317"/>
      </w:r>
      <w:r>
        <w:rPr>
          <w:rtl/>
        </w:rPr>
        <w:t>, וּמִן הַקַּרְפֵּף אֲפִלּוּ מִן הַמְפֻזָּר</w:t>
      </w:r>
      <w:r>
        <w:rPr>
          <w:rStyle w:val="FootnoteReference"/>
          <w:rtl/>
        </w:rPr>
        <w:footnoteReference w:id="318"/>
      </w:r>
      <w:r>
        <w:rPr>
          <w:rtl/>
        </w:rPr>
        <w:t>.</w:t>
      </w:r>
      <w:r>
        <w:rPr>
          <w:rStyle w:val="FootnoteReference"/>
          <w:rtl/>
        </w:rPr>
        <w:footnoteReference w:id="319"/>
      </w:r>
      <w:r>
        <w:rPr>
          <w:rtl/>
        </w:rPr>
        <w:t xml:space="preserve"> אֵיזֶהוּ קַרְפֵּף, כֹּל שֶׁסָּמוּךְ לָעִיר</w:t>
      </w:r>
      <w:r>
        <w:rPr>
          <w:rStyle w:val="FootnoteReference"/>
          <w:rtl/>
        </w:rPr>
        <w:footnoteReference w:id="320"/>
      </w:r>
      <w:r>
        <w:rPr>
          <w:rStyle w:val="FootnoteReference"/>
          <w:rtl/>
        </w:rPr>
        <w:footnoteReference w:id="321"/>
      </w:r>
      <w:r>
        <w:rPr>
          <w:rtl/>
        </w:rPr>
        <w:t>, דִּבְרֵי רַבִּי יְהוּדָה. רַבִּי יוֹסֵי אוֹמֵר, כֹּל שֶׁנִּכְנָסִין לוֹ בְפוֹתַחַת</w:t>
      </w:r>
      <w:r>
        <w:rPr>
          <w:rStyle w:val="FootnoteReference"/>
          <w:rtl/>
        </w:rPr>
        <w:footnoteReference w:id="322"/>
      </w:r>
      <w:r>
        <w:rPr>
          <w:rtl/>
        </w:rPr>
        <w:t>, וַאֲפִלּוּ בְתוֹךְ תְּחוּם שַׁבָּת</w:t>
      </w:r>
      <w:r>
        <w:rPr>
          <w:rStyle w:val="FootnoteReference"/>
          <w:rtl/>
        </w:rPr>
        <w:footnoteReference w:id="323"/>
      </w:r>
      <w:r>
        <w:rPr>
          <w:rtl/>
        </w:rPr>
        <w:t>:</w:t>
      </w:r>
      <w:r>
        <w:rPr>
          <w:rStyle w:val="FootnoteReference"/>
          <w:rtl/>
        </w:rPr>
        <w:footnoteReference w:id="324"/>
      </w:r>
    </w:p>
    <w:p w14:paraId="30179912" w14:textId="77777777" w:rsidR="0009007A" w:rsidRDefault="00000000">
      <w:pPr>
        <w:pStyle w:val="Heading2"/>
      </w:pPr>
      <w:r>
        <w:rPr>
          <w:rtl/>
        </w:rPr>
        <w:lastRenderedPageBreak/>
        <w:t>משנה ג:</w:t>
      </w:r>
      <w:r>
        <w:rPr>
          <w:rStyle w:val="FootnoteReference"/>
          <w:b/>
          <w:rtl/>
        </w:rPr>
        <w:footnoteReference w:id="325"/>
      </w:r>
    </w:p>
    <w:p w14:paraId="14581385" w14:textId="77777777" w:rsidR="0009007A" w:rsidRDefault="00000000">
      <w:pPr>
        <w:rPr>
          <w:lang w:bidi="he-IL"/>
        </w:rPr>
      </w:pPr>
      <w:r>
        <w:rPr>
          <w:b/>
          <w:rtl/>
          <w:lang w:bidi="he-IL"/>
        </w:rPr>
        <w:t>(לא.- לב.)</w:t>
      </w:r>
    </w:p>
    <w:p w14:paraId="11F18FD7" w14:textId="77777777" w:rsidR="0009007A" w:rsidRDefault="00000000">
      <w:r>
        <w:rPr>
          <w:rStyle w:val="FootnoteReference"/>
          <w:rtl/>
        </w:rPr>
        <w:footnoteReference w:id="326"/>
      </w:r>
      <w:r>
        <w:rPr>
          <w:rtl/>
        </w:rPr>
        <w:t>אֵין מְבַקְּעִין עֵצִים, לֹא מִן הַקּוֹרוֹת, וְלֹא מִן הַקּוֹרָה שֶׁנִּשְׁבְּרָה בְיוֹם טוֹב</w:t>
      </w:r>
      <w:r>
        <w:rPr>
          <w:rStyle w:val="FootnoteReference"/>
          <w:rtl/>
        </w:rPr>
        <w:footnoteReference w:id="327"/>
      </w:r>
      <w:r>
        <w:rPr>
          <w:rtl/>
        </w:rPr>
        <w:t xml:space="preserve">. </w:t>
      </w:r>
      <w:r>
        <w:rPr>
          <w:rStyle w:val="FootnoteReference"/>
          <w:rtl/>
        </w:rPr>
        <w:footnoteReference w:id="328"/>
      </w:r>
      <w:r>
        <w:rPr>
          <w:rtl/>
        </w:rPr>
        <w:t>וְאֵין מְבַקְּעִין לֹא בְקַרְדֹּם</w:t>
      </w:r>
      <w:r>
        <w:rPr>
          <w:rStyle w:val="FootnoteReference"/>
          <w:rtl/>
        </w:rPr>
        <w:footnoteReference w:id="329"/>
      </w:r>
      <w:r>
        <w:rPr>
          <w:rtl/>
        </w:rPr>
        <w:t xml:space="preserve"> וְלֹא בִמְגֵרָה</w:t>
      </w:r>
      <w:r>
        <w:rPr>
          <w:rStyle w:val="FootnoteReference"/>
          <w:rtl/>
        </w:rPr>
        <w:footnoteReference w:id="330"/>
      </w:r>
      <w:r>
        <w:rPr>
          <w:rtl/>
        </w:rPr>
        <w:t xml:space="preserve"> וְלֹא בְמַגָּל</w:t>
      </w:r>
      <w:r>
        <w:rPr>
          <w:rStyle w:val="FootnoteReference"/>
          <w:rtl/>
        </w:rPr>
        <w:footnoteReference w:id="331"/>
      </w:r>
      <w:r>
        <w:rPr>
          <w:rtl/>
        </w:rPr>
        <w:t>, אֶלָּא בְקוֹפִיץ</w:t>
      </w:r>
      <w:r>
        <w:rPr>
          <w:rStyle w:val="FootnoteReference"/>
          <w:rtl/>
        </w:rPr>
        <w:footnoteReference w:id="332"/>
      </w:r>
      <w:r>
        <w:rPr>
          <w:rStyle w:val="FootnoteReference"/>
          <w:rtl/>
        </w:rPr>
        <w:footnoteReference w:id="333"/>
      </w:r>
      <w:r>
        <w:rPr>
          <w:rtl/>
        </w:rPr>
        <w:t>.</w:t>
      </w:r>
      <w:r>
        <w:rPr>
          <w:rStyle w:val="FootnoteReference"/>
          <w:rtl/>
        </w:rPr>
        <w:footnoteReference w:id="334"/>
      </w:r>
      <w:r>
        <w:rPr>
          <w:rtl/>
        </w:rPr>
        <w:t xml:space="preserve"> בַּיִת שֶׁהוּא מָלֵא פֵרוֹת</w:t>
      </w:r>
      <w:r>
        <w:rPr>
          <w:rStyle w:val="FootnoteReference"/>
          <w:rtl/>
        </w:rPr>
        <w:footnoteReference w:id="335"/>
      </w:r>
      <w:r>
        <w:rPr>
          <w:rtl/>
        </w:rPr>
        <w:t>, סָתוּם וְנִפְחַת</w:t>
      </w:r>
      <w:r>
        <w:rPr>
          <w:rStyle w:val="FootnoteReference"/>
          <w:rtl/>
        </w:rPr>
        <w:footnoteReference w:id="336"/>
      </w:r>
      <w:r>
        <w:rPr>
          <w:rtl/>
        </w:rPr>
        <w:t>, נוֹטֵל מִמְּקוֹם הַפְּחָת</w:t>
      </w:r>
      <w:r>
        <w:rPr>
          <w:rStyle w:val="FootnoteReference"/>
          <w:rtl/>
        </w:rPr>
        <w:footnoteReference w:id="337"/>
      </w:r>
      <w:r>
        <w:rPr>
          <w:rtl/>
        </w:rPr>
        <w:t>. רַבִּי מֵאִיר אוֹמֵר, אַף פּוֹחֵת לְכַתְּחִלָּה וְנוֹטֵל</w:t>
      </w:r>
      <w:r>
        <w:rPr>
          <w:rStyle w:val="FootnoteReference"/>
          <w:rtl/>
        </w:rPr>
        <w:footnoteReference w:id="338"/>
      </w:r>
      <w:r>
        <w:rPr>
          <w:rtl/>
        </w:rPr>
        <w:t>:</w:t>
      </w:r>
      <w:r>
        <w:rPr>
          <w:rStyle w:val="FootnoteReference"/>
          <w:rtl/>
        </w:rPr>
        <w:footnoteReference w:id="339"/>
      </w:r>
    </w:p>
    <w:p w14:paraId="7B27D942" w14:textId="77777777" w:rsidR="0009007A" w:rsidRDefault="00000000">
      <w:pPr>
        <w:pStyle w:val="Heading2"/>
      </w:pPr>
      <w:r>
        <w:rPr>
          <w:rtl/>
        </w:rPr>
        <w:lastRenderedPageBreak/>
        <w:t>משנה ד:</w:t>
      </w:r>
      <w:r>
        <w:rPr>
          <w:rStyle w:val="FootnoteReference"/>
          <w:rtl/>
        </w:rPr>
        <w:footnoteReference w:id="340"/>
      </w:r>
    </w:p>
    <w:p w14:paraId="42C6B4FC" w14:textId="77777777" w:rsidR="0009007A" w:rsidRDefault="00000000">
      <w:pPr>
        <w:rPr>
          <w:lang w:bidi="he-IL"/>
        </w:rPr>
      </w:pPr>
      <w:r>
        <w:rPr>
          <w:rtl/>
          <w:lang w:bidi="he-IL"/>
        </w:rPr>
        <w:t>(לב.- לב:)</w:t>
      </w:r>
    </w:p>
    <w:p w14:paraId="5C19F2B3" w14:textId="77777777" w:rsidR="0009007A" w:rsidRDefault="00000000">
      <w:pPr>
        <w:rPr>
          <w:lang w:bidi="he-IL"/>
        </w:rPr>
      </w:pPr>
      <w:r>
        <w:rPr>
          <w:rStyle w:val="FootnoteReference"/>
          <w:rtl/>
          <w:lang w:bidi="he-IL"/>
        </w:rPr>
        <w:footnoteReference w:id="341"/>
      </w:r>
      <w:r>
        <w:rPr>
          <w:rtl/>
          <w:lang w:bidi="he-IL"/>
        </w:rPr>
        <w:t>אֵין פּוֹתְחִין אֶת הַנֵּר</w:t>
      </w:r>
      <w:r>
        <w:rPr>
          <w:rStyle w:val="FootnoteReference"/>
          <w:rtl/>
          <w:lang w:bidi="he-IL"/>
        </w:rPr>
        <w:footnoteReference w:id="342"/>
      </w:r>
      <w:r>
        <w:rPr>
          <w:rStyle w:val="FootnoteReference"/>
          <w:rtl/>
          <w:lang w:bidi="he-IL"/>
        </w:rPr>
        <w:footnoteReference w:id="343"/>
      </w:r>
      <w:r>
        <w:rPr>
          <w:rtl/>
          <w:lang w:bidi="he-IL"/>
        </w:rPr>
        <w:t>, מִפְּנֵי שֶׁהוּא עוֹשֶׂה כְלִי</w:t>
      </w:r>
      <w:r>
        <w:rPr>
          <w:rStyle w:val="FootnoteReference"/>
          <w:rtl/>
          <w:lang w:bidi="he-IL"/>
        </w:rPr>
        <w:footnoteReference w:id="344"/>
      </w:r>
      <w:r>
        <w:rPr>
          <w:rtl/>
          <w:lang w:bidi="he-IL"/>
        </w:rPr>
        <w:t>. וְאֵין עוֹשִׂין פֶּחָמִין בְּיוֹם טוֹב</w:t>
      </w:r>
      <w:r>
        <w:rPr>
          <w:rStyle w:val="FootnoteReference"/>
          <w:rtl/>
          <w:lang w:bidi="he-IL"/>
        </w:rPr>
        <w:footnoteReference w:id="345"/>
      </w:r>
      <w:r>
        <w:rPr>
          <w:rStyle w:val="FootnoteReference"/>
          <w:rtl/>
          <w:lang w:bidi="he-IL"/>
        </w:rPr>
        <w:footnoteReference w:id="346"/>
      </w:r>
      <w:r>
        <w:rPr>
          <w:rtl/>
          <w:lang w:bidi="he-IL"/>
        </w:rPr>
        <w:t>, וְאֵין חוֹתְכִין אֶת הַפְּתִילָה לִשְׁנַיִם</w:t>
      </w:r>
      <w:r>
        <w:rPr>
          <w:rStyle w:val="FootnoteReference"/>
          <w:rtl/>
          <w:lang w:bidi="he-IL"/>
        </w:rPr>
        <w:footnoteReference w:id="347"/>
      </w:r>
      <w:r>
        <w:rPr>
          <w:rtl/>
          <w:lang w:bidi="he-IL"/>
        </w:rPr>
        <w:t>. רַבִּי יְהוּדָה אוֹמֵר, חוֹתְכָהּ בָּאוּר לִשְׁתֵּי נֵרוֹת</w:t>
      </w:r>
      <w:r>
        <w:rPr>
          <w:rStyle w:val="FootnoteReference"/>
          <w:rtl/>
          <w:lang w:bidi="he-IL"/>
        </w:rPr>
        <w:footnoteReference w:id="348"/>
      </w:r>
      <w:r>
        <w:rPr>
          <w:rtl/>
          <w:lang w:bidi="he-IL"/>
        </w:rPr>
        <w:t>:</w:t>
      </w:r>
      <w:r>
        <w:rPr>
          <w:rStyle w:val="FootnoteReference"/>
          <w:rtl/>
          <w:lang w:bidi="he-IL"/>
        </w:rPr>
        <w:footnoteReference w:id="349"/>
      </w:r>
    </w:p>
    <w:p w14:paraId="6A809DFB" w14:textId="77777777" w:rsidR="0009007A" w:rsidRDefault="00000000">
      <w:pPr>
        <w:pStyle w:val="Heading2"/>
      </w:pPr>
      <w:r>
        <w:rPr>
          <w:rtl/>
        </w:rPr>
        <w:t>משנה ה:</w:t>
      </w:r>
      <w:r>
        <w:rPr>
          <w:rtl/>
        </w:rPr>
        <w:tab/>
      </w:r>
      <w:r>
        <w:rPr>
          <w:rStyle w:val="FootnoteReference"/>
          <w:rtl/>
        </w:rPr>
        <w:footnoteReference w:id="350"/>
      </w:r>
    </w:p>
    <w:p w14:paraId="6339A808" w14:textId="77777777" w:rsidR="0009007A" w:rsidRDefault="00000000">
      <w:pPr>
        <w:rPr>
          <w:lang w:bidi="he-IL"/>
        </w:rPr>
      </w:pPr>
      <w:r>
        <w:rPr>
          <w:rtl/>
          <w:lang w:bidi="he-IL"/>
        </w:rPr>
        <w:t>(לב:- לג.)</w:t>
      </w:r>
    </w:p>
    <w:p w14:paraId="35F032CB" w14:textId="77777777" w:rsidR="0009007A" w:rsidRDefault="00000000">
      <w:pPr>
        <w:rPr>
          <w:lang w:bidi="he-IL"/>
        </w:rPr>
      </w:pPr>
      <w:r>
        <w:rPr>
          <w:rStyle w:val="FootnoteReference"/>
          <w:rtl/>
          <w:lang w:bidi="he-IL"/>
        </w:rPr>
        <w:footnoteReference w:id="351"/>
      </w:r>
      <w:r>
        <w:rPr>
          <w:rtl/>
          <w:lang w:bidi="he-IL"/>
        </w:rPr>
        <w:t>אֵין שׁוֹבְרִין אֶת הַחֶרֶס, וְאֵין חוֹתְכִין אֶת הַנְּיָר לִצְלוֹת בּוֹ מָלִיחַ</w:t>
      </w:r>
      <w:r>
        <w:rPr>
          <w:rStyle w:val="FootnoteReference"/>
          <w:rtl/>
          <w:lang w:bidi="he-IL"/>
        </w:rPr>
        <w:footnoteReference w:id="352"/>
      </w:r>
      <w:r>
        <w:rPr>
          <w:rtl/>
          <w:lang w:bidi="he-IL"/>
        </w:rPr>
        <w:t>, וְאֵין גּוֹרְפִין</w:t>
      </w:r>
      <w:r>
        <w:rPr>
          <w:rStyle w:val="FootnoteReference"/>
          <w:rtl/>
          <w:lang w:bidi="he-IL"/>
        </w:rPr>
        <w:footnoteReference w:id="353"/>
      </w:r>
      <w:r>
        <w:rPr>
          <w:rtl/>
          <w:lang w:bidi="he-IL"/>
        </w:rPr>
        <w:t xml:space="preserve"> תַּנּוּר וְכִירַיִם, אֲבָל מְכַבְּשִׁין</w:t>
      </w:r>
      <w:r>
        <w:rPr>
          <w:rStyle w:val="FootnoteReference"/>
          <w:rtl/>
          <w:lang w:bidi="he-IL"/>
        </w:rPr>
        <w:footnoteReference w:id="354"/>
      </w:r>
      <w:r>
        <w:rPr>
          <w:rtl/>
          <w:lang w:bidi="he-IL"/>
        </w:rPr>
        <w:t>, וְאֵין מַקִּיפִין</w:t>
      </w:r>
      <w:r>
        <w:rPr>
          <w:rStyle w:val="FootnoteReference"/>
          <w:rtl/>
          <w:lang w:bidi="he-IL"/>
        </w:rPr>
        <w:footnoteReference w:id="355"/>
      </w:r>
      <w:r>
        <w:rPr>
          <w:rtl/>
          <w:lang w:bidi="he-IL"/>
        </w:rPr>
        <w:t xml:space="preserve"> שְׁתֵּי חָבִיּוֹת לִשְׁפֹּת עֲלֵיהֶן אֶת הַקְּדֵרָה</w:t>
      </w:r>
      <w:r>
        <w:rPr>
          <w:rStyle w:val="FootnoteReference"/>
          <w:rtl/>
          <w:lang w:bidi="he-IL"/>
        </w:rPr>
        <w:footnoteReference w:id="356"/>
      </w:r>
      <w:r>
        <w:rPr>
          <w:rStyle w:val="FootnoteReference"/>
          <w:rtl/>
          <w:lang w:bidi="he-IL"/>
        </w:rPr>
        <w:footnoteReference w:id="357"/>
      </w:r>
      <w:r>
        <w:rPr>
          <w:rtl/>
          <w:lang w:bidi="he-IL"/>
        </w:rPr>
        <w:t>, וְאֵין סוֹמְכִין אֶת הַקְּדֵרָה בְבַקַּעַת, וְכֵן</w:t>
      </w:r>
      <w:r>
        <w:rPr>
          <w:rStyle w:val="FootnoteReference"/>
          <w:rtl/>
          <w:lang w:bidi="he-IL"/>
        </w:rPr>
        <w:footnoteReference w:id="358"/>
      </w:r>
      <w:r>
        <w:rPr>
          <w:rtl/>
          <w:lang w:bidi="he-IL"/>
        </w:rPr>
        <w:t xml:space="preserve"> בְּדֶלֶת</w:t>
      </w:r>
      <w:r>
        <w:rPr>
          <w:rStyle w:val="FootnoteReference"/>
          <w:rtl/>
          <w:lang w:bidi="he-IL"/>
        </w:rPr>
        <w:footnoteReference w:id="359"/>
      </w:r>
      <w:r>
        <w:rPr>
          <w:rtl/>
          <w:lang w:bidi="he-IL"/>
        </w:rPr>
        <w:t>, וְאֵין מַנְהִיגִין אֶת הַבְּהֵמָה בְמַקֵּל בְּיוֹם טוֹב</w:t>
      </w:r>
      <w:r>
        <w:rPr>
          <w:rStyle w:val="FootnoteReference"/>
          <w:rtl/>
          <w:lang w:bidi="he-IL"/>
        </w:rPr>
        <w:footnoteReference w:id="360"/>
      </w:r>
      <w:r>
        <w:rPr>
          <w:rtl/>
          <w:lang w:bidi="he-IL"/>
        </w:rPr>
        <w:t>, וְרַבִּי אֶלְעָזָר בְּרַבִּי שִׁמְעוֹן מַתִּיר</w:t>
      </w:r>
      <w:r>
        <w:rPr>
          <w:rStyle w:val="FootnoteReference"/>
          <w:rtl/>
          <w:lang w:bidi="he-IL"/>
        </w:rPr>
        <w:footnoteReference w:id="361"/>
      </w:r>
      <w:r>
        <w:rPr>
          <w:rtl/>
          <w:lang w:bidi="he-IL"/>
        </w:rPr>
        <w:t>:</w:t>
      </w:r>
      <w:r>
        <w:rPr>
          <w:rStyle w:val="FootnoteReference"/>
          <w:rtl/>
          <w:lang w:bidi="he-IL"/>
        </w:rPr>
        <w:footnoteReference w:id="362"/>
      </w:r>
    </w:p>
    <w:p w14:paraId="5AD96133" w14:textId="77777777" w:rsidR="0009007A" w:rsidRDefault="00000000">
      <w:pPr>
        <w:pStyle w:val="Heading2"/>
      </w:pPr>
      <w:r>
        <w:rPr>
          <w:rtl/>
        </w:rPr>
        <w:lastRenderedPageBreak/>
        <w:t>משנה ו:</w:t>
      </w:r>
      <w:r>
        <w:rPr>
          <w:rStyle w:val="FootnoteReference"/>
          <w:rtl/>
        </w:rPr>
        <w:footnoteReference w:id="363"/>
      </w:r>
    </w:p>
    <w:p w14:paraId="6072B7FE" w14:textId="77777777" w:rsidR="0009007A" w:rsidRDefault="00000000">
      <w:pPr>
        <w:rPr>
          <w:lang w:bidi="he-IL"/>
        </w:rPr>
      </w:pPr>
      <w:r>
        <w:rPr>
          <w:rtl/>
          <w:lang w:bidi="he-IL"/>
        </w:rPr>
        <w:t>(לג.- לד.)</w:t>
      </w:r>
    </w:p>
    <w:p w14:paraId="2C097CA4" w14:textId="77777777" w:rsidR="0009007A" w:rsidRDefault="00000000">
      <w:pPr>
        <w:rPr>
          <w:lang w:bidi="he-IL"/>
        </w:rPr>
      </w:pPr>
      <w:r>
        <w:rPr>
          <w:rStyle w:val="FootnoteReference"/>
          <w:rtl/>
          <w:lang w:bidi="he-IL"/>
        </w:rPr>
        <w:footnoteReference w:id="364"/>
      </w:r>
      <w:r>
        <w:rPr>
          <w:rtl/>
          <w:lang w:bidi="he-IL"/>
        </w:rPr>
        <w:t>רַבִּי אֱלִיעֶזֶר אוֹמֵר, נוֹטֵל אָדָם קֵיסָם מִשֶּׁלְּפָנָיו</w:t>
      </w:r>
      <w:r>
        <w:rPr>
          <w:rStyle w:val="FootnoteReference"/>
          <w:rtl/>
          <w:lang w:bidi="he-IL"/>
        </w:rPr>
        <w:footnoteReference w:id="365"/>
      </w:r>
      <w:r>
        <w:rPr>
          <w:rtl/>
          <w:lang w:bidi="he-IL"/>
        </w:rPr>
        <w:t xml:space="preserve"> לַחֲצֹץ בּוֹ שִׁנָּיו</w:t>
      </w:r>
      <w:r>
        <w:rPr>
          <w:rStyle w:val="FootnoteReference"/>
          <w:rtl/>
          <w:lang w:bidi="he-IL"/>
        </w:rPr>
        <w:footnoteReference w:id="366"/>
      </w:r>
      <w:r>
        <w:rPr>
          <w:rtl/>
          <w:lang w:bidi="he-IL"/>
        </w:rPr>
        <w:t>. וּמְגַבֵּב מִן הֶחָצֵר וּמַדְלִיק, שֶׁכָּל מַה שֶּׁבֶּחָצֵר מוּכָן הוּא</w:t>
      </w:r>
      <w:r>
        <w:rPr>
          <w:rStyle w:val="FootnoteReference"/>
          <w:rtl/>
          <w:lang w:bidi="he-IL"/>
        </w:rPr>
        <w:footnoteReference w:id="367"/>
      </w:r>
      <w:r>
        <w:rPr>
          <w:rtl/>
          <w:lang w:bidi="he-IL"/>
        </w:rPr>
        <w:t>. וַחֲכָמִים אוֹמְרִים, מְגַבֵּב מִשֶּׁלְּפָנָיו</w:t>
      </w:r>
      <w:r>
        <w:rPr>
          <w:rStyle w:val="FootnoteReference"/>
          <w:rtl/>
          <w:lang w:bidi="he-IL"/>
        </w:rPr>
        <w:footnoteReference w:id="368"/>
      </w:r>
      <w:r>
        <w:rPr>
          <w:rtl/>
          <w:lang w:bidi="he-IL"/>
        </w:rPr>
        <w:t xml:space="preserve"> וּמַדְלִיק</w:t>
      </w:r>
      <w:r>
        <w:rPr>
          <w:rStyle w:val="FootnoteReference"/>
          <w:rtl/>
          <w:lang w:bidi="he-IL"/>
        </w:rPr>
        <w:footnoteReference w:id="369"/>
      </w:r>
      <w:r>
        <w:rPr>
          <w:rtl/>
          <w:lang w:bidi="he-IL"/>
        </w:rPr>
        <w:t>:</w:t>
      </w:r>
      <w:r>
        <w:rPr>
          <w:rStyle w:val="FootnoteReference"/>
          <w:rtl/>
          <w:lang w:bidi="he-IL"/>
        </w:rPr>
        <w:footnoteReference w:id="370"/>
      </w:r>
    </w:p>
    <w:p w14:paraId="02FF729A" w14:textId="77777777" w:rsidR="0009007A" w:rsidRDefault="00000000">
      <w:pPr>
        <w:pStyle w:val="Heading2"/>
      </w:pPr>
      <w:r>
        <w:rPr>
          <w:rtl/>
        </w:rPr>
        <w:t>משנה ז:</w:t>
      </w:r>
      <w:r>
        <w:rPr>
          <w:rStyle w:val="FootnoteReference"/>
          <w:rtl/>
        </w:rPr>
        <w:footnoteReference w:id="371"/>
      </w:r>
    </w:p>
    <w:p w14:paraId="1CDC3B50" w14:textId="77777777" w:rsidR="0009007A" w:rsidRDefault="00000000">
      <w:pPr>
        <w:rPr>
          <w:lang w:bidi="he-IL"/>
        </w:rPr>
      </w:pPr>
      <w:r>
        <w:rPr>
          <w:rtl/>
          <w:lang w:bidi="he-IL"/>
        </w:rPr>
        <w:t>(לג.- לה:)</w:t>
      </w:r>
    </w:p>
    <w:p w14:paraId="47DC3CD6" w14:textId="77777777" w:rsidR="0009007A" w:rsidRDefault="00000000">
      <w:pPr>
        <w:rPr>
          <w:lang w:bidi="he-IL"/>
        </w:rPr>
      </w:pPr>
      <w:r>
        <w:rPr>
          <w:rStyle w:val="FootnoteReference"/>
          <w:rtl/>
          <w:lang w:bidi="he-IL"/>
        </w:rPr>
        <w:footnoteReference w:id="372"/>
      </w:r>
      <w:r>
        <w:rPr>
          <w:rtl/>
          <w:lang w:bidi="he-IL"/>
        </w:rPr>
        <w:t>אֵין מוֹצִיאִין אֶת הָאוּר</w:t>
      </w:r>
      <w:r>
        <w:rPr>
          <w:rStyle w:val="FootnoteReference"/>
          <w:rtl/>
          <w:lang w:bidi="he-IL"/>
        </w:rPr>
        <w:footnoteReference w:id="373"/>
      </w:r>
      <w:r>
        <w:rPr>
          <w:rtl/>
          <w:lang w:bidi="he-IL"/>
        </w:rPr>
        <w:t xml:space="preserve"> לֹא מִן הָעֵצִים</w:t>
      </w:r>
      <w:r>
        <w:rPr>
          <w:rStyle w:val="FootnoteReference"/>
          <w:rtl/>
          <w:lang w:bidi="he-IL"/>
        </w:rPr>
        <w:footnoteReference w:id="374"/>
      </w:r>
      <w:r>
        <w:rPr>
          <w:rtl/>
          <w:lang w:bidi="he-IL"/>
        </w:rPr>
        <w:t>, וְלֹא מִן הָאֲבָנִים</w:t>
      </w:r>
      <w:r>
        <w:rPr>
          <w:rStyle w:val="FootnoteReference"/>
          <w:rtl/>
          <w:lang w:bidi="he-IL"/>
        </w:rPr>
        <w:footnoteReference w:id="375"/>
      </w:r>
      <w:r>
        <w:rPr>
          <w:rtl/>
          <w:lang w:bidi="he-IL"/>
        </w:rPr>
        <w:t>, וְלֹא מִן הֶעָפָר</w:t>
      </w:r>
      <w:r>
        <w:rPr>
          <w:rStyle w:val="FootnoteReference"/>
          <w:rtl/>
          <w:lang w:bidi="he-IL"/>
        </w:rPr>
        <w:footnoteReference w:id="376"/>
      </w:r>
      <w:r>
        <w:rPr>
          <w:rtl/>
          <w:lang w:bidi="he-IL"/>
        </w:rPr>
        <w:t>, וְלֹא מִן הַמַּיִם</w:t>
      </w:r>
      <w:r>
        <w:rPr>
          <w:rStyle w:val="FootnoteReference"/>
          <w:rtl/>
          <w:lang w:bidi="he-IL"/>
        </w:rPr>
        <w:footnoteReference w:id="377"/>
      </w:r>
      <w:r>
        <w:rPr>
          <w:rtl/>
          <w:lang w:bidi="he-IL"/>
        </w:rPr>
        <w:t>, וְאֵין מְלַבְּנִין אֶת הָרְעָפִים לִצְלוֹת בָּהֶן</w:t>
      </w:r>
      <w:r>
        <w:rPr>
          <w:rStyle w:val="FootnoteReference"/>
          <w:rtl/>
          <w:lang w:bidi="he-IL"/>
        </w:rPr>
        <w:footnoteReference w:id="378"/>
      </w:r>
      <w:r>
        <w:rPr>
          <w:rtl/>
          <w:lang w:bidi="he-IL"/>
        </w:rPr>
        <w:t>. וְעוֹד</w:t>
      </w:r>
      <w:r>
        <w:rPr>
          <w:rStyle w:val="FootnoteReference"/>
          <w:rtl/>
          <w:lang w:bidi="he-IL"/>
        </w:rPr>
        <w:footnoteReference w:id="379"/>
      </w:r>
      <w:r>
        <w:rPr>
          <w:rtl/>
          <w:lang w:bidi="he-IL"/>
        </w:rPr>
        <w:t xml:space="preserve"> אָמַר רַבִּי אֱלִיעֶזֶר, עוֹמֵד</w:t>
      </w:r>
      <w:r>
        <w:rPr>
          <w:rStyle w:val="FootnoteReference"/>
          <w:rtl/>
          <w:lang w:bidi="he-IL"/>
        </w:rPr>
        <w:footnoteReference w:id="380"/>
      </w:r>
      <w:r>
        <w:rPr>
          <w:rtl/>
          <w:lang w:bidi="he-IL"/>
        </w:rPr>
        <w:t xml:space="preserve"> אָדָם עַל הַמֻּקְצֶה</w:t>
      </w:r>
      <w:r>
        <w:rPr>
          <w:rStyle w:val="FootnoteReference"/>
          <w:rtl/>
          <w:lang w:bidi="he-IL"/>
        </w:rPr>
        <w:footnoteReference w:id="381"/>
      </w:r>
      <w:r>
        <w:rPr>
          <w:rtl/>
          <w:lang w:bidi="he-IL"/>
        </w:rPr>
        <w:t xml:space="preserve"> עֶרֶב שַׁבָּת בַּשְּׁבִיעִית</w:t>
      </w:r>
      <w:r>
        <w:rPr>
          <w:rStyle w:val="FootnoteReference"/>
          <w:rtl/>
          <w:lang w:bidi="he-IL"/>
        </w:rPr>
        <w:footnoteReference w:id="382"/>
      </w:r>
      <w:r>
        <w:rPr>
          <w:rtl/>
          <w:lang w:bidi="he-IL"/>
        </w:rPr>
        <w:t>, וְאוֹמֵר, מִכָּאן אֲנִי אוֹכֵל לְמָחָר. וַחֲכָמִים אוֹמְרִים, עַד שֶׁיִּרְשֹׁם וְיֹאמַר, מִכָּאן וְעַד כָּאן</w:t>
      </w:r>
      <w:r>
        <w:rPr>
          <w:rStyle w:val="FootnoteReference"/>
          <w:rtl/>
          <w:lang w:bidi="he-IL"/>
        </w:rPr>
        <w:footnoteReference w:id="383"/>
      </w:r>
      <w:r>
        <w:rPr>
          <w:rtl/>
          <w:lang w:bidi="he-IL"/>
        </w:rPr>
        <w:t>:</w:t>
      </w:r>
      <w:r>
        <w:rPr>
          <w:rStyle w:val="FootnoteReference"/>
          <w:rtl/>
          <w:lang w:bidi="he-IL"/>
        </w:rPr>
        <w:footnoteReference w:id="384"/>
      </w:r>
    </w:p>
    <w:p w14:paraId="6716C73D" w14:textId="77777777" w:rsidR="0009007A" w:rsidRDefault="00000000">
      <w:pPr>
        <w:pStyle w:val="Heading1"/>
      </w:pPr>
      <w:r>
        <w:rPr>
          <w:rtl/>
        </w:rPr>
        <w:lastRenderedPageBreak/>
        <w:t>פרק חמישי</w:t>
      </w:r>
    </w:p>
    <w:p w14:paraId="6FE665C5" w14:textId="77777777" w:rsidR="0009007A" w:rsidRDefault="00000000">
      <w:pPr>
        <w:pStyle w:val="Heading2"/>
      </w:pPr>
      <w:r>
        <w:rPr>
          <w:rtl/>
        </w:rPr>
        <w:t>משנה א:</w:t>
      </w:r>
      <w:r>
        <w:rPr>
          <w:rStyle w:val="FootnoteReference"/>
          <w:rtl/>
        </w:rPr>
        <w:footnoteReference w:id="385"/>
      </w:r>
    </w:p>
    <w:p w14:paraId="74DB2502" w14:textId="77777777" w:rsidR="0009007A" w:rsidRDefault="00000000">
      <w:pPr>
        <w:rPr>
          <w:lang w:bidi="he-IL"/>
        </w:rPr>
      </w:pPr>
      <w:r>
        <w:rPr>
          <w:rtl/>
          <w:lang w:bidi="he-IL"/>
        </w:rPr>
        <w:t>(לה:- לו:)</w:t>
      </w:r>
    </w:p>
    <w:p w14:paraId="1627B40B" w14:textId="77777777" w:rsidR="0009007A" w:rsidRDefault="00000000">
      <w:pPr>
        <w:rPr>
          <w:lang w:bidi="he-IL"/>
        </w:rPr>
      </w:pPr>
      <w:r>
        <w:rPr>
          <w:rStyle w:val="FootnoteReference"/>
          <w:rtl/>
          <w:lang w:bidi="he-IL"/>
        </w:rPr>
        <w:footnoteReference w:id="386"/>
      </w:r>
      <w:r>
        <w:rPr>
          <w:rtl/>
          <w:lang w:bidi="he-IL"/>
        </w:rPr>
        <w:t>מַשִּׁילִין פֵּרוֹת</w:t>
      </w:r>
      <w:r>
        <w:rPr>
          <w:rStyle w:val="FootnoteReference"/>
          <w:rtl/>
          <w:lang w:bidi="he-IL"/>
        </w:rPr>
        <w:footnoteReference w:id="387"/>
      </w:r>
      <w:r>
        <w:rPr>
          <w:rtl/>
          <w:lang w:bidi="he-IL"/>
        </w:rPr>
        <w:t xml:space="preserve"> דֶּרֶךְ אֲרֻבָּה בְּיוֹם טוֹב</w:t>
      </w:r>
      <w:r>
        <w:rPr>
          <w:rStyle w:val="FootnoteReference"/>
          <w:rtl/>
          <w:lang w:bidi="he-IL"/>
        </w:rPr>
        <w:footnoteReference w:id="388"/>
      </w:r>
      <w:r>
        <w:rPr>
          <w:rtl/>
          <w:lang w:bidi="he-IL"/>
        </w:rPr>
        <w:t>, אֲבָל לֹא בְשַׁבָּת</w:t>
      </w:r>
      <w:r>
        <w:rPr>
          <w:rStyle w:val="FootnoteReference"/>
          <w:rtl/>
          <w:lang w:bidi="he-IL"/>
        </w:rPr>
        <w:footnoteReference w:id="389"/>
      </w:r>
      <w:r>
        <w:rPr>
          <w:rtl/>
          <w:lang w:bidi="he-IL"/>
        </w:rPr>
        <w:t>, וּמְכַסִּים פֵּרוֹת</w:t>
      </w:r>
      <w:r>
        <w:rPr>
          <w:rStyle w:val="FootnoteReference"/>
          <w:rtl/>
          <w:lang w:bidi="he-IL"/>
        </w:rPr>
        <w:footnoteReference w:id="390"/>
      </w:r>
      <w:r>
        <w:rPr>
          <w:rtl/>
          <w:lang w:bidi="he-IL"/>
        </w:rPr>
        <w:t xml:space="preserve"> בְּכֵלִים מִפְּנֵי הַדֶּלֶף, וְכֵן כַּדֵּי יַיִן וְכַדֵּי שֶׁמֶן</w:t>
      </w:r>
      <w:r>
        <w:rPr>
          <w:rStyle w:val="FootnoteReference"/>
          <w:rtl/>
          <w:lang w:bidi="he-IL"/>
        </w:rPr>
        <w:footnoteReference w:id="391"/>
      </w:r>
      <w:r>
        <w:rPr>
          <w:rtl/>
          <w:lang w:bidi="he-IL"/>
        </w:rPr>
        <w:t>. וְנוֹתְנִין כְּלִי תַּחַת הַדֶּלֶף</w:t>
      </w:r>
      <w:r>
        <w:rPr>
          <w:rStyle w:val="FootnoteReference"/>
          <w:rtl/>
          <w:lang w:bidi="he-IL"/>
        </w:rPr>
        <w:footnoteReference w:id="392"/>
      </w:r>
      <w:r>
        <w:rPr>
          <w:rtl/>
          <w:lang w:bidi="he-IL"/>
        </w:rPr>
        <w:t xml:space="preserve"> בְּשַׁבָּת</w:t>
      </w:r>
      <w:r>
        <w:rPr>
          <w:rStyle w:val="FootnoteReference"/>
          <w:rtl/>
          <w:lang w:bidi="he-IL"/>
        </w:rPr>
        <w:footnoteReference w:id="393"/>
      </w:r>
      <w:r>
        <w:rPr>
          <w:rtl/>
          <w:lang w:bidi="he-IL"/>
        </w:rPr>
        <w:t>:</w:t>
      </w:r>
      <w:r>
        <w:rPr>
          <w:rStyle w:val="FootnoteReference"/>
          <w:rtl/>
          <w:lang w:bidi="he-IL"/>
        </w:rPr>
        <w:footnoteReference w:id="394"/>
      </w:r>
    </w:p>
    <w:p w14:paraId="0C32B648" w14:textId="77777777" w:rsidR="0009007A" w:rsidRDefault="00000000">
      <w:pPr>
        <w:pStyle w:val="Heading2"/>
      </w:pPr>
      <w:r>
        <w:rPr>
          <w:rtl/>
        </w:rPr>
        <w:lastRenderedPageBreak/>
        <w:t>משנה ב:</w:t>
      </w:r>
      <w:r>
        <w:rPr>
          <w:rStyle w:val="FootnoteReference"/>
          <w:rtl/>
        </w:rPr>
        <w:footnoteReference w:id="395"/>
      </w:r>
    </w:p>
    <w:p w14:paraId="1087A90C" w14:textId="77777777" w:rsidR="0009007A" w:rsidRDefault="00000000">
      <w:pPr>
        <w:rPr>
          <w:lang w:bidi="he-IL"/>
        </w:rPr>
      </w:pPr>
      <w:r>
        <w:rPr>
          <w:rtl/>
          <w:lang w:bidi="he-IL"/>
        </w:rPr>
        <w:t>(לו:- לז.)</w:t>
      </w:r>
    </w:p>
    <w:p w14:paraId="3F6CF060" w14:textId="77777777" w:rsidR="0009007A" w:rsidRDefault="00000000">
      <w:pPr>
        <w:rPr>
          <w:lang w:bidi="he-IL"/>
        </w:rPr>
      </w:pPr>
      <w:r>
        <w:rPr>
          <w:rStyle w:val="FootnoteReference"/>
          <w:rtl/>
          <w:lang w:bidi="he-IL"/>
        </w:rPr>
        <w:footnoteReference w:id="396"/>
      </w:r>
      <w:r>
        <w:rPr>
          <w:rtl/>
          <w:lang w:bidi="he-IL"/>
        </w:rPr>
        <w:t>כֹּל שֶׁחַיָּבִין עָלָיו</w:t>
      </w:r>
      <w:r>
        <w:rPr>
          <w:rStyle w:val="FootnoteReference"/>
          <w:rtl/>
          <w:lang w:bidi="he-IL"/>
        </w:rPr>
        <w:footnoteReference w:id="397"/>
      </w:r>
      <w:r>
        <w:rPr>
          <w:rtl/>
          <w:lang w:bidi="he-IL"/>
        </w:rPr>
        <w:t xml:space="preserve"> מִשּׁוּם שְׁבוּת</w:t>
      </w:r>
      <w:r>
        <w:rPr>
          <w:rStyle w:val="FootnoteReference"/>
          <w:rtl/>
          <w:lang w:bidi="he-IL"/>
        </w:rPr>
        <w:footnoteReference w:id="398"/>
      </w:r>
      <w:r>
        <w:rPr>
          <w:rtl/>
          <w:lang w:bidi="he-IL"/>
        </w:rPr>
        <w:t>, מִשּׁוּם רְשׁוּת</w:t>
      </w:r>
      <w:r>
        <w:rPr>
          <w:rStyle w:val="FootnoteReference"/>
          <w:rtl/>
          <w:lang w:bidi="he-IL"/>
        </w:rPr>
        <w:footnoteReference w:id="399"/>
      </w:r>
      <w:r>
        <w:rPr>
          <w:rtl/>
          <w:lang w:bidi="he-IL"/>
        </w:rPr>
        <w:t>, מִשּׁוּם מִצְוָה</w:t>
      </w:r>
      <w:r>
        <w:rPr>
          <w:rStyle w:val="FootnoteReference"/>
          <w:rtl/>
          <w:lang w:bidi="he-IL"/>
        </w:rPr>
        <w:footnoteReference w:id="400"/>
      </w:r>
      <w:r>
        <w:rPr>
          <w:rtl/>
          <w:lang w:bidi="he-IL"/>
        </w:rPr>
        <w:t>, בְּשַׁבָּת, חַיָּבִין עָלָיו בְּיוֹם טוֹב. וְאֵלּוּ הֵן מִשּׁוּם שְׁבוּת, לֹא עוֹלִין בָּאִילָן</w:t>
      </w:r>
      <w:r>
        <w:rPr>
          <w:rStyle w:val="FootnoteReference"/>
          <w:rtl/>
          <w:lang w:bidi="he-IL"/>
        </w:rPr>
        <w:footnoteReference w:id="401"/>
      </w:r>
      <w:r>
        <w:rPr>
          <w:rtl/>
          <w:lang w:bidi="he-IL"/>
        </w:rPr>
        <w:t>, וְלֹא רוֹכְבִין עַל גַּבֵּי בְהֵמָה</w:t>
      </w:r>
      <w:r>
        <w:rPr>
          <w:rStyle w:val="FootnoteReference"/>
          <w:rtl/>
          <w:lang w:bidi="he-IL"/>
        </w:rPr>
        <w:footnoteReference w:id="402"/>
      </w:r>
      <w:r>
        <w:rPr>
          <w:rtl/>
          <w:lang w:bidi="he-IL"/>
        </w:rPr>
        <w:t>, וְלֹא שָׁטִין עַל פְּנֵי הַמַּיִם</w:t>
      </w:r>
      <w:r>
        <w:rPr>
          <w:rStyle w:val="FootnoteReference"/>
          <w:rtl/>
          <w:lang w:bidi="he-IL"/>
        </w:rPr>
        <w:footnoteReference w:id="403"/>
      </w:r>
      <w:r>
        <w:rPr>
          <w:rtl/>
          <w:lang w:bidi="he-IL"/>
        </w:rPr>
        <w:t>, וְלֹא מְטַפְּחִין</w:t>
      </w:r>
      <w:r>
        <w:rPr>
          <w:rStyle w:val="FootnoteReference"/>
          <w:rtl/>
          <w:lang w:bidi="he-IL"/>
        </w:rPr>
        <w:footnoteReference w:id="404"/>
      </w:r>
      <w:r>
        <w:rPr>
          <w:rtl/>
          <w:lang w:bidi="he-IL"/>
        </w:rPr>
        <w:t>, וְלֹא מְסַפְּקִין</w:t>
      </w:r>
      <w:r>
        <w:rPr>
          <w:rStyle w:val="FootnoteReference"/>
          <w:rtl/>
          <w:lang w:bidi="he-IL"/>
        </w:rPr>
        <w:footnoteReference w:id="405"/>
      </w:r>
      <w:r>
        <w:rPr>
          <w:rtl/>
          <w:lang w:bidi="he-IL"/>
        </w:rPr>
        <w:t>, וְלֹא מְרַקְּדִין</w:t>
      </w:r>
      <w:r>
        <w:rPr>
          <w:rStyle w:val="FootnoteReference"/>
          <w:rtl/>
          <w:lang w:bidi="he-IL"/>
        </w:rPr>
        <w:footnoteReference w:id="406"/>
      </w:r>
      <w:r>
        <w:rPr>
          <w:rStyle w:val="FootnoteReference"/>
          <w:rtl/>
          <w:lang w:bidi="he-IL"/>
        </w:rPr>
        <w:footnoteReference w:id="407"/>
      </w:r>
      <w:r>
        <w:rPr>
          <w:rtl/>
          <w:lang w:bidi="he-IL"/>
        </w:rPr>
        <w:t>. וְאֵלּוּ הֵן מִשּׁוּם רְשׁוּת, לֹא דָנִין</w:t>
      </w:r>
      <w:r>
        <w:rPr>
          <w:rStyle w:val="FootnoteReference"/>
          <w:rtl/>
          <w:lang w:bidi="he-IL"/>
        </w:rPr>
        <w:footnoteReference w:id="408"/>
      </w:r>
      <w:r>
        <w:rPr>
          <w:rtl/>
          <w:lang w:bidi="he-IL"/>
        </w:rPr>
        <w:t>, וְלֹא מְקַדְּשִׁין</w:t>
      </w:r>
      <w:r>
        <w:rPr>
          <w:rStyle w:val="FootnoteReference"/>
          <w:rtl/>
          <w:lang w:bidi="he-IL"/>
        </w:rPr>
        <w:footnoteReference w:id="409"/>
      </w:r>
      <w:r>
        <w:rPr>
          <w:rtl/>
          <w:lang w:bidi="he-IL"/>
        </w:rPr>
        <w:t>, וְלֹא חוֹלְצִין</w:t>
      </w:r>
      <w:r>
        <w:rPr>
          <w:rStyle w:val="FootnoteReference"/>
          <w:rtl/>
          <w:lang w:bidi="he-IL"/>
        </w:rPr>
        <w:footnoteReference w:id="410"/>
      </w:r>
      <w:r>
        <w:rPr>
          <w:rtl/>
          <w:lang w:bidi="he-IL"/>
        </w:rPr>
        <w:t>, וְלֹא מְיַבְּמִין</w:t>
      </w:r>
      <w:r>
        <w:rPr>
          <w:rStyle w:val="FootnoteReference"/>
          <w:rtl/>
          <w:lang w:bidi="he-IL"/>
        </w:rPr>
        <w:footnoteReference w:id="411"/>
      </w:r>
      <w:r>
        <w:rPr>
          <w:rtl/>
          <w:lang w:bidi="he-IL"/>
        </w:rPr>
        <w:t>. וְאֵלּוּ הֵן מִשּׁוּם מִצְוָה, לֹא מַקְדִּישִׁין, וְלֹא מַעֲרִיכִין, וְלֹא מַחֲרִימִין</w:t>
      </w:r>
      <w:r>
        <w:rPr>
          <w:rStyle w:val="FootnoteReference"/>
          <w:rtl/>
          <w:lang w:bidi="he-IL"/>
        </w:rPr>
        <w:footnoteReference w:id="412"/>
      </w:r>
      <w:r>
        <w:rPr>
          <w:rtl/>
          <w:lang w:bidi="he-IL"/>
        </w:rPr>
        <w:t>, וְלֹא מַגְבִּיהִין תְּרוּמָה וּמַעֲשֵׂר</w:t>
      </w:r>
      <w:r>
        <w:rPr>
          <w:rStyle w:val="FootnoteReference"/>
          <w:rtl/>
          <w:lang w:bidi="he-IL"/>
        </w:rPr>
        <w:footnoteReference w:id="413"/>
      </w:r>
      <w:r>
        <w:rPr>
          <w:rStyle w:val="FootnoteReference"/>
          <w:rtl/>
          <w:lang w:bidi="he-IL"/>
        </w:rPr>
        <w:footnoteReference w:id="414"/>
      </w:r>
      <w:r>
        <w:rPr>
          <w:rtl/>
          <w:lang w:bidi="he-IL"/>
        </w:rPr>
        <w:t>. כָּל אֵלּוּ בְּיוֹם טוֹב אָמְרוּ, קַל וָחֹמֶר בְּשַׁבָּת. אֵין בֵּין יוֹם טוֹב לְשַׁבָּת אֶלָּא אֹכֶל נֶפֶשׁ</w:t>
      </w:r>
      <w:r>
        <w:rPr>
          <w:rStyle w:val="FootnoteReference"/>
          <w:rtl/>
          <w:lang w:bidi="he-IL"/>
        </w:rPr>
        <w:footnoteReference w:id="415"/>
      </w:r>
      <w:r>
        <w:rPr>
          <w:rtl/>
          <w:lang w:bidi="he-IL"/>
        </w:rPr>
        <w:t xml:space="preserve"> בִּלְבָד</w:t>
      </w:r>
      <w:r>
        <w:rPr>
          <w:rStyle w:val="FootnoteReference"/>
          <w:rtl/>
          <w:lang w:bidi="he-IL"/>
        </w:rPr>
        <w:footnoteReference w:id="416"/>
      </w:r>
      <w:r>
        <w:rPr>
          <w:rtl/>
          <w:lang w:bidi="he-IL"/>
        </w:rPr>
        <w:t>:</w:t>
      </w:r>
      <w:r>
        <w:rPr>
          <w:rStyle w:val="FootnoteReference"/>
          <w:rtl/>
          <w:lang w:bidi="he-IL"/>
        </w:rPr>
        <w:footnoteReference w:id="417"/>
      </w:r>
      <w:r>
        <w:rPr>
          <w:rtl/>
          <w:lang w:bidi="he-IL"/>
        </w:rPr>
        <w:t>.</w:t>
      </w:r>
    </w:p>
    <w:p w14:paraId="514E637F" w14:textId="77777777" w:rsidR="0009007A" w:rsidRDefault="00000000">
      <w:pPr>
        <w:pStyle w:val="Heading2"/>
      </w:pPr>
      <w:r>
        <w:rPr>
          <w:rtl/>
        </w:rPr>
        <w:lastRenderedPageBreak/>
        <w:t>משנה ג:</w:t>
      </w:r>
      <w:r>
        <w:rPr>
          <w:rStyle w:val="FootnoteReference"/>
          <w:rtl/>
        </w:rPr>
        <w:footnoteReference w:id="418"/>
      </w:r>
    </w:p>
    <w:p w14:paraId="474BEA0F" w14:textId="77777777" w:rsidR="0009007A" w:rsidRDefault="00000000">
      <w:pPr>
        <w:rPr>
          <w:lang w:bidi="he-IL"/>
        </w:rPr>
      </w:pPr>
      <w:r>
        <w:rPr>
          <w:rtl/>
          <w:lang w:bidi="he-IL"/>
        </w:rPr>
        <w:t>(לז.- לט.)</w:t>
      </w:r>
    </w:p>
    <w:p w14:paraId="465F2301" w14:textId="77777777" w:rsidR="0009007A" w:rsidRDefault="00000000">
      <w:pPr>
        <w:rPr>
          <w:lang w:bidi="he-IL"/>
        </w:rPr>
      </w:pPr>
      <w:r>
        <w:rPr>
          <w:rStyle w:val="FootnoteReference"/>
          <w:rtl/>
          <w:lang w:bidi="he-IL"/>
        </w:rPr>
        <w:footnoteReference w:id="419"/>
      </w:r>
      <w:r>
        <w:rPr>
          <w:rtl/>
          <w:lang w:bidi="he-IL"/>
        </w:rPr>
        <w:t>הַבְּהֵמָה וְהַכֵּלִים כְּרַגְלֵי הַבְּעָלִים</w:t>
      </w:r>
      <w:r>
        <w:rPr>
          <w:rStyle w:val="FootnoteReference"/>
          <w:rtl/>
          <w:lang w:bidi="he-IL"/>
        </w:rPr>
        <w:footnoteReference w:id="420"/>
      </w:r>
      <w:r>
        <w:rPr>
          <w:rtl/>
          <w:lang w:bidi="he-IL"/>
        </w:rPr>
        <w:t>. הַמּוֹסֵר בְּהֶמְתּוֹ לִבְנוֹ אוֹ לְרוֹעֶה</w:t>
      </w:r>
      <w:r>
        <w:rPr>
          <w:rStyle w:val="FootnoteReference"/>
          <w:rtl/>
          <w:lang w:bidi="he-IL"/>
        </w:rPr>
        <w:footnoteReference w:id="421"/>
      </w:r>
      <w:r>
        <w:rPr>
          <w:rtl/>
          <w:lang w:bidi="he-IL"/>
        </w:rPr>
        <w:t>, הֲרֵי אֵלּוּ כְרַגְלֵי הַבְּעָלִים</w:t>
      </w:r>
      <w:r>
        <w:rPr>
          <w:rStyle w:val="FootnoteReference"/>
          <w:rtl/>
          <w:lang w:bidi="he-IL"/>
        </w:rPr>
        <w:footnoteReference w:id="422"/>
      </w:r>
      <w:r>
        <w:rPr>
          <w:rtl/>
          <w:lang w:bidi="he-IL"/>
        </w:rPr>
        <w:t>. כֵּלִים הַמְיֻחָדִין לְאַחַד מִן הָאַחִין שֶׁבַּבַּיִת, הֲרֵי אֵלּוּ כְרַגְלָיו. וְשֶׁאֵין מְיֻחָדִין, הֲרֵי אֵלּוּ כִמְקוֹם שֶׁהוֹלְכִין</w:t>
      </w:r>
      <w:r>
        <w:rPr>
          <w:rStyle w:val="FootnoteReference"/>
          <w:rtl/>
          <w:lang w:bidi="he-IL"/>
        </w:rPr>
        <w:footnoteReference w:id="423"/>
      </w:r>
      <w:r>
        <w:rPr>
          <w:rStyle w:val="FootnoteReference"/>
          <w:rtl/>
          <w:lang w:bidi="he-IL"/>
        </w:rPr>
        <w:footnoteReference w:id="424"/>
      </w:r>
      <w:r>
        <w:rPr>
          <w:rtl/>
          <w:lang w:bidi="he-IL"/>
        </w:rPr>
        <w:t xml:space="preserve">: </w:t>
      </w:r>
    </w:p>
    <w:p w14:paraId="4ACECA3C" w14:textId="77777777" w:rsidR="0009007A" w:rsidRDefault="00000000">
      <w:pPr>
        <w:pStyle w:val="Heading2"/>
      </w:pPr>
      <w:r>
        <w:rPr>
          <w:rtl/>
        </w:rPr>
        <w:t>משנה ד:</w:t>
      </w:r>
      <w:r>
        <w:rPr>
          <w:rStyle w:val="FootnoteReference"/>
          <w:rtl/>
        </w:rPr>
        <w:footnoteReference w:id="425"/>
      </w:r>
    </w:p>
    <w:p w14:paraId="7A3136B6" w14:textId="77777777" w:rsidR="0009007A" w:rsidRDefault="00000000">
      <w:pPr>
        <w:rPr>
          <w:lang w:bidi="he-IL"/>
        </w:rPr>
      </w:pPr>
      <w:r>
        <w:rPr>
          <w:rtl/>
          <w:lang w:bidi="he-IL"/>
        </w:rPr>
        <w:t>(לז.- לט.)</w:t>
      </w:r>
    </w:p>
    <w:p w14:paraId="4D0CD8EE" w14:textId="77777777" w:rsidR="0009007A" w:rsidRDefault="00000000">
      <w:pPr>
        <w:rPr>
          <w:lang w:bidi="he-IL"/>
        </w:rPr>
      </w:pPr>
      <w:r>
        <w:rPr>
          <w:rStyle w:val="FootnoteReference"/>
          <w:rtl/>
          <w:lang w:bidi="he-IL"/>
        </w:rPr>
        <w:footnoteReference w:id="426"/>
      </w:r>
      <w:r>
        <w:rPr>
          <w:rtl/>
          <w:lang w:bidi="he-IL"/>
        </w:rPr>
        <w:t>הַשּׁוֹאֵל כְּלִי מֵחֲבֵרוֹ מֵעֶרֶב יוֹם טוֹב, כְּרַגְלֵי הַשּׁוֹאֵל</w:t>
      </w:r>
      <w:r>
        <w:rPr>
          <w:rStyle w:val="FootnoteReference"/>
          <w:rtl/>
          <w:lang w:bidi="he-IL"/>
        </w:rPr>
        <w:footnoteReference w:id="427"/>
      </w:r>
      <w:r>
        <w:rPr>
          <w:rtl/>
          <w:lang w:bidi="he-IL"/>
        </w:rPr>
        <w:t>. בְּיוֹם טוֹב, כְּרַגְלֵי הַמַּשְׁאִיל</w:t>
      </w:r>
      <w:r>
        <w:rPr>
          <w:rStyle w:val="FootnoteReference"/>
          <w:rtl/>
          <w:lang w:bidi="he-IL"/>
        </w:rPr>
        <w:footnoteReference w:id="428"/>
      </w:r>
      <w:r>
        <w:rPr>
          <w:rtl/>
          <w:lang w:bidi="he-IL"/>
        </w:rPr>
        <w:t>. הָאִשָּׁה שֶׁשָּׁאֲלָה מֵחֲבֶרְתָּהּ תְּבָלִין וּמַיִם וּמֶלַח לְעִסָּתָהּ, הֲרֵי אֵלּוּ כְרַגְלֵי שְׁתֵּיהֶן</w:t>
      </w:r>
      <w:r>
        <w:rPr>
          <w:rStyle w:val="FootnoteReference"/>
          <w:rtl/>
          <w:lang w:bidi="he-IL"/>
        </w:rPr>
        <w:footnoteReference w:id="429"/>
      </w:r>
      <w:r>
        <w:rPr>
          <w:rtl/>
          <w:lang w:bidi="he-IL"/>
        </w:rPr>
        <w:t>. רַבִּי יְהוּדָה פוֹטֵר בְּמַיִם</w:t>
      </w:r>
      <w:r>
        <w:rPr>
          <w:rStyle w:val="FootnoteReference"/>
          <w:rtl/>
          <w:lang w:bidi="he-IL"/>
        </w:rPr>
        <w:footnoteReference w:id="430"/>
      </w:r>
      <w:r>
        <w:rPr>
          <w:rtl/>
          <w:lang w:bidi="he-IL"/>
        </w:rPr>
        <w:t>, מִפְּנֵי שֶׁאֵין בָּהֶן מַמָּשׁ</w:t>
      </w:r>
      <w:r>
        <w:rPr>
          <w:rStyle w:val="FootnoteReference"/>
          <w:rtl/>
          <w:lang w:bidi="he-IL"/>
        </w:rPr>
        <w:footnoteReference w:id="431"/>
      </w:r>
      <w:r>
        <w:rPr>
          <w:rStyle w:val="FootnoteReference"/>
          <w:rtl/>
          <w:lang w:bidi="he-IL"/>
        </w:rPr>
        <w:footnoteReference w:id="432"/>
      </w:r>
      <w:r>
        <w:rPr>
          <w:rtl/>
          <w:lang w:bidi="he-IL"/>
        </w:rPr>
        <w:t>:</w:t>
      </w:r>
      <w:r>
        <w:rPr>
          <w:rStyle w:val="FootnoteReference"/>
          <w:rtl/>
          <w:lang w:bidi="he-IL"/>
        </w:rPr>
        <w:footnoteReference w:id="433"/>
      </w:r>
    </w:p>
    <w:p w14:paraId="00EB0333" w14:textId="77777777" w:rsidR="0009007A" w:rsidRDefault="00000000">
      <w:pPr>
        <w:pStyle w:val="Heading2"/>
      </w:pPr>
      <w:r>
        <w:rPr>
          <w:rtl/>
        </w:rPr>
        <w:lastRenderedPageBreak/>
        <w:t>משנה ה:</w:t>
      </w:r>
      <w:r>
        <w:rPr>
          <w:rStyle w:val="FootnoteReference"/>
          <w:rtl/>
        </w:rPr>
        <w:footnoteReference w:id="434"/>
      </w:r>
    </w:p>
    <w:p w14:paraId="52E65BBF" w14:textId="77777777" w:rsidR="0009007A" w:rsidRDefault="00000000">
      <w:pPr>
        <w:rPr>
          <w:lang w:bidi="he-IL"/>
        </w:rPr>
      </w:pPr>
      <w:r>
        <w:rPr>
          <w:rtl/>
          <w:lang w:bidi="he-IL"/>
        </w:rPr>
        <w:t>(לט.- לט:)</w:t>
      </w:r>
    </w:p>
    <w:p w14:paraId="6A5A8C45" w14:textId="77777777" w:rsidR="0009007A" w:rsidRDefault="00000000">
      <w:pPr>
        <w:rPr>
          <w:lang w:bidi="he-IL"/>
        </w:rPr>
      </w:pPr>
      <w:r>
        <w:rPr>
          <w:rStyle w:val="FootnoteReference"/>
          <w:rtl/>
          <w:lang w:bidi="he-IL"/>
        </w:rPr>
        <w:footnoteReference w:id="435"/>
      </w:r>
      <w:r>
        <w:rPr>
          <w:rtl/>
          <w:lang w:bidi="he-IL"/>
        </w:rPr>
        <w:t>הַגַּחֶלֶת כְּרַגְלֵי הַבְּעָלִים</w:t>
      </w:r>
      <w:r>
        <w:rPr>
          <w:rStyle w:val="FootnoteReference"/>
          <w:rtl/>
          <w:lang w:bidi="he-IL"/>
        </w:rPr>
        <w:footnoteReference w:id="436"/>
      </w:r>
      <w:r>
        <w:rPr>
          <w:rtl/>
          <w:lang w:bidi="he-IL"/>
        </w:rPr>
        <w:t>, וְשַׁלְהֶבֶת בְּכָל מָקוֹם</w:t>
      </w:r>
      <w:r>
        <w:rPr>
          <w:rStyle w:val="FootnoteReference"/>
          <w:rtl/>
          <w:lang w:bidi="he-IL"/>
        </w:rPr>
        <w:footnoteReference w:id="437"/>
      </w:r>
      <w:r>
        <w:rPr>
          <w:rtl/>
          <w:lang w:bidi="he-IL"/>
        </w:rPr>
        <w:t>. גַּחֶלֶת שֶׁל הֶקְדֵּשׁ מוֹעֲלִין בָּהּ, וְשַׁלְהֶבֶת לֹא נֶהֱנִין וְלֹא מוֹעֲלִין</w:t>
      </w:r>
      <w:r>
        <w:rPr>
          <w:rStyle w:val="FootnoteReference"/>
          <w:rtl/>
          <w:lang w:bidi="he-IL"/>
        </w:rPr>
        <w:footnoteReference w:id="438"/>
      </w:r>
      <w:r>
        <w:rPr>
          <w:rtl/>
          <w:lang w:bidi="he-IL"/>
        </w:rPr>
        <w:t>. הַמּוֹצִיא גַחֶלֶת לִרְשׁוּת הָרַבִּים, חַיָּב</w:t>
      </w:r>
      <w:r>
        <w:rPr>
          <w:rStyle w:val="FootnoteReference"/>
          <w:rtl/>
          <w:lang w:bidi="he-IL"/>
        </w:rPr>
        <w:footnoteReference w:id="439"/>
      </w:r>
      <w:r>
        <w:rPr>
          <w:rtl/>
          <w:lang w:bidi="he-IL"/>
        </w:rPr>
        <w:t>. וְשַׁלְהֶבֶת, פָּטוּר</w:t>
      </w:r>
      <w:r>
        <w:rPr>
          <w:rStyle w:val="FootnoteReference"/>
          <w:rtl/>
          <w:lang w:bidi="he-IL"/>
        </w:rPr>
        <w:footnoteReference w:id="440"/>
      </w:r>
      <w:r>
        <w:rPr>
          <w:rtl/>
          <w:lang w:bidi="he-IL"/>
        </w:rPr>
        <w:t>. בּוֹר</w:t>
      </w:r>
      <w:r>
        <w:rPr>
          <w:rStyle w:val="FootnoteReference"/>
          <w:rtl/>
          <w:lang w:bidi="he-IL"/>
        </w:rPr>
        <w:footnoteReference w:id="441"/>
      </w:r>
      <w:r>
        <w:rPr>
          <w:rtl/>
          <w:lang w:bidi="he-IL"/>
        </w:rPr>
        <w:t xml:space="preserve"> שֶׁל יָחִיד, כְּרַגְלֵי הַיָּחִיד</w:t>
      </w:r>
      <w:r>
        <w:rPr>
          <w:rStyle w:val="FootnoteReference"/>
          <w:rtl/>
          <w:lang w:bidi="he-IL"/>
        </w:rPr>
        <w:footnoteReference w:id="442"/>
      </w:r>
      <w:r>
        <w:rPr>
          <w:rtl/>
          <w:lang w:bidi="he-IL"/>
        </w:rPr>
        <w:t>. וְשֶׁל אַנְשֵׁי אוֹתָהּ הָעִיר, כְּרַגְלֵי אַנְשֵׁי אוֹתָהּ הָעִיר</w:t>
      </w:r>
      <w:r>
        <w:rPr>
          <w:rStyle w:val="FootnoteReference"/>
          <w:rtl/>
          <w:lang w:bidi="he-IL"/>
        </w:rPr>
        <w:footnoteReference w:id="443"/>
      </w:r>
      <w:r>
        <w:rPr>
          <w:rtl/>
          <w:lang w:bidi="he-IL"/>
        </w:rPr>
        <w:t>. וְשֶׁל עוֹלֵי בָבֶל</w:t>
      </w:r>
      <w:r>
        <w:rPr>
          <w:rStyle w:val="FootnoteReference"/>
          <w:rtl/>
          <w:lang w:bidi="he-IL"/>
        </w:rPr>
        <w:footnoteReference w:id="444"/>
      </w:r>
      <w:r>
        <w:rPr>
          <w:rtl/>
          <w:lang w:bidi="he-IL"/>
        </w:rPr>
        <w:t>, כְּרַגְלֵי הַמְמַלֵּא</w:t>
      </w:r>
      <w:r>
        <w:rPr>
          <w:rStyle w:val="FootnoteReference"/>
          <w:rtl/>
          <w:lang w:bidi="he-IL"/>
        </w:rPr>
        <w:footnoteReference w:id="445"/>
      </w:r>
      <w:r>
        <w:rPr>
          <w:rtl/>
          <w:lang w:bidi="he-IL"/>
        </w:rPr>
        <w:t>:</w:t>
      </w:r>
      <w:r>
        <w:rPr>
          <w:rStyle w:val="FootnoteReference"/>
          <w:rtl/>
          <w:lang w:bidi="he-IL"/>
        </w:rPr>
        <w:footnoteReference w:id="446"/>
      </w:r>
    </w:p>
    <w:p w14:paraId="2EC42F39" w14:textId="77777777" w:rsidR="0009007A" w:rsidRDefault="00000000">
      <w:pPr>
        <w:pStyle w:val="Heading2"/>
      </w:pPr>
      <w:r>
        <w:rPr>
          <w:rtl/>
        </w:rPr>
        <w:t>משנה ו:</w:t>
      </w:r>
      <w:r>
        <w:rPr>
          <w:rStyle w:val="FootnoteReference"/>
          <w:rtl/>
        </w:rPr>
        <w:footnoteReference w:id="447"/>
      </w:r>
    </w:p>
    <w:p w14:paraId="375476B9" w14:textId="77777777" w:rsidR="0009007A" w:rsidRDefault="00000000">
      <w:pPr>
        <w:rPr>
          <w:lang w:bidi="he-IL"/>
        </w:rPr>
      </w:pPr>
      <w:r>
        <w:rPr>
          <w:rtl/>
          <w:lang w:bidi="he-IL"/>
        </w:rPr>
        <w:t>(לט:- מ.)</w:t>
      </w:r>
    </w:p>
    <w:p w14:paraId="3E5B68F4" w14:textId="77777777" w:rsidR="0009007A" w:rsidRDefault="00000000">
      <w:pPr>
        <w:rPr>
          <w:lang w:bidi="he-IL"/>
        </w:rPr>
      </w:pPr>
      <w:r>
        <w:rPr>
          <w:rStyle w:val="FootnoteReference"/>
          <w:rtl/>
          <w:lang w:bidi="he-IL"/>
        </w:rPr>
        <w:lastRenderedPageBreak/>
        <w:footnoteReference w:id="448"/>
      </w:r>
      <w:r>
        <w:rPr>
          <w:rtl/>
          <w:lang w:bidi="he-IL"/>
        </w:rPr>
        <w:t>מִי שֶׁהָיוּ פֵרוֹתָיו בְּעִיר אַחֶרֶת, וְעֵרְבוּ בְנֵי אוֹתָהּ הָעִיר לְהָבִיא אֶצְלוֹ מִפֵּרוֹתָיו, לֹא יָבִיאוּ לוֹ</w:t>
      </w:r>
      <w:r>
        <w:rPr>
          <w:rStyle w:val="FootnoteReference"/>
          <w:rtl/>
          <w:lang w:bidi="he-IL"/>
        </w:rPr>
        <w:footnoteReference w:id="449"/>
      </w:r>
      <w:r>
        <w:rPr>
          <w:rtl/>
          <w:lang w:bidi="he-IL"/>
        </w:rPr>
        <w:t>. וְאִם עֵרַב הוּא, פֵּרוֹתָיו כָּמוֹהוּ</w:t>
      </w:r>
      <w:r>
        <w:rPr>
          <w:rStyle w:val="FootnoteReference"/>
          <w:rtl/>
          <w:lang w:bidi="he-IL"/>
        </w:rPr>
        <w:footnoteReference w:id="450"/>
      </w:r>
      <w:r>
        <w:rPr>
          <w:rtl/>
          <w:lang w:bidi="he-IL"/>
        </w:rPr>
        <w:t>:</w:t>
      </w:r>
      <w:r>
        <w:rPr>
          <w:rStyle w:val="FootnoteReference"/>
          <w:rtl/>
          <w:lang w:bidi="he-IL"/>
        </w:rPr>
        <w:footnoteReference w:id="451"/>
      </w:r>
      <w:r>
        <w:rPr>
          <w:rtl/>
          <w:lang w:bidi="he-IL"/>
        </w:rPr>
        <w:t xml:space="preserve"> </w:t>
      </w:r>
    </w:p>
    <w:p w14:paraId="53D638FF" w14:textId="77777777" w:rsidR="0009007A" w:rsidRDefault="00000000">
      <w:pPr>
        <w:pStyle w:val="Heading2"/>
      </w:pPr>
      <w:r>
        <w:rPr>
          <w:rtl/>
        </w:rPr>
        <w:t>משנה ז:</w:t>
      </w:r>
      <w:r>
        <w:rPr>
          <w:rStyle w:val="FootnoteReference"/>
          <w:rtl/>
        </w:rPr>
        <w:footnoteReference w:id="452"/>
      </w:r>
    </w:p>
    <w:p w14:paraId="5C557F1A" w14:textId="77777777" w:rsidR="0009007A" w:rsidRDefault="00000000">
      <w:pPr>
        <w:rPr>
          <w:lang w:bidi="he-IL"/>
        </w:rPr>
      </w:pPr>
      <w:r>
        <w:rPr>
          <w:rtl/>
          <w:lang w:bidi="he-IL"/>
        </w:rPr>
        <w:t>(לט:- מ:)</w:t>
      </w:r>
    </w:p>
    <w:p w14:paraId="56F9FAEF" w14:textId="77777777" w:rsidR="0009007A" w:rsidRDefault="00000000">
      <w:pPr>
        <w:rPr>
          <w:lang w:bidi="he-IL"/>
        </w:rPr>
      </w:pPr>
      <w:r>
        <w:rPr>
          <w:rStyle w:val="FootnoteReference"/>
          <w:rtl/>
          <w:lang w:bidi="he-IL"/>
        </w:rPr>
        <w:footnoteReference w:id="453"/>
      </w:r>
      <w:r>
        <w:rPr>
          <w:rtl/>
          <w:lang w:bidi="he-IL"/>
        </w:rPr>
        <w:t>מִי שֶׁזִּמֵּן אֶצְלוֹ אוֹרְחִים, לֹא יוֹלִיכוּ בְיָדָם מָנוֹת, אֶלָּא אִם כֵּן זִכָּה לָהֶם מָנוֹתֵיהֶם מֵעֶרֶב יוֹם טוֹב</w:t>
      </w:r>
      <w:r>
        <w:rPr>
          <w:rStyle w:val="FootnoteReference"/>
          <w:rtl/>
          <w:lang w:bidi="he-IL"/>
        </w:rPr>
        <w:footnoteReference w:id="454"/>
      </w:r>
      <w:r>
        <w:rPr>
          <w:rtl/>
          <w:lang w:bidi="he-IL"/>
        </w:rPr>
        <w:t xml:space="preserve">. </w:t>
      </w:r>
      <w:r>
        <w:rPr>
          <w:rStyle w:val="FootnoteReference"/>
          <w:rtl/>
          <w:lang w:bidi="he-IL"/>
        </w:rPr>
        <w:footnoteReference w:id="455"/>
      </w:r>
      <w:r>
        <w:rPr>
          <w:rtl/>
          <w:lang w:bidi="he-IL"/>
        </w:rPr>
        <w:t>אֵין מַשְׁקִין</w:t>
      </w:r>
      <w:r>
        <w:rPr>
          <w:rStyle w:val="FootnoteReference"/>
          <w:rtl/>
          <w:lang w:bidi="he-IL"/>
        </w:rPr>
        <w:footnoteReference w:id="456"/>
      </w:r>
      <w:r>
        <w:rPr>
          <w:rtl/>
          <w:lang w:bidi="he-IL"/>
        </w:rPr>
        <w:t xml:space="preserve"> וְשׁוֹחֲטִין אֶת הַמִּדְבָּרִיּוֹת</w:t>
      </w:r>
      <w:r>
        <w:rPr>
          <w:rStyle w:val="FootnoteReference"/>
          <w:rtl/>
          <w:lang w:bidi="he-IL"/>
        </w:rPr>
        <w:footnoteReference w:id="457"/>
      </w:r>
      <w:r>
        <w:rPr>
          <w:rtl/>
          <w:lang w:bidi="he-IL"/>
        </w:rPr>
        <w:t>, אֲבָל מַשְׁקִין וְשׁוֹחֲטִין אֶת הַבַּיָתוֹת</w:t>
      </w:r>
      <w:r>
        <w:rPr>
          <w:rStyle w:val="FootnoteReference"/>
          <w:rtl/>
          <w:lang w:bidi="he-IL"/>
        </w:rPr>
        <w:footnoteReference w:id="458"/>
      </w:r>
      <w:r>
        <w:rPr>
          <w:rtl/>
          <w:lang w:bidi="he-IL"/>
        </w:rPr>
        <w:t>. אֵלּוּ הֵן בַּיָתוֹת, הַלָּנוֹת בָּעִיר. מִדְבָּרִיּוֹת, הַלָּנוֹת בָּאֲפָר</w:t>
      </w:r>
      <w:r>
        <w:rPr>
          <w:rStyle w:val="FootnoteReference"/>
          <w:rtl/>
          <w:lang w:bidi="he-IL"/>
        </w:rPr>
        <w:footnoteReference w:id="459"/>
      </w:r>
      <w:r>
        <w:rPr>
          <w:rtl/>
          <w:lang w:bidi="he-IL"/>
        </w:rPr>
        <w:t>:</w:t>
      </w:r>
      <w:r>
        <w:rPr>
          <w:rStyle w:val="FootnoteReference"/>
          <w:rtl/>
          <w:lang w:bidi="he-IL"/>
        </w:rPr>
        <w:footnoteReference w:id="460"/>
      </w:r>
    </w:p>
    <w:sectPr w:rsidR="0009007A">
      <w:headerReference w:type="default" r:id="rId7"/>
      <w:footerReference w:type="default" r:id="rId8"/>
      <w:pgSz w:w="11906" w:h="16838"/>
      <w:pgMar w:top="1637" w:right="1134" w:bottom="1637" w:left="1134" w:header="1134" w:footer="1134" w:gutter="0"/>
      <w:cols w:space="720"/>
      <w:formProt w:val="0"/>
      <w:bidi/>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E5C5" w14:textId="77777777" w:rsidR="00490933" w:rsidRDefault="00490933">
      <w:r>
        <w:separator/>
      </w:r>
    </w:p>
  </w:endnote>
  <w:endnote w:type="continuationSeparator" w:id="0">
    <w:p w14:paraId="15F1A71C" w14:textId="77777777" w:rsidR="00490933" w:rsidRDefault="0049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SIM">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86E9" w14:textId="77777777" w:rsidR="0009007A" w:rsidRDefault="00000000">
    <w:pPr>
      <w:pStyle w:val="Footer"/>
      <w:jc w:val="center"/>
      <w:rPr>
        <w:b/>
        <w:bCs/>
        <w:lang w:bidi="he-IL"/>
      </w:rPr>
    </w:pPr>
    <w:r>
      <w:rPr>
        <w:b/>
        <w:bCs/>
        <w:rtl/>
        <w:lang w:bidi="he-IL"/>
      </w:rPr>
      <w:t>שי"ח ש"י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33D40" w14:textId="77777777" w:rsidR="00490933" w:rsidRDefault="00490933">
      <w:pPr>
        <w:rPr>
          <w:sz w:val="12"/>
        </w:rPr>
      </w:pPr>
      <w:r>
        <w:separator/>
      </w:r>
    </w:p>
  </w:footnote>
  <w:footnote w:type="continuationSeparator" w:id="0">
    <w:p w14:paraId="7FE1FF05" w14:textId="77777777" w:rsidR="00490933" w:rsidRDefault="00490933">
      <w:pPr>
        <w:rPr>
          <w:sz w:val="12"/>
        </w:rPr>
      </w:pPr>
      <w:r>
        <w:continuationSeparator/>
      </w:r>
    </w:p>
  </w:footnote>
  <w:footnote w:id="1">
    <w:p w14:paraId="79AF8FFF" w14:textId="77777777" w:rsidR="0009007A" w:rsidRDefault="00000000">
      <w:pPr>
        <w:pStyle w:val="FootnoteText"/>
        <w:jc w:val="center"/>
        <w:rPr>
          <w:b/>
          <w:bCs/>
        </w:rPr>
      </w:pPr>
      <w:r>
        <w:rPr>
          <w:rStyle w:val="FootnoteCharacters"/>
        </w:rPr>
        <w:footnoteRef/>
      </w:r>
      <w:r>
        <w:rPr>
          <w:b/>
          <w:bCs/>
          <w:u w:val="single"/>
          <w:rtl/>
          <w:lang w:bidi="he-IL"/>
        </w:rPr>
        <w:tab/>
        <w:t>פרק ראשון</w:t>
      </w:r>
    </w:p>
  </w:footnote>
  <w:footnote w:id="2">
    <w:p w14:paraId="5F343394"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א:</w:t>
      </w:r>
    </w:p>
  </w:footnote>
  <w:footnote w:id="3">
    <w:p w14:paraId="70AB9E0A" w14:textId="77777777" w:rsidR="0009007A" w:rsidRDefault="00000000">
      <w:pPr>
        <w:pStyle w:val="FootnoteText"/>
        <w:rPr>
          <w:b/>
          <w:bCs/>
          <w:lang w:bidi="he-IL"/>
        </w:rPr>
      </w:pPr>
      <w:r>
        <w:rPr>
          <w:rStyle w:val="FootnoteCharacters"/>
        </w:rPr>
        <w:footnoteRef/>
      </w:r>
      <w:r>
        <w:rPr>
          <w:b/>
          <w:bCs/>
          <w:rtl/>
          <w:lang w:bidi="he-IL"/>
        </w:rPr>
        <w:tab/>
        <w:t>הקדמה:</w:t>
      </w:r>
    </w:p>
    <w:p w14:paraId="02DAC758" w14:textId="77777777" w:rsidR="0009007A" w:rsidRDefault="00000000">
      <w:pPr>
        <w:pStyle w:val="FootnoteText"/>
        <w:ind w:firstLine="0"/>
        <w:rPr>
          <w:lang w:bidi="he-IL"/>
        </w:rPr>
      </w:pPr>
      <w:r>
        <w:rPr>
          <w:rtl/>
          <w:lang w:bidi="he-IL"/>
        </w:rPr>
        <w:t>משניות מזכירים שלש דינים של יו"ט שבהם בית הלל מחמיר ובית שמאי מיקל. (בדרך כלל, ב"ש מחמיר וב"ה מיקל, אבל כאן הפוך הוא.). בגמ', שלש הדינים הם במשנה אחת. אבל, במשניות, נחלקו לשני משניות, ומשנה זה מזכיר שנים הראשונים.</w:t>
      </w:r>
    </w:p>
  </w:footnote>
  <w:footnote w:id="4">
    <w:p w14:paraId="1E1E290D" w14:textId="77777777" w:rsidR="0009007A" w:rsidRDefault="00000000">
      <w:pPr>
        <w:pStyle w:val="FootnoteText"/>
        <w:rPr>
          <w:lang w:bidi="he-IL"/>
        </w:rPr>
      </w:pPr>
      <w:r>
        <w:rPr>
          <w:rStyle w:val="FootnoteCharacters"/>
        </w:rPr>
        <w:footnoteRef/>
      </w:r>
      <w:r>
        <w:rPr>
          <w:rtl/>
          <w:lang w:bidi="he-IL"/>
        </w:rPr>
        <w:tab/>
        <w:t xml:space="preserve"> גמ' מביא </w:t>
      </w:r>
      <w:r>
        <w:rPr>
          <w:b/>
          <w:bCs/>
          <w:u w:val="single"/>
          <w:rtl/>
          <w:lang w:bidi="he-IL"/>
        </w:rPr>
        <w:t>(ב, ג.)</w:t>
      </w:r>
      <w:r>
        <w:rPr>
          <w:rtl/>
          <w:lang w:bidi="he-IL"/>
        </w:rPr>
        <w:t xml:space="preserve"> ארבע מהלכים בביאור המחלקת, ומביא בעיה עם כל אחד:</w:t>
      </w:r>
      <w:bookmarkStart w:id="0" w:name="_Hlk166440081_Copy_1_Copy_1_Copy_1_Copy_"/>
    </w:p>
    <w:p w14:paraId="0619A667" w14:textId="77777777" w:rsidR="0009007A" w:rsidRDefault="00000000">
      <w:pPr>
        <w:pStyle w:val="FootnoteText"/>
        <w:numPr>
          <w:ilvl w:val="0"/>
          <w:numId w:val="3"/>
        </w:numPr>
      </w:pPr>
      <w:r>
        <w:rPr>
          <w:rtl/>
          <w:lang w:bidi="he-IL"/>
        </w:rPr>
        <w:t>רב נחמן סובר שכאן מדברים על ביצה מוקצה. יש שני מיני עופות, יש עוף שעומד לשחיטה ויש עוף שעומד לגדל ביצים. אם בא ביצה ממין ראשון, כולי עלמא מודו שמותר לאכול אותו, שאם שלו היתה מוכנת מבע"י, שעומדת לאכילה, והוא אוכל כמו אם שלו, ואז גם הוא מוכן. אבל, אם בא הביצה ממין שני, חולקים ב"ה וב"ש. בית הלל סוברים שיש מוקצה (שאסור להשתמש בשבת במה שלא מוכן מבע"י, גזי' שמא יוציא אותו), ובכלל זה יש נולד (שמה שלא בא לעולם הוא, בהכרח, מוקצה), ובית שמאי סוברים שאין מוקצה, ואין נולד. (אף שמצאנו ששיטות של ב"ה וב"ש הפוכים בשבת, יש לחלק ששבת יותר חמור. אז, לחד גיסא, יותר ראוי לגזור שם, אבל לאידך גיסא, א"צ גזירה כ"כ, כי בנ"א כבר נזהרים.)</w:t>
      </w:r>
    </w:p>
    <w:p w14:paraId="21117D42" w14:textId="77777777" w:rsidR="0009007A" w:rsidRDefault="00000000">
      <w:pPr>
        <w:pStyle w:val="FootnoteText"/>
        <w:ind w:left="720" w:firstLine="0"/>
        <w:rPr>
          <w:lang w:bidi="he-IL"/>
        </w:rPr>
      </w:pPr>
      <w:r>
        <w:rPr>
          <w:rtl/>
          <w:lang w:bidi="he-IL"/>
        </w:rPr>
        <w:t>הבעיה בזה הוא שאם כן יחלקו בשני מחלוקתים- אם יש מוקצה ואם יש נולד (שלא פשוט שיהיו תלויים זה בזה). אז, היה לב"ש ולב"ה לחלוק על התרנגולת ועל הביצים.</w:t>
      </w:r>
    </w:p>
    <w:p w14:paraId="36FF1D86" w14:textId="77777777" w:rsidR="0009007A" w:rsidRDefault="00000000">
      <w:pPr>
        <w:pStyle w:val="FootnoteText"/>
        <w:numPr>
          <w:ilvl w:val="0"/>
          <w:numId w:val="3"/>
        </w:numPr>
      </w:pPr>
      <w:r>
        <w:rPr>
          <w:rtl/>
          <w:lang w:bidi="he-IL"/>
        </w:rPr>
        <w:t>רבה סובר שהחשש כאן הוא הכנה. ממש"כ, "והכינו את אשר הביאו" דורשים שיש רק מין אחד של הכנה שמותרת- הכנת חול לשבת (זה כולל הכנת חול לשבת, הכנת חול ליו"ט, והכנת יו"ט לחול). אבל כל שאר הכנות (חוץ מהכנה מחול לחול, שמסברה פשוט להתיר) הם אסורות. כיון שביצה נולדה יום אחרי גמירתו, נמצא שיום שלפני יו"ט מכין ליו"ט. אז, אם יום שלפני יו"ט שבת הוא, נמצא ששבת הכינה ליו"ט. אז, גזרו רבנן על ביצים אלו בכל יו"ט. בית שמאי, לכאו', סובר שאין איסור הכנה או שאין הכנה קורה ביום שלפניו. (היה אפשר לומר שלא גוזר, אבל לשונו משמע שמתיר בכל ציור. ויש לדון, שלפי צד זה, אולי לא מתיר כשהתרנגולת מוקצה.)</w:t>
      </w:r>
    </w:p>
    <w:p w14:paraId="741C81A2" w14:textId="77777777" w:rsidR="0009007A" w:rsidRDefault="00000000">
      <w:pPr>
        <w:pStyle w:val="FootnoteText"/>
        <w:ind w:left="720" w:firstLine="0"/>
        <w:rPr>
          <w:lang w:bidi="he-IL"/>
        </w:rPr>
      </w:pPr>
      <w:r>
        <w:rPr>
          <w:rtl/>
          <w:lang w:bidi="he-IL"/>
        </w:rPr>
        <w:t>הבעיה בזה הוא שמניח שאסור להנות ממה שמוכן מיו"ט לשבת^. האמוראים שלא מפרשים כן לא מודים לדין זה.</w:t>
      </w:r>
    </w:p>
    <w:p w14:paraId="04A60989" w14:textId="77777777" w:rsidR="0009007A" w:rsidRDefault="00000000">
      <w:pPr>
        <w:pStyle w:val="FootnoteText"/>
        <w:numPr>
          <w:ilvl w:val="0"/>
          <w:numId w:val="3"/>
        </w:numPr>
      </w:pPr>
      <w:r>
        <w:rPr>
          <w:rtl/>
          <w:lang w:bidi="he-IL"/>
        </w:rPr>
        <w:t>רב יוסף סובר שהחשש הוא שאם יאכל ביצה שיוצא מעוף, יאכל פרי שנופל מעץ. אם יאכל את הפרי, יעלה ויתלוש. (ואם תאמר, הרי גזי' לגזי' הוא, וכ',  "משמרת למשמרתי," ואז רק גוז' גזי', ולא גזי' לגזי'. וי"ל שכולא חדא גזי'. כן אומר הגמ', אבל לא כ"כ פשוט מהו התי'.) בית שמאי יסבור שאינו כל כך דומה, ואז אין סיבה לגזור, או שאין אומרים כאן ש"כולא חדא גזי'."</w:t>
      </w:r>
    </w:p>
    <w:p w14:paraId="70C86C9D" w14:textId="77777777" w:rsidR="0009007A" w:rsidRDefault="00000000">
      <w:pPr>
        <w:pStyle w:val="FootnoteText"/>
        <w:ind w:left="720" w:firstLine="0"/>
        <w:rPr>
          <w:lang w:bidi="he-IL"/>
        </w:rPr>
      </w:pPr>
      <w:r>
        <w:rPr>
          <w:rtl/>
          <w:lang w:bidi="he-IL"/>
        </w:rPr>
        <w:t>הבעיה בזה הוא שסובר שביצה דומים לפירות, אף שביצה בלועה, ופירות לא בלועים.</w:t>
      </w:r>
    </w:p>
    <w:p w14:paraId="53FBA471" w14:textId="77777777" w:rsidR="0009007A" w:rsidRDefault="00000000">
      <w:pPr>
        <w:pStyle w:val="FootnoteText"/>
        <w:numPr>
          <w:ilvl w:val="0"/>
          <w:numId w:val="3"/>
        </w:numPr>
        <w:rPr>
          <w:lang w:bidi="he-IL"/>
        </w:rPr>
      </w:pPr>
      <w:r>
        <w:rPr>
          <w:rtl/>
          <w:lang w:bidi="he-IL"/>
        </w:rPr>
        <w:t>ר' יצחק ורבי יוחנן סובר שהחשש הוא שאם יאכל ביצה שיוצא מעוף, ישתה משקים שיוצאים מפרי. אם יאכל את המשקים, יסחט פרי. . (ואם תאמר, הרי גזי' לגזי' הוא, וכ',  "משמרת למשמרתי," ואז רק גוז' גזי', ולא גזי' לגזי'. וי"ל שכולא חדא גזי'. כן אומר הגמ', אבל לא כ"כ פשוט מהו התי'. בית שמאי אולי לא מדמים אותם או סוברים שלא אומרים כאן ש"כולא חדא גזי'" או סוברים שמשקים היוצאים מפירות שלא עומדים לסחיטה מותרים.</w:t>
      </w:r>
    </w:p>
    <w:p w14:paraId="77E061FB" w14:textId="77777777" w:rsidR="0009007A" w:rsidRDefault="00000000">
      <w:pPr>
        <w:pStyle w:val="FootnoteText"/>
        <w:ind w:left="720" w:firstLine="0"/>
      </w:pPr>
      <w:r>
        <w:rPr>
          <w:rtl/>
          <w:lang w:bidi="he-IL"/>
        </w:rPr>
        <w:t>הבעיה בזה הוא שאינו כל כך דומה למשקים, כיון שמשקים עומדים לשתייה, וביצים עומדות לאכילה.</w:t>
      </w:r>
      <w:bookmarkEnd w:id="0"/>
    </w:p>
  </w:footnote>
  <w:footnote w:id="5">
    <w:p w14:paraId="761BDFB4" w14:textId="77777777" w:rsidR="0009007A" w:rsidRDefault="00000000">
      <w:pPr>
        <w:pStyle w:val="FootnoteText"/>
      </w:pPr>
      <w:r>
        <w:rPr>
          <w:rStyle w:val="FootnoteCharacters"/>
        </w:rPr>
        <w:footnoteRef/>
      </w:r>
      <w:r>
        <w:rPr>
          <w:rtl/>
          <w:lang w:bidi="he-IL"/>
        </w:rPr>
        <w:tab/>
        <w:t xml:space="preserve"> גמ' מזכיר יוצא מן הכלל. אם שחט תרנגולת ומצא בה ביצים, מותרות^. </w:t>
      </w:r>
    </w:p>
  </w:footnote>
  <w:footnote w:id="6">
    <w:p w14:paraId="2661F09B" w14:textId="77777777" w:rsidR="0009007A" w:rsidRDefault="00000000">
      <w:pPr>
        <w:pStyle w:val="FootnoteText"/>
        <w:rPr>
          <w:lang w:bidi="he-IL"/>
        </w:rPr>
      </w:pPr>
      <w:r>
        <w:rPr>
          <w:rStyle w:val="FootnoteCharacters"/>
        </w:rPr>
        <w:footnoteRef/>
      </w:r>
      <w:r>
        <w:rPr>
          <w:rtl/>
          <w:lang w:bidi="he-IL"/>
        </w:rPr>
        <w:tab/>
        <w:t xml:space="preserve"> נקדים קצת בענין חמץ. יש שני איסורים של חמץ בפסח (וקצת לפני פסח)- יש איסור אכילה (וגם הנאה), ויש איסור שיהיה בביתו (יש בזה שני לאווים- בל יראה ובל ימצא). כשקרא מדבר על האכילה, מזכיר שאור וחמץ באותו קרא, לומר ששיעור שלהם שווה, והוא כזית. אבל, לשיעור איסור שני, חולקים בית שמאי ובית הלל, כמו שנבאר בס"ד.</w:t>
      </w:r>
    </w:p>
    <w:p w14:paraId="165839A9" w14:textId="77777777" w:rsidR="0009007A" w:rsidRDefault="00000000">
      <w:pPr>
        <w:pStyle w:val="FootnoteText"/>
      </w:pPr>
      <w:r>
        <w:rPr>
          <w:rtl/>
          <w:lang w:bidi="he-IL"/>
        </w:rPr>
        <w:tab/>
        <w:t>יש שני מיני חמץ שנזכרים בתורה. חמץ הוא כל דבר שהחמיץ. שאור הוא כשמניח אותו להחמיץ עד שאינו טוב לאכול אותו עוד, אלא רק יכולים להשתמש בו לתת בתוך איפה להחמיץ. (לא מצאנו הגדרה לזה בגמ'.)</w:t>
      </w:r>
    </w:p>
  </w:footnote>
  <w:footnote w:id="7">
    <w:p w14:paraId="51A8C995" w14:textId="77777777" w:rsidR="0009007A" w:rsidRDefault="00000000">
      <w:pPr>
        <w:pStyle w:val="FootnoteText"/>
      </w:pPr>
      <w:r>
        <w:rPr>
          <w:rStyle w:val="FootnoteCharacters"/>
        </w:rPr>
        <w:footnoteRef/>
      </w:r>
      <w:r>
        <w:rPr>
          <w:rtl/>
          <w:lang w:bidi="he-IL"/>
        </w:rPr>
        <w:tab/>
        <w:t xml:space="preserve"> שיעור של שאור לאיסור בל יראה ובל ימצא הוא כזית ושיעור חמץ לאותם איסורים הוא כותבת. מקור של בית שמאי הוא ממה ששניהם כ' בקרא. אילו היה כ' רק איסור על חמץ, סובר בית שמאי, הייתי לומר ממנו איסור על שאור, כיון שנחמץ יותר. צריך לומר שיש חילוק ביניהם, והוא בענין השיעור^. </w:t>
      </w:r>
      <w:r>
        <w:rPr>
          <w:b/>
          <w:bCs/>
          <w:u w:val="single"/>
          <w:rtl/>
          <w:lang w:bidi="he-IL"/>
        </w:rPr>
        <w:t>(ז:)</w:t>
      </w:r>
    </w:p>
  </w:footnote>
  <w:footnote w:id="8">
    <w:p w14:paraId="534A3404" w14:textId="77777777" w:rsidR="0009007A" w:rsidRDefault="00000000">
      <w:pPr>
        <w:pStyle w:val="FootnoteText"/>
        <w:rPr>
          <w:b/>
          <w:bCs/>
          <w:u w:val="single"/>
        </w:rPr>
      </w:pPr>
      <w:r>
        <w:rPr>
          <w:rStyle w:val="FootnoteCharacters"/>
        </w:rPr>
        <w:footnoteRef/>
      </w:r>
      <w:r>
        <w:rPr>
          <w:rtl/>
          <w:lang w:bidi="he-IL"/>
        </w:rPr>
        <w:tab/>
        <w:t xml:space="preserve"> שיעור של שאור לאיסור ב"י וב"י ושיעור של חמץ לאיסור ב"י וב"י הוא כזית. לעיל, בארנו הוכחת בית שמאי נגד זה. אבל, בית הלל דוחים ההוכחה, וסוברים שאילו היה כ' רק חמץ, לא היה איסור שאור נלמד ממנו, שהייתי אומר שרק חמץ, שראוי באכילה, נאסר בב"י וב"י. אבל, אולי שאור, שלא ראוי אלא להחמיץ, אינו נאסר בב"י וב"י. לכן, כ' איסור שאור, ואז אין ללמוד שאין שיעורים שלהם שווים. </w:t>
      </w:r>
      <w:r>
        <w:rPr>
          <w:b/>
          <w:bCs/>
          <w:u w:val="single"/>
          <w:rtl/>
          <w:lang w:bidi="he-IL"/>
        </w:rPr>
        <w:t>(ז:)</w:t>
      </w:r>
    </w:p>
  </w:footnote>
  <w:footnote w:id="9">
    <w:p w14:paraId="60BA63F4"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6999740F" w14:textId="77777777" w:rsidR="0009007A" w:rsidRDefault="00000000">
      <w:pPr>
        <w:pStyle w:val="FootnoteText"/>
        <w:numPr>
          <w:ilvl w:val="0"/>
          <w:numId w:val="4"/>
        </w:numPr>
        <w:rPr>
          <w:b/>
          <w:bCs/>
        </w:rPr>
      </w:pPr>
      <w:r>
        <w:rPr>
          <w:rtl/>
          <w:lang w:bidi="he-IL"/>
        </w:rPr>
        <w:t>ביצה הנולדה ביו"ט- הדין הוא ככה:</w:t>
      </w:r>
    </w:p>
    <w:p w14:paraId="3F065D48" w14:textId="77777777" w:rsidR="0009007A" w:rsidRDefault="00000000">
      <w:pPr>
        <w:pStyle w:val="FootnoteText"/>
        <w:numPr>
          <w:ilvl w:val="1"/>
          <w:numId w:val="4"/>
        </w:numPr>
        <w:rPr>
          <w:b/>
          <w:bCs/>
        </w:rPr>
      </w:pPr>
      <w:r>
        <w:rPr>
          <w:rtl/>
        </w:rPr>
        <w:t>תרנגולת העומדת לגדל ביצים:</w:t>
      </w:r>
    </w:p>
    <w:p w14:paraId="72357A54" w14:textId="77777777" w:rsidR="0009007A" w:rsidRDefault="00000000">
      <w:pPr>
        <w:numPr>
          <w:ilvl w:val="2"/>
          <w:numId w:val="4"/>
        </w:numPr>
      </w:pPr>
      <w:r>
        <w:rPr>
          <w:rtl/>
        </w:rPr>
        <w:t>הו"א של גמ’- אסור, כיון שנולד הוא.</w:t>
      </w:r>
    </w:p>
    <w:p w14:paraId="08A2ED4B" w14:textId="77777777" w:rsidR="0009007A" w:rsidRDefault="00000000">
      <w:pPr>
        <w:numPr>
          <w:ilvl w:val="2"/>
          <w:numId w:val="4"/>
        </w:numPr>
        <w:rPr>
          <w:lang w:bidi="he-IL"/>
        </w:rPr>
      </w:pPr>
      <w:r>
        <w:rPr>
          <w:rtl/>
        </w:rPr>
        <w:t>רב נחמן</w:t>
      </w:r>
      <w:r>
        <w:rPr>
          <w:rtl/>
          <w:lang w:bidi="he-IL"/>
        </w:rPr>
        <w:t xml:space="preserve"> (אף שיש חולקים על ר"נ בגמ', אין הוכחה שחול' על נקודה זו, אלא להיפך משמע מגמ' (ג.) שמודים לנקודה זו)</w:t>
      </w:r>
      <w:r>
        <w:rPr>
          <w:rtl/>
        </w:rPr>
        <w:t>- זה תלוי במחלקת אם יש מוקצה או אין מוקצה ביום טוב. רב נחמן מחדש שאולי אין מחלקת של מוקצה ביו"ט ומח’ של מוקצה בשבת תלויים זה בזה. שבת יותר חמור, ואז יש יותר סיבה לגזור, אבל בנ"א כבר נזהרים.</w:t>
      </w:r>
    </w:p>
    <w:p w14:paraId="6D7604A0" w14:textId="77777777" w:rsidR="0009007A" w:rsidRDefault="00000000">
      <w:pPr>
        <w:ind w:left="1440" w:hanging="340"/>
        <w:rPr>
          <w:rFonts w:cs="Mangal"/>
          <w:lang w:bidi="he-IL"/>
        </w:rPr>
      </w:pPr>
      <w:r>
        <w:rPr>
          <w:rtl/>
        </w:rPr>
        <w:t>רב נחמן מפרש שזהו המחלקת בין ב"ה וב"ש, שכאן ב"ה מחמיר וב"ש מיקל. שאר השיטות לא מגידים לנו מה חושבים על זה. אף אם סוברים שאין בעיית מוקצה, יהיה בעיה שיש לנו בתרנגול שעומד לאכילה, כמו שנבאר לקמן, בע"ה.</w:t>
      </w:r>
      <w:r>
        <w:rPr>
          <w:rtl/>
          <w:lang w:bidi="he-IL"/>
        </w:rPr>
        <w:t xml:space="preserve"> (לא פשוט שבאמת יש לו אותו הבעיה. אפשר לומר, לפי רב יוסף ורב יצחק, ששם אינו דומה כל כך לציור שגוזרים ממנו, ואז אולי אין גוזרים.)</w:t>
      </w:r>
    </w:p>
    <w:p w14:paraId="639C58AC" w14:textId="77777777" w:rsidR="0009007A" w:rsidRDefault="00000000">
      <w:pPr>
        <w:numPr>
          <w:ilvl w:val="1"/>
          <w:numId w:val="4"/>
        </w:numPr>
      </w:pPr>
      <w:r>
        <w:rPr>
          <w:rtl/>
        </w:rPr>
        <w:t>תרנגולת העומד לאכילה:</w:t>
      </w:r>
    </w:p>
    <w:p w14:paraId="0002A3B7" w14:textId="77777777" w:rsidR="0009007A" w:rsidRDefault="00000000">
      <w:pPr>
        <w:numPr>
          <w:ilvl w:val="2"/>
          <w:numId w:val="4"/>
        </w:numPr>
      </w:pPr>
      <w:r>
        <w:rPr>
          <w:rtl/>
        </w:rPr>
        <w:t>בית שמאי, בית הלל (לפי רב נחמן)- מותר.</w:t>
      </w:r>
    </w:p>
    <w:p w14:paraId="004F662C" w14:textId="77777777" w:rsidR="0009007A" w:rsidRDefault="00000000">
      <w:pPr>
        <w:numPr>
          <w:ilvl w:val="2"/>
          <w:numId w:val="4"/>
        </w:numPr>
        <w:rPr>
          <w:b/>
          <w:bCs/>
        </w:rPr>
      </w:pPr>
      <w:r>
        <w:rPr>
          <w:rtl/>
        </w:rPr>
        <w:t>בית הלל (לפי רבה, רב יוסף, ורב יצחק)- אסור.</w:t>
      </w:r>
    </w:p>
    <w:p w14:paraId="010F4C6E" w14:textId="77777777" w:rsidR="0009007A" w:rsidRDefault="00000000">
      <w:pPr>
        <w:numPr>
          <w:ilvl w:val="0"/>
          <w:numId w:val="4"/>
        </w:numPr>
        <w:rPr>
          <w:b/>
          <w:bCs/>
        </w:rPr>
      </w:pPr>
      <w:r>
        <w:rPr>
          <w:rtl/>
          <w:lang w:bidi="he-IL"/>
        </w:rPr>
        <w:t>שיעורים של איסורי חמץ:</w:t>
      </w:r>
    </w:p>
    <w:p w14:paraId="42F3B9E1" w14:textId="77777777" w:rsidR="0009007A" w:rsidRDefault="00000000">
      <w:pPr>
        <w:numPr>
          <w:ilvl w:val="1"/>
          <w:numId w:val="4"/>
        </w:numPr>
        <w:rPr>
          <w:b/>
          <w:bCs/>
        </w:rPr>
      </w:pPr>
      <w:r>
        <w:rPr>
          <w:rtl/>
          <w:lang w:bidi="he-IL"/>
        </w:rPr>
        <w:t>איסור אכילה:</w:t>
      </w:r>
    </w:p>
    <w:p w14:paraId="1B2EB20C" w14:textId="77777777" w:rsidR="0009007A" w:rsidRDefault="00000000">
      <w:pPr>
        <w:numPr>
          <w:ilvl w:val="2"/>
          <w:numId w:val="4"/>
        </w:numPr>
        <w:rPr>
          <w:b/>
          <w:bCs/>
        </w:rPr>
      </w:pPr>
      <w:r>
        <w:rPr>
          <w:rtl/>
          <w:lang w:bidi="he-IL"/>
        </w:rPr>
        <w:t>שאור- כזית.</w:t>
      </w:r>
    </w:p>
    <w:p w14:paraId="69712E67" w14:textId="77777777" w:rsidR="0009007A" w:rsidRDefault="00000000">
      <w:pPr>
        <w:numPr>
          <w:ilvl w:val="2"/>
          <w:numId w:val="4"/>
        </w:numPr>
        <w:rPr>
          <w:b/>
          <w:bCs/>
        </w:rPr>
      </w:pPr>
      <w:r>
        <w:rPr>
          <w:rtl/>
          <w:lang w:bidi="he-IL"/>
        </w:rPr>
        <w:t>חמץ- כזית.</w:t>
      </w:r>
    </w:p>
    <w:p w14:paraId="360E2087" w14:textId="77777777" w:rsidR="0009007A" w:rsidRDefault="00000000">
      <w:pPr>
        <w:numPr>
          <w:ilvl w:val="1"/>
          <w:numId w:val="4"/>
        </w:numPr>
        <w:rPr>
          <w:b/>
          <w:bCs/>
        </w:rPr>
      </w:pPr>
      <w:r>
        <w:rPr>
          <w:rtl/>
          <w:lang w:bidi="he-IL"/>
        </w:rPr>
        <w:t>שיעור בל יראה ובל ימצא:</w:t>
      </w:r>
    </w:p>
    <w:p w14:paraId="57029F3A" w14:textId="77777777" w:rsidR="0009007A" w:rsidRDefault="00000000">
      <w:pPr>
        <w:numPr>
          <w:ilvl w:val="2"/>
          <w:numId w:val="4"/>
        </w:numPr>
        <w:rPr>
          <w:b/>
          <w:bCs/>
        </w:rPr>
      </w:pPr>
      <w:r>
        <w:rPr>
          <w:rtl/>
          <w:lang w:bidi="he-IL"/>
        </w:rPr>
        <w:t>שאור- כזית.</w:t>
      </w:r>
    </w:p>
    <w:p w14:paraId="1AA35927" w14:textId="77777777" w:rsidR="0009007A" w:rsidRDefault="00000000">
      <w:pPr>
        <w:numPr>
          <w:ilvl w:val="2"/>
          <w:numId w:val="4"/>
        </w:numPr>
        <w:rPr>
          <w:b/>
          <w:bCs/>
        </w:rPr>
      </w:pPr>
      <w:r>
        <w:rPr>
          <w:rtl/>
          <w:lang w:bidi="he-IL"/>
        </w:rPr>
        <w:t>חמץ:</w:t>
      </w:r>
    </w:p>
    <w:p w14:paraId="079FE1EC" w14:textId="77777777" w:rsidR="0009007A" w:rsidRDefault="00000000">
      <w:pPr>
        <w:numPr>
          <w:ilvl w:val="3"/>
          <w:numId w:val="4"/>
        </w:numPr>
        <w:rPr>
          <w:b/>
          <w:bCs/>
        </w:rPr>
      </w:pPr>
      <w:r>
        <w:rPr>
          <w:rtl/>
          <w:lang w:bidi="he-IL"/>
        </w:rPr>
        <w:t>בית שמאי- כותבת.</w:t>
      </w:r>
    </w:p>
    <w:p w14:paraId="1BAAC96B" w14:textId="77777777" w:rsidR="0009007A" w:rsidRDefault="00000000">
      <w:pPr>
        <w:numPr>
          <w:ilvl w:val="3"/>
          <w:numId w:val="4"/>
        </w:numPr>
        <w:rPr>
          <w:b/>
          <w:bCs/>
        </w:rPr>
      </w:pPr>
      <w:r>
        <w:rPr>
          <w:rtl/>
          <w:lang w:bidi="he-IL"/>
        </w:rPr>
        <w:t>בית הלל- כזית.</w:t>
      </w:r>
    </w:p>
  </w:footnote>
  <w:footnote w:id="10">
    <w:p w14:paraId="01FDC792"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ב:</w:t>
      </w:r>
    </w:p>
  </w:footnote>
  <w:footnote w:id="11">
    <w:p w14:paraId="7FDDDA44" w14:textId="77777777" w:rsidR="0009007A" w:rsidRDefault="00000000">
      <w:pPr>
        <w:pStyle w:val="FootnoteText"/>
        <w:rPr>
          <w:lang w:bidi="he-IL"/>
        </w:rPr>
      </w:pPr>
      <w:r>
        <w:rPr>
          <w:rStyle w:val="FootnoteCharacters"/>
        </w:rPr>
        <w:footnoteRef/>
      </w:r>
      <w:r>
        <w:rPr>
          <w:rtl/>
          <w:lang w:bidi="he-IL"/>
        </w:rPr>
        <w:tab/>
        <w:t xml:space="preserve"> כששוחט אדם בריה, חייב לכסות את דמה. נבאר קצת דיני כיסוי הדם. יש שני דברים לדון בהם- מתי ומה.</w:t>
      </w:r>
    </w:p>
    <w:p w14:paraId="7D0B65AD" w14:textId="3066446A" w:rsidR="0009007A" w:rsidRDefault="00000000">
      <w:pPr>
        <w:pStyle w:val="FootnoteText"/>
        <w:rPr>
          <w:lang w:bidi="he-IL"/>
        </w:rPr>
      </w:pPr>
      <w:r>
        <w:rPr>
          <w:rtl/>
          <w:lang w:bidi="he-IL"/>
        </w:rPr>
        <w:tab/>
        <w:t xml:space="preserve">מתי- כיסוי הדם נוהג בא"י ובחו"ל, בזמן שהבית קיים ובזמן שאין הבית קיים. חולקים רבי מאיר ורבי שמעון אם זה נוהג בשחיטה שאינה ראויה (שחיטה שלא מתיר את הבשר להיאכל) או לא נוהג. חולקים אמוראים אם נוהג אם צריך פדיון אחרי שחיטה כדי שיהיה מותר. (נראה שרק חולקים לפי ר"ש, אבל לפי ר"מ, כבר מצאנו שלא צריך שום היתר אכילה. ותחשב.) גם חולקים אמוראים אם נוהג בקדשי מזבח או לא נוהג (שמקישים עופות לחיות, שאין בהם קדשי מזבח). לא נוהג בכל מין בריה, אלא רק בחיה ועוף, שגבי בהמה כ', "על הארץ תשפכנו כמים." (איני יודע אם </w:t>
      </w:r>
      <w:r w:rsidR="00FE538C">
        <w:rPr>
          <w:rFonts w:hint="cs"/>
          <w:rtl/>
          <w:lang w:val="en-US" w:bidi="he-IL"/>
        </w:rPr>
        <w:t>נ</w:t>
      </w:r>
      <w:r>
        <w:rPr>
          <w:rtl/>
          <w:lang w:bidi="he-IL"/>
        </w:rPr>
        <w:t>והג בעופות וחיות הטמאות.</w:t>
      </w:r>
      <w:r w:rsidR="00050622">
        <w:rPr>
          <w:rFonts w:hint="cs"/>
          <w:rtl/>
          <w:lang w:bidi="he-IL"/>
        </w:rPr>
        <w:t xml:space="preserve"> </w:t>
      </w:r>
      <w:r>
        <w:rPr>
          <w:rtl/>
          <w:lang w:bidi="he-IL"/>
        </w:rPr>
        <w:t>לכאו', לפי ר"ש יהיה שחיטה שאינה ראויה, אבל לר"מ יש לדון.)</w:t>
      </w:r>
    </w:p>
    <w:p w14:paraId="3948A23F" w14:textId="77777777" w:rsidR="0009007A" w:rsidRDefault="00000000">
      <w:pPr>
        <w:pStyle w:val="FootnoteText"/>
        <w:rPr>
          <w:rFonts w:cs="Arial"/>
        </w:rPr>
      </w:pPr>
      <w:r>
        <w:rPr>
          <w:rtl/>
          <w:lang w:bidi="he-IL"/>
        </w:rPr>
        <w:tab/>
        <w:t>מהו- מכין עפר (או כל דבר שמצמיח) תחת מקום שחיטתו, שוחט, ומכסה בעפר (או כל דבר שמצמיח). נמצא שיש עפר תחת הדם ועל גב הדם. לומדים שצריך להיות עפר תחת הדם מלשון הפסוק ("בעפר") ושצריך להיות עפר למעלה מן הדם מפשטות הקרא (שצריך לכסות אותו). (איני ידוע אם צריך לכסות אותו לגמרי. ותחשב.)</w:t>
      </w:r>
    </w:p>
  </w:footnote>
  <w:footnote w:id="12">
    <w:p w14:paraId="3285233A" w14:textId="77777777" w:rsidR="0009007A" w:rsidRDefault="00000000">
      <w:pPr>
        <w:pStyle w:val="FootnoteText"/>
        <w:rPr>
          <w:b/>
          <w:bCs/>
          <w:u w:val="single"/>
        </w:rPr>
      </w:pPr>
      <w:r>
        <w:rPr>
          <w:rStyle w:val="FootnoteCharacters"/>
        </w:rPr>
        <w:footnoteRef/>
      </w:r>
      <w:r>
        <w:rPr>
          <w:rtl/>
          <w:lang w:bidi="he-IL"/>
        </w:rPr>
        <w:tab/>
        <w:t xml:space="preserve"> לשון "השוחט" משמע שמדברים במי שכבר שחט שלא כדין. אבל, מן הסיפא של המשנה מבואר נגד זה, שבאותו ציור בית הלל לא חולקים. אז, מפרש גמ' שרצה לומר שאם בא אדם לשחוט (קוראים לו השוחט כיון שרוצה לשחוט) ושואל, ישיבו לו ככה. </w:t>
      </w:r>
      <w:r>
        <w:rPr>
          <w:b/>
          <w:bCs/>
          <w:u w:val="single"/>
          <w:rtl/>
          <w:lang w:bidi="he-IL"/>
        </w:rPr>
        <w:t>(ז</w:t>
      </w:r>
      <w:r>
        <w:rPr>
          <w:rFonts w:ascii="Segoe UI Emoji" w:eastAsia="Segoe UI Emoji" w:hAnsi="Segoe UI Emoji" w:cs="Segoe UI Emoji"/>
          <w:b/>
          <w:bCs/>
          <w:u w:val="single"/>
          <w:rtl/>
          <w:lang w:bidi="he-IL"/>
        </w:rPr>
        <w:t>:)</w:t>
      </w:r>
    </w:p>
  </w:footnote>
  <w:footnote w:id="13">
    <w:p w14:paraId="38A547D4" w14:textId="77777777" w:rsidR="0009007A" w:rsidRDefault="00000000">
      <w:pPr>
        <w:pStyle w:val="FootnoteText"/>
        <w:rPr>
          <w:lang w:bidi="he-IL"/>
        </w:rPr>
      </w:pPr>
      <w:r>
        <w:rPr>
          <w:rStyle w:val="FootnoteCharacters"/>
        </w:rPr>
        <w:footnoteRef/>
      </w:r>
      <w:r>
        <w:rPr>
          <w:rtl/>
          <w:lang w:bidi="he-IL"/>
        </w:rPr>
        <w:tab/>
        <w:t xml:space="preserve"> נ' שזה רק כשאינו עובר על איסור חמור בכיסוי. הוא רק כשאינו חופר, אלא היה דקר נעוץ מבעוד יום, ואז נמצא שמוכן, ואין חשש מוקצה, והוא רק עפר רפה, שלא כותש אותו (שכתישה הוא מלאכת טוחן). ואם תאמר הרי עושה גומא בשבת. גמ' מת' </w:t>
      </w:r>
      <w:r>
        <w:rPr>
          <w:b/>
          <w:bCs/>
          <w:u w:val="single"/>
          <w:rtl/>
          <w:lang w:bidi="he-IL"/>
        </w:rPr>
        <w:t>(ח.)</w:t>
      </w:r>
      <w:r>
        <w:rPr>
          <w:rtl/>
          <w:lang w:bidi="he-IL"/>
        </w:rPr>
        <w:t xml:space="preserve"> שמקלקל הוא. </w:t>
      </w:r>
    </w:p>
    <w:p w14:paraId="37C16F1A" w14:textId="77777777" w:rsidR="0009007A" w:rsidRDefault="00000000">
      <w:pPr>
        <w:pStyle w:val="FootnoteText"/>
        <w:ind w:firstLine="0"/>
      </w:pPr>
      <w:r>
        <w:rPr>
          <w:rtl/>
          <w:lang w:bidi="he-IL"/>
        </w:rPr>
        <w:t>עיין בהשלמות.^</w:t>
      </w:r>
    </w:p>
  </w:footnote>
  <w:footnote w:id="14">
    <w:p w14:paraId="12CFFF2E" w14:textId="77777777" w:rsidR="0009007A" w:rsidRDefault="00000000">
      <w:pPr>
        <w:pStyle w:val="FootnoteText"/>
      </w:pPr>
      <w:r>
        <w:rPr>
          <w:rStyle w:val="FootnoteCharacters"/>
        </w:rPr>
        <w:footnoteRef/>
      </w:r>
      <w:r>
        <w:rPr>
          <w:rtl/>
          <w:lang w:bidi="he-IL"/>
        </w:rPr>
        <w:tab/>
        <w:t xml:space="preserve"> חולקים אם מותר אם אין לו עפר מוכן לשים למטה (אלא יש לו דקר נעוץ בקרקע רפה), שחולקים אם חוששים שמא יקח עפר (ונחוש לכתישה) ולא ישחוט. </w:t>
      </w:r>
      <w:r>
        <w:rPr>
          <w:b/>
          <w:bCs/>
          <w:u w:val="single"/>
          <w:rtl/>
          <w:lang w:bidi="he-IL"/>
        </w:rPr>
        <w:t>(ז:)</w:t>
      </w:r>
      <w:r>
        <w:rPr>
          <w:rtl/>
          <w:lang w:bidi="he-IL"/>
        </w:rPr>
        <w:t xml:space="preserve"> נמצא שב"ש רק סוברים שהוא מותר מפני היתר של שמחת יו"ט.</w:t>
      </w:r>
    </w:p>
  </w:footnote>
  <w:footnote w:id="15">
    <w:p w14:paraId="507D4D2B"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(ח:)</w:t>
      </w:r>
      <w:r>
        <w:rPr>
          <w:rtl/>
          <w:lang w:bidi="he-IL"/>
        </w:rPr>
        <w:t xml:space="preserve"> שאוסר אף אם יש לו דקר נעוץ בקרקע רפה, שאז אין איסור מוקצה, שהכינו, ואין איסור כתישה, שהוא רפה, כיון שחוששים שמא יקח קרקע שצריך כתישה, ויכתוש, ויעבור על מלאכת טוחן. </w:t>
      </w:r>
    </w:p>
  </w:footnote>
  <w:footnote w:id="16">
    <w:p w14:paraId="72065312" w14:textId="77777777" w:rsidR="0009007A" w:rsidRDefault="00000000">
      <w:pPr>
        <w:pStyle w:val="FootnoteText"/>
        <w:rPr>
          <w:b/>
          <w:bCs/>
          <w:u w:val="single"/>
        </w:rPr>
      </w:pPr>
      <w:r>
        <w:rPr>
          <w:rStyle w:val="FootnoteCharacters"/>
        </w:rPr>
        <w:footnoteRef/>
      </w:r>
      <w:r>
        <w:rPr>
          <w:rtl/>
          <w:lang w:bidi="he-IL"/>
        </w:rPr>
        <w:tab/>
        <w:t xml:space="preserve"> רבי יוחנן אולי מהפך מחלקת זו. </w:t>
      </w:r>
      <w:r>
        <w:rPr>
          <w:b/>
          <w:bCs/>
          <w:u w:val="single"/>
          <w:rtl/>
          <w:lang w:bidi="he-IL"/>
        </w:rPr>
        <w:t>(ט:)</w:t>
      </w:r>
    </w:p>
  </w:footnote>
  <w:footnote w:id="17">
    <w:p w14:paraId="77ADBB51" w14:textId="77777777" w:rsidR="0009007A" w:rsidRDefault="00000000">
      <w:pPr>
        <w:pStyle w:val="FootnoteText"/>
        <w:rPr>
          <w:lang w:bidi="he-IL"/>
        </w:rPr>
      </w:pPr>
      <w:r>
        <w:rPr>
          <w:rStyle w:val="FootnoteCharacters"/>
        </w:rPr>
        <w:footnoteRef/>
      </w:r>
      <w:r>
        <w:rPr>
          <w:rtl/>
          <w:lang w:bidi="he-IL"/>
        </w:rPr>
        <w:tab/>
        <w:t xml:space="preserve"> גמ' מבאר </w:t>
      </w:r>
      <w:r>
        <w:rPr>
          <w:b/>
          <w:bCs/>
          <w:u w:val="single"/>
          <w:rtl/>
          <w:lang w:bidi="he-IL"/>
        </w:rPr>
        <w:t>(ז:, ח.)</w:t>
      </w:r>
      <w:r>
        <w:rPr>
          <w:rtl/>
          <w:lang w:bidi="he-IL"/>
        </w:rPr>
        <w:t xml:space="preserve"> שזה רק כשאינו עובר על איסור חמור בכיסוי. הוא רק כשאינו חופר, אלא היה דקר נעוץ מבעוד יום, ואז נמצא שמוכן, ואין חשש מוקצה^^, והוא רק עפר רפה, שלא כותש אותו (שכתישה הוא מלאכת טוחן).</w:t>
      </w:r>
    </w:p>
    <w:p w14:paraId="5EF81446" w14:textId="77777777" w:rsidR="0009007A" w:rsidRDefault="00000000">
      <w:pPr>
        <w:pStyle w:val="FootnoteText"/>
        <w:rPr>
          <w:b/>
          <w:bCs/>
          <w:u w:val="single"/>
        </w:rPr>
      </w:pPr>
      <w:r>
        <w:rPr>
          <w:rtl/>
          <w:lang w:bidi="he-IL"/>
        </w:rPr>
        <w:tab/>
        <w:t>כיון שיש צורך לכסות, שכבר שחט, לא גזרו רבנן גזירת כתישה שהזכרנו לעיל. (נמצא שמצווה זה מתיר יותר ממה שמצוות שמחת יו"ט מתיר. לכאו', זה מפני שיכול לקיים שמחי"ט בד"א.)</w:t>
      </w:r>
    </w:p>
  </w:footnote>
  <w:footnote w:id="18">
    <w:p w14:paraId="6E2EB963" w14:textId="77777777" w:rsidR="0009007A" w:rsidRDefault="00000000">
      <w:pPr>
        <w:pStyle w:val="FootnoteText"/>
      </w:pPr>
      <w:r>
        <w:rPr>
          <w:rStyle w:val="FootnoteCharacters"/>
        </w:rPr>
        <w:footnoteRef/>
      </w:r>
      <w:r>
        <w:rPr>
          <w:rtl/>
          <w:lang w:bidi="he-IL"/>
        </w:rPr>
        <w:tab/>
        <w:t xml:space="preserve"> רק מקילים אם לא היה לו זמן לכסות בעי"ט (כמו אם שחט בי"ט). </w:t>
      </w:r>
      <w:r>
        <w:rPr>
          <w:b/>
          <w:bCs/>
          <w:u w:val="single"/>
          <w:rtl/>
          <w:lang w:bidi="he-IL"/>
        </w:rPr>
        <w:t>(ח:)</w:t>
      </w:r>
    </w:p>
  </w:footnote>
  <w:footnote w:id="19">
    <w:p w14:paraId="118B03C1" w14:textId="77777777" w:rsidR="0009007A" w:rsidRDefault="00000000">
      <w:pPr>
        <w:pStyle w:val="FootnoteText"/>
      </w:pPr>
      <w:r>
        <w:rPr>
          <w:rStyle w:val="FootnoteCharacters"/>
        </w:rPr>
        <w:footnoteRef/>
      </w:r>
      <w:r>
        <w:rPr>
          <w:rtl/>
          <w:lang w:bidi="he-IL"/>
        </w:rPr>
        <w:tab/>
        <w:t xml:space="preserve"> קשה לקרוא לשון המשנה, ואז גמ' משנה את הגי' לומר שמשנה מוסיף, "ואפר כירה מוכן הוא," וכולי עלמא מודים לזה. (יש שכ' שכוונת הגמ' לומר שמשנה אומר, "ושאפר...," ומוסיף על מה מודה בית הלל. </w:t>
      </w:r>
      <w:r>
        <w:rPr>
          <w:b/>
          <w:bCs/>
          <w:u w:val="single"/>
          <w:rtl/>
          <w:lang w:bidi="he-IL"/>
        </w:rPr>
        <w:t>(ח.)</w:t>
      </w:r>
      <w:r>
        <w:rPr>
          <w:rtl/>
          <w:lang w:bidi="he-IL"/>
        </w:rPr>
        <w:t xml:space="preserve"> עיין בשי"ח ש"י (גלגל ששי) שהערנו על זה.)</w:t>
      </w:r>
    </w:p>
  </w:footnote>
  <w:footnote w:id="20">
    <w:p w14:paraId="1D1BAF19" w14:textId="77777777" w:rsidR="0009007A" w:rsidRDefault="00000000">
      <w:pPr>
        <w:pStyle w:val="FootnoteText"/>
        <w:rPr>
          <w:lang w:bidi="he-IL"/>
        </w:rPr>
      </w:pPr>
      <w:r>
        <w:rPr>
          <w:rStyle w:val="FootnoteCharacters"/>
        </w:rPr>
        <w:footnoteRef/>
      </w:r>
      <w:r>
        <w:rPr>
          <w:rtl/>
          <w:lang w:bidi="he-IL"/>
        </w:rPr>
        <w:tab/>
        <w:t xml:space="preserve"> לא כל אפר כירה מוכן, אלא צריך להיות שהיה ראוי ביה"ש. זה קורה בשני אופנים:</w:t>
      </w:r>
    </w:p>
    <w:p w14:paraId="4A191D76" w14:textId="77777777" w:rsidR="0009007A" w:rsidRDefault="00000000">
      <w:pPr>
        <w:pStyle w:val="FootnoteText"/>
        <w:numPr>
          <w:ilvl w:val="0"/>
          <w:numId w:val="5"/>
        </w:numPr>
      </w:pPr>
      <w:r>
        <w:rPr>
          <w:rtl/>
          <w:lang w:bidi="he-IL"/>
        </w:rPr>
        <w:t>אם כבר היה עפר אז.</w:t>
      </w:r>
    </w:p>
    <w:p w14:paraId="408C075E" w14:textId="77777777" w:rsidR="0009007A" w:rsidRDefault="00000000">
      <w:pPr>
        <w:pStyle w:val="FootnoteText"/>
        <w:numPr>
          <w:ilvl w:val="0"/>
          <w:numId w:val="5"/>
        </w:numPr>
      </w:pPr>
      <w:r>
        <w:rPr>
          <w:rtl/>
          <w:lang w:bidi="he-IL"/>
        </w:rPr>
        <w:t xml:space="preserve">אם עכשיו ראוי לצלות בו ביצה (שלכך היה ראוי בביה"ש, כשהיה עצים). </w:t>
      </w:r>
      <w:r>
        <w:rPr>
          <w:b/>
          <w:bCs/>
          <w:u w:val="single"/>
          <w:rtl/>
          <w:lang w:bidi="he-IL"/>
        </w:rPr>
        <w:t>(ח.)</w:t>
      </w:r>
    </w:p>
  </w:footnote>
  <w:footnote w:id="21">
    <w:p w14:paraId="57037046" w14:textId="77777777" w:rsidR="0009007A" w:rsidRDefault="00000000">
      <w:pPr>
        <w:pStyle w:val="FootnoteText"/>
        <w:rPr>
          <w:b/>
          <w:bCs/>
          <w:u w:val="single"/>
        </w:rPr>
      </w:pPr>
      <w:r>
        <w:rPr>
          <w:rStyle w:val="FootnoteCharacters"/>
        </w:rPr>
        <w:footnoteRef/>
      </w:r>
      <w:r>
        <w:rPr>
          <w:rtl/>
          <w:lang w:bidi="he-IL"/>
        </w:rPr>
        <w:tab/>
        <w:t xml:space="preserve"> גם יש דרכים אחרים שיהיה לו עפר מוכן, כמו אם מכניס אותו ומקצה לו קרן זוית. </w:t>
      </w:r>
      <w:r>
        <w:rPr>
          <w:b/>
          <w:bCs/>
          <w:u w:val="single"/>
          <w:rtl/>
          <w:lang w:bidi="he-IL"/>
        </w:rPr>
        <w:t>(ח.)</w:t>
      </w:r>
    </w:p>
  </w:footnote>
  <w:footnote w:id="22">
    <w:p w14:paraId="39F70014" w14:textId="77777777" w:rsidR="0009007A" w:rsidRDefault="00000000">
      <w:pPr>
        <w:pStyle w:val="FootnoteText"/>
      </w:pPr>
      <w:r>
        <w:rPr>
          <w:rStyle w:val="FootnoteCharacters"/>
        </w:rPr>
        <w:footnoteRef/>
      </w:r>
      <w:r>
        <w:rPr>
          <w:rtl/>
          <w:lang w:bidi="he-IL"/>
        </w:rPr>
        <w:tab/>
        <w:t xml:space="preserve"> חולקים אם מכסים ממנו ספק, שיש אומרים שהכנתו הוא לוודאי, ולא לספק^. אבל, אם בוודאי יקיים מצווה במעשה שלו (למשל, אם יש טיפה של דם חיה וטיפה של דם בהמה), מכסה. </w:t>
      </w:r>
      <w:r>
        <w:rPr>
          <w:b/>
          <w:bCs/>
          <w:u w:val="single"/>
          <w:rtl/>
          <w:lang w:bidi="he-IL"/>
        </w:rPr>
        <w:t>(ח:)</w:t>
      </w:r>
    </w:p>
  </w:footnote>
  <w:footnote w:id="23">
    <w:p w14:paraId="53CAC027" w14:textId="77777777" w:rsidR="0009007A" w:rsidRDefault="00000000">
      <w:pPr>
        <w:pStyle w:val="FootnoteText"/>
      </w:pPr>
      <w:r>
        <w:rPr>
          <w:rStyle w:val="FootnoteCharacters"/>
        </w:rPr>
        <w:footnoteRef/>
      </w:r>
      <w:r>
        <w:rPr>
          <w:rtl/>
          <w:lang w:bidi="he-IL"/>
        </w:rPr>
        <w:tab/>
        <w:t xml:space="preserve"> חולקים אם מכסים ממנו לדם כוי. כוי הוא ספק חיה ספק בהמה. אז, אם לא מכסים לספק, לא מכסים לכוי. אף אם מכסים לספק, יש אומרים שחוששים שבני אדם ילמדו מזה שחיה הוא, ויתירו את חלבו. </w:t>
      </w:r>
      <w:r>
        <w:rPr>
          <w:b/>
          <w:bCs/>
          <w:u w:val="single"/>
          <w:rtl/>
          <w:lang w:bidi="he-IL"/>
        </w:rPr>
        <w:t>(ח)</w:t>
      </w:r>
    </w:p>
  </w:footnote>
  <w:footnote w:id="24">
    <w:p w14:paraId="243A7D8C"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72EF347B" w14:textId="77777777" w:rsidR="0009007A" w:rsidRDefault="00000000">
      <w:pPr>
        <w:pStyle w:val="FootnoteText"/>
        <w:numPr>
          <w:ilvl w:val="0"/>
          <w:numId w:val="6"/>
        </w:numPr>
        <w:rPr>
          <w:b/>
          <w:bCs/>
        </w:rPr>
      </w:pPr>
      <w:r>
        <w:rPr>
          <w:rtl/>
          <w:lang w:bidi="he-IL"/>
        </w:rPr>
        <w:t>אם אין לאדם עפר מוכן (אלא מוקצה הוא, או צריך כתישה), אסור לשחוט, ואם שחט, אסור לכסות.</w:t>
      </w:r>
    </w:p>
    <w:p w14:paraId="5DBD3D9B" w14:textId="77777777" w:rsidR="0009007A" w:rsidRDefault="00000000">
      <w:pPr>
        <w:pStyle w:val="FootnoteText"/>
        <w:numPr>
          <w:ilvl w:val="0"/>
          <w:numId w:val="6"/>
        </w:numPr>
        <w:rPr>
          <w:b/>
          <w:bCs/>
        </w:rPr>
      </w:pPr>
      <w:r>
        <w:rPr>
          <w:rtl/>
          <w:lang w:bidi="he-IL"/>
        </w:rPr>
        <w:t>אם יש לאדם עפר מוכן (אלא שהוא עוד בתוך האדמה, אבל אינו מוקצה וא"צ כתישה), חולקים בית שמאי ובית הלל אם מותר לשחוט לכתחילה (אבל אולי זה רק אם כבר יש לו עפר ממש מוכן (כמו אפר כירה) לשים תחת הדם) או אסור. אם כבר שחט, מותר לכסות בו.</w:t>
      </w:r>
    </w:p>
    <w:p w14:paraId="3FF144F1" w14:textId="77777777" w:rsidR="0009007A" w:rsidRDefault="00000000">
      <w:pPr>
        <w:pStyle w:val="FootnoteText"/>
        <w:numPr>
          <w:ilvl w:val="0"/>
          <w:numId w:val="6"/>
        </w:numPr>
        <w:rPr>
          <w:b/>
          <w:bCs/>
        </w:rPr>
      </w:pPr>
      <w:r>
        <w:rPr>
          <w:rtl/>
          <w:lang w:bidi="he-IL"/>
        </w:rPr>
        <w:t>אם יש לאדם אפר כירה שהיה אפר מבעוד יום (או שעדיין ראוי להיות עצים) שוחט ומכסה בו.</w:t>
      </w:r>
    </w:p>
  </w:footnote>
  <w:footnote w:id="25">
    <w:p w14:paraId="25EE9F07" w14:textId="77777777" w:rsidR="0009007A" w:rsidRDefault="00000000">
      <w:pPr>
        <w:pStyle w:val="FootnoteText"/>
        <w:rPr>
          <w:b/>
          <w:bCs/>
          <w:lang w:val="en-US"/>
        </w:rPr>
      </w:pPr>
      <w:r>
        <w:rPr>
          <w:rStyle w:val="FootnoteCharacters"/>
        </w:rPr>
        <w:footnoteRef/>
      </w:r>
      <w:r>
        <w:rPr>
          <w:rtl/>
          <w:lang w:bidi="he-IL"/>
        </w:rPr>
        <w:tab/>
        <w:t xml:space="preserve"> </w:t>
      </w:r>
      <w:r>
        <w:rPr>
          <w:b/>
          <w:bCs/>
          <w:rtl/>
          <w:lang w:bidi="he-IL"/>
        </w:rPr>
        <w:t>משנה ג:</w:t>
      </w:r>
    </w:p>
  </w:footnote>
  <w:footnote w:id="26">
    <w:p w14:paraId="4E57A257" w14:textId="77777777" w:rsidR="0009007A" w:rsidRDefault="00000000">
      <w:pPr>
        <w:pStyle w:val="FootnoteText"/>
        <w:rPr>
          <w:b/>
          <w:bCs/>
          <w:lang w:val="en-US" w:bidi="he-IL"/>
        </w:rPr>
      </w:pPr>
      <w:r>
        <w:rPr>
          <w:rStyle w:val="FootnoteCharacters"/>
        </w:rPr>
        <w:footnoteRef/>
      </w:r>
      <w:r>
        <w:rPr>
          <w:rtl/>
          <w:lang w:bidi="he-IL"/>
        </w:rPr>
        <w:tab/>
        <w:t xml:space="preserve"> </w:t>
      </w:r>
      <w:r>
        <w:rPr>
          <w:b/>
          <w:bCs/>
          <w:rtl/>
          <w:lang w:val="en-US" w:bidi="he-IL"/>
        </w:rPr>
        <w:t>הקדמה:</w:t>
      </w:r>
    </w:p>
    <w:p w14:paraId="12FBB26F" w14:textId="77777777" w:rsidR="0009007A" w:rsidRDefault="00000000">
      <w:pPr>
        <w:pStyle w:val="FootnoteText"/>
        <w:rPr>
          <w:lang w:val="en-US" w:bidi="he-IL"/>
        </w:rPr>
      </w:pPr>
      <w:r>
        <w:rPr>
          <w:rtl/>
          <w:lang w:val="en-US" w:bidi="he-IL"/>
        </w:rPr>
        <w:tab/>
        <w:t>משנה זה מדבר על הבאת סולם משובך לשובך. שובך היה מקום ליונות, ומותר מדין ןלהביא סולם משובך לשובך. אבל, יש חשש שבני אדם יחשבו שמוליך את הסולם לגגו, כדי להטיח אותו, וזה מלאכה. לכן, אם סולם של עלייה מוליך, אסור להוליך אותו^^. אבל, משנה שלנו מדבר בהולכת סולם של שובך, שיש יותר מקום להקל, שיש לומר שמה שהוא סלם של שובך מוכיח עליו כוונתו.</w:t>
      </w:r>
    </w:p>
    <w:p w14:paraId="5CF90318" w14:textId="77777777" w:rsidR="0009007A" w:rsidRDefault="00000000">
      <w:pPr>
        <w:pStyle w:val="FootnoteText"/>
        <w:ind w:firstLine="0"/>
        <w:rPr>
          <w:lang w:val="en-US" w:bidi="he-IL"/>
        </w:rPr>
      </w:pPr>
      <w:r>
        <w:rPr>
          <w:rtl/>
          <w:lang w:val="en-US" w:bidi="he-IL"/>
        </w:rPr>
        <w:t>משנה ממשיך לבאר דין של יוני השובך. הבעיה הוא שצריך להכין אותם קודם שבת. אינם מוכנים סתם, אלא צריך לגלות דעתו שהם מוכנים. יהיו שני דיונים- מה עושה אותם מוכנים, ומתי חוששים שיקח מה שלא הכין. בע"ה, לקמן נבאר את זה.</w:t>
      </w:r>
    </w:p>
    <w:p w14:paraId="57F8A774" w14:textId="77777777" w:rsidR="0009007A" w:rsidRDefault="00000000">
      <w:pPr>
        <w:pStyle w:val="FootnoteText"/>
        <w:ind w:firstLine="0"/>
        <w:rPr>
          <w:lang w:val="en-US"/>
        </w:rPr>
      </w:pPr>
      <w:r>
        <w:rPr>
          <w:rtl/>
          <w:lang w:val="en-US" w:bidi="he-IL"/>
        </w:rPr>
        <w:t>מי שרוצה לאכול עופות ביו"ט- מה יעשה כדי שלא יהיו מוקצים.</w:t>
      </w:r>
    </w:p>
  </w:footnote>
  <w:footnote w:id="27">
    <w:p w14:paraId="793CF104" w14:textId="77777777" w:rsidR="0009007A" w:rsidRDefault="00000000">
      <w:pPr>
        <w:pStyle w:val="FootnoteText"/>
        <w:rPr>
          <w:b/>
          <w:bCs/>
          <w:u w:val="single"/>
        </w:rPr>
      </w:pPr>
      <w:r>
        <w:rPr>
          <w:rStyle w:val="FootnoteCharacters"/>
        </w:rPr>
        <w:footnoteRef/>
      </w:r>
      <w:r>
        <w:rPr>
          <w:rtl/>
          <w:lang w:bidi="he-IL"/>
        </w:rPr>
        <w:tab/>
        <w:t xml:space="preserve"> לכאו', הוא הדין כל זמן שמביא אותו לשובך. מדייק גמ' מזה (על בריי') שמדברים רק בסולם של שובך. </w:t>
      </w:r>
      <w:r>
        <w:rPr>
          <w:b/>
          <w:bCs/>
          <w:u w:val="single"/>
          <w:rtl/>
          <w:lang w:bidi="he-IL"/>
        </w:rPr>
        <w:t>(ט</w:t>
      </w:r>
      <w:r>
        <w:rPr>
          <w:rFonts w:ascii="Segoe UI Emoji" w:eastAsia="Segoe UI Emoji" w:hAnsi="Segoe UI Emoji" w:cs="Segoe UI Emoji"/>
          <w:b/>
          <w:bCs/>
          <w:u w:val="single"/>
          <w:rtl/>
          <w:lang w:bidi="he-IL"/>
        </w:rPr>
        <w:t>:)</w:t>
      </w:r>
    </w:p>
  </w:footnote>
  <w:footnote w:id="28">
    <w:p w14:paraId="31F72B87" w14:textId="77777777" w:rsidR="0009007A" w:rsidRDefault="00000000">
      <w:pPr>
        <w:pStyle w:val="FootnoteText"/>
      </w:pPr>
      <w:r>
        <w:rPr>
          <w:rStyle w:val="FootnoteCharacters"/>
        </w:rPr>
        <w:footnoteRef/>
      </w:r>
      <w:r>
        <w:rPr>
          <w:rtl/>
          <w:lang w:bidi="he-IL"/>
        </w:rPr>
        <w:tab/>
        <w:t xml:space="preserve"> חולקים בגמ' בביאור שיטת בית שמאי, אם אוסר רק ברשות הרבים, כיון שהמסתכלים יחשבו שמטיח את גגו, או אף ברשות היחיד, כיון שסובר שכל מה שאסרו רבנן ברה"ר אסרו גם בחדר חדרים (מסתמא מפני לא פלוג). </w:t>
      </w:r>
      <w:r>
        <w:rPr>
          <w:b/>
          <w:bCs/>
          <w:u w:val="single"/>
          <w:rtl/>
          <w:lang w:bidi="he-IL"/>
        </w:rPr>
        <w:t>(ט.)</w:t>
      </w:r>
    </w:p>
  </w:footnote>
  <w:footnote w:id="29">
    <w:p w14:paraId="724DA44B" w14:textId="77777777" w:rsidR="0009007A" w:rsidRDefault="00000000">
      <w:pPr>
        <w:pStyle w:val="FootnoteText"/>
      </w:pPr>
      <w:r>
        <w:rPr>
          <w:rStyle w:val="FootnoteCharacters"/>
        </w:rPr>
        <w:footnoteRef/>
      </w:r>
      <w:r>
        <w:rPr>
          <w:rtl/>
          <w:lang w:bidi="he-IL"/>
        </w:rPr>
        <w:tab/>
        <w:t xml:space="preserve"> שובך הוא כמו בית ליונות, ויש בו חלונות. אז, יכול להטות אותו מחלון אחד לחברו. לכאו', אז לא נראה שנוטל אותו לצורך גגו, כיון שלא נוטל אותו, אלא רק מטה אותו.</w:t>
      </w:r>
    </w:p>
  </w:footnote>
  <w:footnote w:id="30">
    <w:p w14:paraId="27A4D1AD" w14:textId="77777777" w:rsidR="0009007A" w:rsidRDefault="00000000">
      <w:pPr>
        <w:pStyle w:val="FootnoteText"/>
        <w:rPr>
          <w:b/>
          <w:bCs/>
          <w:u w:val="single"/>
        </w:rPr>
      </w:pPr>
      <w:r>
        <w:rPr>
          <w:rStyle w:val="FootnoteCharacters"/>
        </w:rPr>
        <w:footnoteRef/>
      </w:r>
      <w:r>
        <w:rPr>
          <w:rtl/>
          <w:lang w:bidi="he-IL"/>
        </w:rPr>
        <w:tab/>
        <w:t xml:space="preserve"> עיין במה שפרשנו בדברי בית שמאי, שדברי ב"ה תלויים בהם. אם ב"ש מחמירים ברשות הרבים, בית הלל מקילים גם ברשות הרבים, שסובר שמה שהוא סולם של שובך מגלה שאינו מביא אותו לגג אלא לשובך. אם בית שמאי מחמירים גם ברה"י, היה אפשר לדון איפה ב"ה מיקל, אבל גמ' אומר שמקילים רק ברה"י, כיון שסוברים שמה שנאסר משום מ"ע מותר בחדרי חדרים. </w:t>
      </w:r>
      <w:r>
        <w:rPr>
          <w:b/>
          <w:bCs/>
          <w:u w:val="single"/>
          <w:rtl/>
          <w:lang w:bidi="he-IL"/>
        </w:rPr>
        <w:t>(ט.)</w:t>
      </w:r>
    </w:p>
  </w:footnote>
  <w:footnote w:id="31">
    <w:p w14:paraId="790C9A35" w14:textId="77777777" w:rsidR="0009007A" w:rsidRDefault="00000000">
      <w:pPr>
        <w:pStyle w:val="FootnoteText"/>
        <w:rPr>
          <w:lang w:val="en-US"/>
        </w:rPr>
      </w:pPr>
      <w:r>
        <w:rPr>
          <w:rStyle w:val="FootnoteCharacters"/>
        </w:rPr>
        <w:footnoteRef/>
      </w:r>
      <w:r>
        <w:rPr>
          <w:rtl/>
          <w:lang w:bidi="he-IL"/>
        </w:rPr>
        <w:tab/>
        <w:t xml:space="preserve"> רבי דוסא^ סובר שרק מותר למדוד (לעשות שהסולם עושה </w:t>
      </w:r>
      <w:r>
        <w:rPr>
          <w:lang w:val="en-US" w:bidi="he-IL"/>
        </w:rPr>
        <w:t>shuffle</w:t>
      </w:r>
      <w:r>
        <w:rPr>
          <w:rtl/>
          <w:lang w:val="en-US" w:bidi="he-IL"/>
        </w:rPr>
        <w:t xml:space="preserve"> על הקרקע). </w:t>
      </w:r>
      <w:r>
        <w:rPr>
          <w:b/>
          <w:bCs/>
          <w:u w:val="single"/>
          <w:rtl/>
          <w:lang w:val="en-US" w:bidi="he-IL"/>
        </w:rPr>
        <w:t>(ט:)</w:t>
      </w:r>
      <w:r>
        <w:rPr>
          <w:rtl/>
          <w:lang w:val="en-US" w:bidi="he-IL"/>
        </w:rPr>
        <w:t xml:space="preserve"> יל"ד אם מכוון לחלוק על שניהם, או מפרש כן בשיטת ב"ה או בשיטת שניהם (וסובר שאין מח' בזה).</w:t>
      </w:r>
    </w:p>
  </w:footnote>
  <w:footnote w:id="32">
    <w:p w14:paraId="7384E494" w14:textId="77777777" w:rsidR="0009007A" w:rsidRDefault="00000000">
      <w:pPr>
        <w:pStyle w:val="FootnoteText"/>
      </w:pPr>
      <w:r>
        <w:rPr>
          <w:rStyle w:val="FootnoteCharacters"/>
        </w:rPr>
        <w:footnoteRef/>
      </w:r>
      <w:r>
        <w:rPr>
          <w:rtl/>
          <w:lang w:bidi="he-IL"/>
        </w:rPr>
        <w:tab/>
        <w:t xml:space="preserve"> ר' שמעון בן אלעזר חולק על תנא של משנה שלנו ומפרש שלא חלקו ב"ש וב"ה בזה, אלא מותר הוא משום שמחת יו"ט^. רק חולקים אם מותר להחזיר את הסולם אחרי שהלך לשובכיו. (נראה שגם בזה יש לדון אם הוא ברה"ר או ברה"י.)</w:t>
      </w:r>
    </w:p>
  </w:footnote>
  <w:footnote w:id="33">
    <w:p w14:paraId="4C41EF63" w14:textId="77777777" w:rsidR="0009007A" w:rsidRDefault="00000000">
      <w:pPr>
        <w:pStyle w:val="FootnoteText"/>
      </w:pPr>
      <w:r>
        <w:rPr>
          <w:rStyle w:val="FootnoteCharacters"/>
        </w:rPr>
        <w:footnoteRef/>
      </w:r>
      <w:r>
        <w:rPr>
          <w:rtl/>
          <w:lang w:bidi="he-IL"/>
        </w:rPr>
        <w:tab/>
        <w:t xml:space="preserve"> יונות מן השובך</w:t>
      </w:r>
    </w:p>
  </w:footnote>
  <w:footnote w:id="34">
    <w:p w14:paraId="188978EB" w14:textId="77777777" w:rsidR="0009007A" w:rsidRDefault="00000000">
      <w:pPr>
        <w:pStyle w:val="FootnoteText"/>
      </w:pPr>
      <w:r>
        <w:rPr>
          <w:rStyle w:val="FootnoteCharacters"/>
        </w:rPr>
        <w:footnoteRef/>
      </w:r>
      <w:r>
        <w:rPr>
          <w:rtl/>
          <w:lang w:bidi="he-IL"/>
        </w:rPr>
        <w:tab/>
        <w:t xml:space="preserve"> דרך מגדלי יונות היה להניח את הבריכה ראשונה עם האם, ולאכול או למכור את השאר. גמ' מפרש </w:t>
      </w:r>
      <w:r>
        <w:rPr>
          <w:b/>
          <w:bCs/>
          <w:u w:val="single"/>
          <w:rtl/>
          <w:lang w:bidi="he-IL"/>
        </w:rPr>
        <w:t>(י.)</w:t>
      </w:r>
      <w:r>
        <w:rPr>
          <w:rtl/>
          <w:lang w:bidi="he-IL"/>
        </w:rPr>
        <w:t xml:space="preserve"> שמחלקת זו היא רק בבריכה ראשונה, שרגיל אדם להחזיר אותם. אבל, בשאר בריכות, בית שמאי יודו לבית הלל. (יש לדון אם שם, לפי מד"א שיש ברירה לב"ה, צריך הזמנה בפה.)</w:t>
      </w:r>
    </w:p>
  </w:footnote>
  <w:footnote w:id="35">
    <w:p w14:paraId="6CF07B94" w14:textId="77777777" w:rsidR="0009007A" w:rsidRDefault="00000000">
      <w:pPr>
        <w:pStyle w:val="FootnoteText"/>
        <w:rPr>
          <w:b/>
          <w:bCs/>
          <w:u w:val="single"/>
        </w:rPr>
      </w:pPr>
      <w:r>
        <w:rPr>
          <w:rStyle w:val="FootnoteCharacters"/>
        </w:rPr>
        <w:footnoteRef/>
      </w:r>
      <w:r>
        <w:rPr>
          <w:rtl/>
          <w:lang w:bidi="he-IL"/>
        </w:rPr>
        <w:tab/>
        <w:t xml:space="preserve"> מצד דין מוקצה, כל דיבור להכין את העופות מהני. בית שמאי סובר שאין ברירה (יל"ד, שרק מצאנו כן בדאו'), ואז היה צריך לנקוט בדיבור איזה שרוצה. אבל, בית שמאי חוששים שיחזיר אותם ויקח מוקצים (לכאו', יקח עופות משאר בריכות, אף שלא דיבר קודם יו"ט לומר שרוצה אותם). רק אם נוטל אותם מבעוד יום קובע בדעתו שלא יחזור בו, ורק אלו יקח. </w:t>
      </w:r>
      <w:r>
        <w:rPr>
          <w:b/>
          <w:bCs/>
          <w:u w:val="single"/>
          <w:rtl/>
          <w:lang w:bidi="he-IL"/>
        </w:rPr>
        <w:t>(י.)</w:t>
      </w:r>
    </w:p>
  </w:footnote>
  <w:footnote w:id="36">
    <w:p w14:paraId="60C1BD0C" w14:textId="77777777" w:rsidR="0009007A" w:rsidRDefault="00000000">
      <w:pPr>
        <w:pStyle w:val="FootnoteText"/>
      </w:pPr>
      <w:r>
        <w:rPr>
          <w:rStyle w:val="FootnoteCharacters"/>
        </w:rPr>
        <w:footnoteRef/>
      </w:r>
      <w:r>
        <w:rPr>
          <w:rtl/>
          <w:lang w:bidi="he-IL"/>
        </w:rPr>
        <w:tab/>
        <w:t xml:space="preserve"> ראיתי במאירי שמספיק אם אומר כן בלבו.</w:t>
      </w:r>
    </w:p>
  </w:footnote>
  <w:footnote w:id="37">
    <w:p w14:paraId="037E5EF0" w14:textId="77777777" w:rsidR="0009007A" w:rsidRDefault="00000000">
      <w:pPr>
        <w:pStyle w:val="FootnoteText"/>
      </w:pPr>
      <w:r>
        <w:rPr>
          <w:rStyle w:val="FootnoteCharacters"/>
        </w:rPr>
        <w:footnoteRef/>
      </w:r>
      <w:r>
        <w:rPr>
          <w:rtl/>
          <w:lang w:bidi="he-IL"/>
        </w:rPr>
        <w:tab/>
        <w:t xml:space="preserve"> מצד דין מוקצה, כל דיברו להכין את העופות מהני. חולקים אם בית הלל סוברים שאין ברירה או שיש ברירה. אם אין ברירה, צריך לנקוט את כולם בדיבור כדי שלא יהיו מוקצים. אם יש ברירה, רק היה צריך לומר, "אקח מכאן," אלא שחוששים שיקח ויחזור, ואז נמצא שטלטול אלו שלקח בתחילה היה טלטול מוקצה. רק אם נוקט אותם כבר בדיבור קובע בדעתו, ולא יחזור בו. </w:t>
      </w:r>
      <w:r>
        <w:rPr>
          <w:b/>
          <w:bCs/>
          <w:u w:val="single"/>
          <w:rtl/>
          <w:lang w:bidi="he-IL"/>
        </w:rPr>
        <w:t>(י.)</w:t>
      </w:r>
    </w:p>
  </w:footnote>
  <w:footnote w:id="38">
    <w:p w14:paraId="220CCE0B"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דינים היוצאים מן המשנה:</w:t>
      </w:r>
    </w:p>
    <w:p w14:paraId="60493FF4" w14:textId="77777777" w:rsidR="0009007A" w:rsidRDefault="00000000">
      <w:pPr>
        <w:pStyle w:val="FootnoteText"/>
        <w:numPr>
          <w:ilvl w:val="0"/>
          <w:numId w:val="7"/>
        </w:numPr>
      </w:pPr>
      <w:r>
        <w:rPr>
          <w:rtl/>
          <w:lang w:bidi="he-IL"/>
        </w:rPr>
        <w:t>אם אדם רוצה להביא סולם לשובך-</w:t>
      </w:r>
    </w:p>
    <w:p w14:paraId="75276A2D" w14:textId="77777777" w:rsidR="0009007A" w:rsidRDefault="00000000">
      <w:pPr>
        <w:pStyle w:val="FootnoteText"/>
        <w:numPr>
          <w:ilvl w:val="1"/>
          <w:numId w:val="7"/>
        </w:numPr>
      </w:pPr>
      <w:r>
        <w:rPr>
          <w:rtl/>
          <w:lang w:bidi="he-IL"/>
        </w:rPr>
        <w:t>אם מביא סולם עלייה- אסור.</w:t>
      </w:r>
    </w:p>
    <w:p w14:paraId="042127D4" w14:textId="77777777" w:rsidR="0009007A" w:rsidRDefault="00000000">
      <w:pPr>
        <w:pStyle w:val="FootnoteText"/>
        <w:numPr>
          <w:ilvl w:val="1"/>
          <w:numId w:val="7"/>
        </w:numPr>
      </w:pPr>
      <w:r>
        <w:rPr>
          <w:rtl/>
          <w:lang w:bidi="he-IL"/>
        </w:rPr>
        <w:t>אם מביא סולם שובך:</w:t>
      </w:r>
    </w:p>
    <w:p w14:paraId="07019DA7" w14:textId="77777777" w:rsidR="0009007A" w:rsidRDefault="00000000">
      <w:pPr>
        <w:pStyle w:val="FootnoteText"/>
        <w:numPr>
          <w:ilvl w:val="2"/>
          <w:numId w:val="7"/>
        </w:numPr>
      </w:pPr>
      <w:r>
        <w:rPr>
          <w:rtl/>
          <w:lang w:bidi="he-IL"/>
        </w:rPr>
        <w:t xml:space="preserve">ברשות הרבים- </w:t>
      </w:r>
    </w:p>
    <w:p w14:paraId="6409B488" w14:textId="77777777" w:rsidR="0009007A" w:rsidRDefault="00000000">
      <w:pPr>
        <w:pStyle w:val="FootnoteText"/>
        <w:numPr>
          <w:ilvl w:val="3"/>
          <w:numId w:val="7"/>
        </w:numPr>
      </w:pPr>
      <w:r>
        <w:rPr>
          <w:rtl/>
          <w:lang w:bidi="he-IL"/>
        </w:rPr>
        <w:t>בית שמאי, בית הלל ללשון אחד- אסור.</w:t>
      </w:r>
    </w:p>
    <w:p w14:paraId="635FAD54" w14:textId="77777777" w:rsidR="0009007A" w:rsidRDefault="00000000">
      <w:pPr>
        <w:pStyle w:val="FootnoteText"/>
        <w:numPr>
          <w:ilvl w:val="3"/>
          <w:numId w:val="7"/>
        </w:numPr>
      </w:pPr>
      <w:r>
        <w:rPr>
          <w:rtl/>
          <w:lang w:bidi="he-IL"/>
        </w:rPr>
        <w:t>בית הלל ללשון אחר, ב"ה וב"ש לרשב"א- מותר.</w:t>
      </w:r>
    </w:p>
    <w:p w14:paraId="68896D3E" w14:textId="77777777" w:rsidR="0009007A" w:rsidRDefault="00000000">
      <w:pPr>
        <w:pStyle w:val="FootnoteText"/>
        <w:numPr>
          <w:ilvl w:val="2"/>
          <w:numId w:val="7"/>
        </w:numPr>
      </w:pPr>
      <w:r>
        <w:rPr>
          <w:rtl/>
          <w:lang w:bidi="he-IL"/>
        </w:rPr>
        <w:t>ברשות היחיד:</w:t>
      </w:r>
    </w:p>
    <w:p w14:paraId="7B30DBC8" w14:textId="77777777" w:rsidR="0009007A" w:rsidRDefault="00000000">
      <w:pPr>
        <w:pStyle w:val="FootnoteText"/>
        <w:numPr>
          <w:ilvl w:val="3"/>
          <w:numId w:val="7"/>
        </w:numPr>
      </w:pPr>
      <w:r>
        <w:rPr>
          <w:rtl/>
          <w:lang w:bidi="he-IL"/>
        </w:rPr>
        <w:t>בית שמאי ללשון אחד- אסור.</w:t>
      </w:r>
    </w:p>
    <w:p w14:paraId="1C6C75F4" w14:textId="77777777" w:rsidR="0009007A" w:rsidRDefault="00000000">
      <w:pPr>
        <w:pStyle w:val="FootnoteText"/>
        <w:numPr>
          <w:ilvl w:val="3"/>
          <w:numId w:val="7"/>
        </w:numPr>
      </w:pPr>
      <w:r>
        <w:rPr>
          <w:rtl/>
          <w:lang w:bidi="he-IL"/>
        </w:rPr>
        <w:t>בית שמאי ללשון אחר, בית הלל, ב"ה וב"ש לרשב"א- מותר.</w:t>
      </w:r>
    </w:p>
    <w:p w14:paraId="07F5D382" w14:textId="77777777" w:rsidR="0009007A" w:rsidRDefault="00000000">
      <w:pPr>
        <w:pStyle w:val="FootnoteText"/>
        <w:numPr>
          <w:ilvl w:val="0"/>
          <w:numId w:val="7"/>
        </w:numPr>
      </w:pPr>
      <w:r>
        <w:rPr>
          <w:rtl/>
          <w:lang w:bidi="he-IL"/>
        </w:rPr>
        <w:t>אם אדם רוצה להביא סולם מן השובך:</w:t>
      </w:r>
    </w:p>
    <w:p w14:paraId="7CBFC8BD" w14:textId="77777777" w:rsidR="0009007A" w:rsidRDefault="00000000">
      <w:pPr>
        <w:pStyle w:val="FootnoteText"/>
        <w:numPr>
          <w:ilvl w:val="1"/>
          <w:numId w:val="7"/>
        </w:numPr>
      </w:pPr>
      <w:r>
        <w:rPr>
          <w:rtl/>
          <w:lang w:bidi="he-IL"/>
        </w:rPr>
        <w:t>אם מביא סולם עלייה- אסור.</w:t>
      </w:r>
    </w:p>
    <w:p w14:paraId="6484E26F" w14:textId="77777777" w:rsidR="0009007A" w:rsidRDefault="00000000">
      <w:pPr>
        <w:pStyle w:val="FootnoteText"/>
        <w:numPr>
          <w:ilvl w:val="1"/>
          <w:numId w:val="7"/>
        </w:numPr>
      </w:pPr>
      <w:r>
        <w:rPr>
          <w:rtl/>
          <w:lang w:bidi="he-IL"/>
        </w:rPr>
        <w:t>אם מביא סולם שובך:</w:t>
      </w:r>
    </w:p>
    <w:p w14:paraId="58EFAC31" w14:textId="77777777" w:rsidR="0009007A" w:rsidRDefault="00000000">
      <w:pPr>
        <w:pStyle w:val="FootnoteText"/>
        <w:numPr>
          <w:ilvl w:val="2"/>
          <w:numId w:val="7"/>
        </w:numPr>
      </w:pPr>
      <w:r>
        <w:rPr>
          <w:rtl/>
          <w:lang w:bidi="he-IL"/>
        </w:rPr>
        <w:t>תנא של משנתינו- אסור. (יש לדון אם זה רק ברשות הרבים.)</w:t>
      </w:r>
    </w:p>
    <w:p w14:paraId="7DADB4E8" w14:textId="77777777" w:rsidR="0009007A" w:rsidRDefault="00000000">
      <w:pPr>
        <w:pStyle w:val="FootnoteText"/>
        <w:numPr>
          <w:ilvl w:val="2"/>
          <w:numId w:val="7"/>
        </w:numPr>
      </w:pPr>
      <w:r>
        <w:rPr>
          <w:rtl/>
          <w:lang w:bidi="he-IL"/>
        </w:rPr>
        <w:t>רשב"א-</w:t>
      </w:r>
    </w:p>
    <w:p w14:paraId="0C0211B5" w14:textId="77777777" w:rsidR="0009007A" w:rsidRDefault="00000000">
      <w:pPr>
        <w:pStyle w:val="FootnoteText"/>
        <w:numPr>
          <w:ilvl w:val="3"/>
          <w:numId w:val="7"/>
        </w:numPr>
      </w:pPr>
      <w:r>
        <w:rPr>
          <w:rtl/>
          <w:lang w:bidi="he-IL"/>
        </w:rPr>
        <w:t>בית שמאי- אסור. (יש לדון אם זה רק ברשות הרבים.)</w:t>
      </w:r>
    </w:p>
    <w:p w14:paraId="466E161C" w14:textId="77777777" w:rsidR="0009007A" w:rsidRDefault="00000000">
      <w:pPr>
        <w:pStyle w:val="FootnoteText"/>
        <w:numPr>
          <w:ilvl w:val="3"/>
          <w:numId w:val="7"/>
        </w:numPr>
      </w:pPr>
      <w:r>
        <w:rPr>
          <w:rtl/>
          <w:lang w:bidi="he-IL"/>
        </w:rPr>
        <w:t>בית הלל- מותר. (יש לדון אם זה רק ברשות היחיד.)</w:t>
      </w:r>
    </w:p>
    <w:p w14:paraId="08530359" w14:textId="77777777" w:rsidR="0009007A" w:rsidRDefault="00000000">
      <w:pPr>
        <w:pStyle w:val="FootnoteText"/>
        <w:numPr>
          <w:ilvl w:val="0"/>
          <w:numId w:val="7"/>
        </w:numPr>
      </w:pPr>
      <w:r>
        <w:rPr>
          <w:rtl/>
          <w:lang w:bidi="he-IL"/>
        </w:rPr>
        <w:t>כדי לעשות שיכול לקחת יונות:</w:t>
      </w:r>
    </w:p>
    <w:p w14:paraId="73B41245" w14:textId="77777777" w:rsidR="0009007A" w:rsidRDefault="00000000">
      <w:pPr>
        <w:pStyle w:val="FootnoteText"/>
        <w:numPr>
          <w:ilvl w:val="1"/>
          <w:numId w:val="7"/>
        </w:numPr>
      </w:pPr>
      <w:r>
        <w:rPr>
          <w:rtl/>
          <w:lang w:bidi="he-IL"/>
        </w:rPr>
        <w:t>מבריכה שניה- רק צריך הזמנה בפה. (אולי חולקים בית הלל ובית שמאי אם ברירה מהני לזה או לא מהני.)</w:t>
      </w:r>
    </w:p>
    <w:p w14:paraId="5E2DCFF5" w14:textId="77777777" w:rsidR="0009007A" w:rsidRDefault="00000000">
      <w:pPr>
        <w:pStyle w:val="FootnoteText"/>
        <w:numPr>
          <w:ilvl w:val="1"/>
          <w:numId w:val="7"/>
        </w:numPr>
      </w:pPr>
      <w:r>
        <w:rPr>
          <w:rtl/>
          <w:lang w:bidi="he-IL"/>
        </w:rPr>
        <w:t>מבריכה ראשונה-</w:t>
      </w:r>
    </w:p>
    <w:p w14:paraId="1E8FE39D" w14:textId="77777777" w:rsidR="0009007A" w:rsidRDefault="00000000">
      <w:pPr>
        <w:pStyle w:val="FootnoteText"/>
        <w:numPr>
          <w:ilvl w:val="2"/>
          <w:numId w:val="7"/>
        </w:numPr>
      </w:pPr>
      <w:r>
        <w:rPr>
          <w:rtl/>
          <w:lang w:bidi="he-IL"/>
        </w:rPr>
        <w:t>בית שמאי- צריך לנענע אותם, שאם לא, חוששים שיחזר בו.</w:t>
      </w:r>
    </w:p>
    <w:p w14:paraId="111BD04F" w14:textId="77777777" w:rsidR="0009007A" w:rsidRDefault="00000000">
      <w:pPr>
        <w:pStyle w:val="FootnoteText"/>
        <w:numPr>
          <w:ilvl w:val="2"/>
          <w:numId w:val="7"/>
        </w:numPr>
      </w:pPr>
      <w:r>
        <w:rPr>
          <w:rtl/>
          <w:lang w:bidi="he-IL"/>
        </w:rPr>
        <w:t>בית הלל- רק צריך הזמנה בפה כדי שלא יחזור בו.</w:t>
      </w:r>
    </w:p>
  </w:footnote>
  <w:footnote w:id="39">
    <w:p w14:paraId="73132B1B"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ד:</w:t>
      </w:r>
    </w:p>
  </w:footnote>
  <w:footnote w:id="40">
    <w:p w14:paraId="4169A4CB"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0CE3CE80" w14:textId="77777777" w:rsidR="0009007A" w:rsidRDefault="00000000">
      <w:pPr>
        <w:pStyle w:val="FootnoteText"/>
      </w:pPr>
      <w:r>
        <w:rPr>
          <w:b/>
          <w:bCs/>
          <w:rtl/>
          <w:lang w:bidi="he-IL"/>
        </w:rPr>
        <w:tab/>
      </w:r>
      <w:r>
        <w:rPr>
          <w:rtl/>
          <w:lang w:bidi="he-IL"/>
        </w:rPr>
        <w:t xml:space="preserve">משנה שלעיל באר שצריך להכין יונות קודם שאוכל מהם. משנה זה מדבר מתי יכול אדם להניח שהעופות שמצא בי"ט הם העופות שזמן בעי"ט. </w:t>
      </w:r>
    </w:p>
  </w:footnote>
  <w:footnote w:id="41">
    <w:p w14:paraId="1A75B44F" w14:textId="77777777" w:rsidR="0009007A" w:rsidRDefault="00000000">
      <w:pPr>
        <w:pStyle w:val="FootnoteText"/>
        <w:rPr>
          <w:b/>
          <w:bCs/>
          <w:u w:val="single"/>
        </w:rPr>
      </w:pPr>
      <w:r>
        <w:rPr>
          <w:rStyle w:val="FootnoteCharacters"/>
        </w:rPr>
        <w:footnoteRef/>
      </w:r>
      <w:r>
        <w:rPr>
          <w:rtl/>
          <w:lang w:bidi="he-IL"/>
        </w:rPr>
        <w:tab/>
        <w:t xml:space="preserve"> גמ' מפרש </w:t>
      </w:r>
      <w:r>
        <w:rPr>
          <w:b/>
          <w:bCs/>
          <w:u w:val="single"/>
          <w:rtl/>
          <w:lang w:bidi="he-IL"/>
        </w:rPr>
        <w:t>(י:)</w:t>
      </w:r>
      <w:r>
        <w:rPr>
          <w:rtl/>
          <w:lang w:bidi="he-IL"/>
        </w:rPr>
        <w:t xml:space="preserve"> שזה מחדש שאף אם זמן שחורים במקום אחד ולבנים במקום אחר, ומצא שהוחלפו, אסורים, ולא מניחים ששל זה הלך לתוך זו ושל זו הלך לתוך זה. ואם תאמר כיון שיש עופות קרובים שמוכנים, למה חוששים לרוב עופות שבעולם שלא מוכנים. וי"ל שרוב וקרוב הלך אחר רוב. גי"ל שמדובר כאן כשיש דף לפני המקומות, ומצוי הרבה עופות שם, ואז אף היינו הולכים אחר הקרוב, לא היינו מניחים שהוא עוף מוכן.</w:t>
      </w:r>
    </w:p>
  </w:footnote>
  <w:footnote w:id="42">
    <w:p w14:paraId="3092E9D5" w14:textId="77777777" w:rsidR="0009007A" w:rsidRDefault="00000000">
      <w:pPr>
        <w:pStyle w:val="FootnoteText"/>
      </w:pPr>
      <w:r>
        <w:rPr>
          <w:rStyle w:val="FootnoteCharacters"/>
        </w:rPr>
        <w:footnoteRef/>
      </w:r>
      <w:r>
        <w:rPr>
          <w:rtl/>
          <w:lang w:bidi="he-IL"/>
        </w:rPr>
        <w:tab/>
        <w:t xml:space="preserve"> לכאו', שני הציורים הראשונים הם שווים.</w:t>
      </w:r>
    </w:p>
  </w:footnote>
  <w:footnote w:id="43">
    <w:p w14:paraId="0F214D86"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(י:)</w:t>
      </w:r>
      <w:r>
        <w:rPr>
          <w:rtl/>
          <w:lang w:bidi="he-IL"/>
        </w:rPr>
        <w:t xml:space="preserve"> שאסורים ממה נפשך- אם כולם חדשים, כולם מוקצים. אם רק מקצת מהם חדשים, זה תערובת מוקצה. (צריך לע' לגמ' לקמן (כד.) שחולקים בדין ספק מוקצה. יש להעיר שדבר שיש לו מתירים הוא, ואז לפי רב אשי לא יהיה בטל ויהיה ספקו אסור.)</w:t>
      </w:r>
    </w:p>
  </w:footnote>
  <w:footnote w:id="44">
    <w:p w14:paraId="0BA7C98D" w14:textId="77777777" w:rsidR="0009007A" w:rsidRDefault="00000000">
      <w:pPr>
        <w:pStyle w:val="FootnoteText"/>
      </w:pPr>
      <w:r>
        <w:rPr>
          <w:rStyle w:val="FootnoteCharacters"/>
        </w:rPr>
        <w:footnoteRef/>
      </w:r>
      <w:r>
        <w:rPr>
          <w:rtl/>
          <w:lang w:bidi="he-IL"/>
        </w:rPr>
        <w:tab/>
        <w:t xml:space="preserve"> שחוששים שנוטל מה שאינו מוכן, ועובר על תקנת מוקצה.</w:t>
      </w:r>
    </w:p>
  </w:footnote>
  <w:footnote w:id="45">
    <w:p w14:paraId="3EEBDEB8" w14:textId="77777777" w:rsidR="0009007A" w:rsidRDefault="00000000">
      <w:pPr>
        <w:pStyle w:val="FootnoteText"/>
      </w:pPr>
      <w:r>
        <w:rPr>
          <w:rStyle w:val="FootnoteCharacters"/>
        </w:rPr>
        <w:footnoteRef/>
      </w:r>
      <w:r>
        <w:rPr>
          <w:rtl/>
          <w:lang w:bidi="he-IL"/>
        </w:rPr>
        <w:tab/>
        <w:t xml:space="preserve"> נראה שאולי זה רק אם אין שניהם מקושרים זה לזה. עיין בהוספות.^</w:t>
      </w:r>
    </w:p>
  </w:footnote>
  <w:footnote w:id="46">
    <w:p w14:paraId="79CC1108" w14:textId="77777777" w:rsidR="0009007A" w:rsidRDefault="00000000">
      <w:pPr>
        <w:pStyle w:val="FootnoteText"/>
      </w:pPr>
      <w:r>
        <w:rPr>
          <w:rStyle w:val="FootnoteCharacters"/>
        </w:rPr>
        <w:footnoteRef/>
      </w:r>
      <w:r>
        <w:rPr>
          <w:rtl/>
          <w:lang w:bidi="he-IL"/>
        </w:rPr>
        <w:tab/>
        <w:t xml:space="preserve"> גמ' מפרש שכן הדין גם אם מצא אותם למטה או למעלה ממנו. </w:t>
      </w:r>
      <w:r>
        <w:rPr>
          <w:b/>
          <w:bCs/>
          <w:u w:val="single"/>
          <w:rtl/>
          <w:lang w:bidi="he-IL"/>
        </w:rPr>
        <w:t>(יא.)</w:t>
      </w:r>
    </w:p>
  </w:footnote>
  <w:footnote w:id="47">
    <w:p w14:paraId="24B65818" w14:textId="77777777" w:rsidR="0009007A" w:rsidRDefault="00000000">
      <w:pPr>
        <w:pStyle w:val="FootnoteText"/>
        <w:rPr>
          <w:b/>
          <w:bCs/>
          <w:u w:val="single"/>
        </w:rPr>
      </w:pPr>
      <w:r>
        <w:rPr>
          <w:rStyle w:val="FootnoteCharacters"/>
        </w:rPr>
        <w:footnoteRef/>
      </w:r>
      <w:r>
        <w:rPr>
          <w:rtl/>
          <w:lang w:bidi="he-IL"/>
        </w:rPr>
        <w:tab/>
        <w:t xml:space="preserve"> ואם תאמר למה חוששים שבא מרוב שבעולם, שאינם מוכנים, ולא מן הקרוב, שהוא מוכן. וי"ל שרוב וקרוב הולכים אחר רוב. אף אם לא היה הדין כן, היה אפשר להוקים אותו בציור שיש דף לפני השובך, ואז גם בקרובים יש שלא מוכנים. </w:t>
      </w:r>
      <w:r>
        <w:rPr>
          <w:b/>
          <w:bCs/>
          <w:u w:val="single"/>
          <w:rtl/>
          <w:lang w:bidi="he-IL"/>
        </w:rPr>
        <w:t>(יא.)</w:t>
      </w:r>
    </w:p>
  </w:footnote>
  <w:footnote w:id="48">
    <w:p w14:paraId="025E51B0"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(יא.)</w:t>
      </w:r>
      <w:r>
        <w:rPr>
          <w:rtl/>
          <w:lang w:bidi="he-IL"/>
        </w:rPr>
        <w:t xml:space="preserve"> שבא לחדש שאף אם יש שקרובים להם (בתוך חמישים אמה) אם יש קרן זוית ביניהם, לא יבואו היונות, שלא מניחים את השובך שלהם לצאת מן העין.</w:t>
      </w:r>
    </w:p>
  </w:footnote>
  <w:footnote w:id="49">
    <w:p w14:paraId="77706C8E"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2F017674" w14:textId="77777777" w:rsidR="0009007A" w:rsidRDefault="00000000">
      <w:pPr>
        <w:pStyle w:val="FootnoteText"/>
        <w:numPr>
          <w:ilvl w:val="0"/>
          <w:numId w:val="8"/>
        </w:numPr>
      </w:pPr>
      <w:r>
        <w:rPr>
          <w:rtl/>
          <w:lang w:bidi="he-IL"/>
        </w:rPr>
        <w:t>אם אדם זמן עופות בעי"ט ומצא:</w:t>
      </w:r>
    </w:p>
    <w:p w14:paraId="662A1C13" w14:textId="77777777" w:rsidR="0009007A" w:rsidRDefault="00000000">
      <w:pPr>
        <w:pStyle w:val="FootnoteText"/>
        <w:numPr>
          <w:ilvl w:val="1"/>
          <w:numId w:val="8"/>
        </w:numPr>
      </w:pPr>
      <w:r>
        <w:rPr>
          <w:rtl/>
          <w:lang w:bidi="he-IL"/>
        </w:rPr>
        <w:t>מצבע של אחרים שהכין- אסור. (י"א שרק אסור אם יש שם דף, ומצוי שם יונות אחרות.)</w:t>
      </w:r>
    </w:p>
    <w:p w14:paraId="7884003B" w14:textId="77777777" w:rsidR="0009007A" w:rsidRDefault="00000000">
      <w:pPr>
        <w:pStyle w:val="FootnoteText"/>
        <w:numPr>
          <w:ilvl w:val="1"/>
          <w:numId w:val="8"/>
        </w:numPr>
      </w:pPr>
      <w:r>
        <w:rPr>
          <w:rtl/>
          <w:lang w:bidi="he-IL"/>
        </w:rPr>
        <w:t>יותר ממה שהכין- אסור.</w:t>
      </w:r>
    </w:p>
    <w:p w14:paraId="7B09D6E2" w14:textId="77777777" w:rsidR="0009007A" w:rsidRDefault="00000000">
      <w:pPr>
        <w:pStyle w:val="FootnoteText"/>
        <w:numPr>
          <w:ilvl w:val="1"/>
          <w:numId w:val="8"/>
        </w:numPr>
      </w:pPr>
      <w:r>
        <w:rPr>
          <w:rtl/>
          <w:lang w:bidi="he-IL"/>
        </w:rPr>
        <w:t>פחות ממה שהכין- מותר. (על"ע שכ' שאולי לפעמים לא מותר.)</w:t>
      </w:r>
    </w:p>
    <w:p w14:paraId="43859B41" w14:textId="77777777" w:rsidR="0009007A" w:rsidRDefault="00000000">
      <w:pPr>
        <w:pStyle w:val="FootnoteText"/>
        <w:numPr>
          <w:ilvl w:val="1"/>
          <w:numId w:val="8"/>
        </w:numPr>
      </w:pPr>
      <w:r>
        <w:rPr>
          <w:rtl/>
          <w:lang w:bidi="he-IL"/>
        </w:rPr>
        <w:t>יונה חוץ ממקום שהכין אותו- אסור. (י"א שרק אסור אם יש שם דך, ומצוי שם יונות אחרות.)</w:t>
      </w:r>
    </w:p>
    <w:p w14:paraId="77A1EFE4" w14:textId="77777777" w:rsidR="0009007A" w:rsidRDefault="00000000">
      <w:pPr>
        <w:pStyle w:val="FootnoteText"/>
        <w:ind w:left="720" w:firstLine="0"/>
      </w:pPr>
      <w:r>
        <w:rPr>
          <w:rtl/>
          <w:lang w:bidi="he-IL"/>
        </w:rPr>
        <w:t>היוצא מכלל כל איסורים אלו הוא ציור שיש יונה אחר שיכול לראות את קינו, והוא בתוך חמשים אמה.</w:t>
      </w:r>
    </w:p>
  </w:footnote>
  <w:footnote w:id="50">
    <w:p w14:paraId="1A7CF185"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ה:</w:t>
      </w:r>
    </w:p>
  </w:footnote>
  <w:footnote w:id="51">
    <w:p w14:paraId="464A402D"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298CD56B" w14:textId="77777777" w:rsidR="0009007A" w:rsidRDefault="00000000">
      <w:pPr>
        <w:pStyle w:val="FootnoteText"/>
      </w:pPr>
      <w:r>
        <w:rPr>
          <w:b/>
          <w:bCs/>
          <w:rtl/>
          <w:lang w:bidi="he-IL"/>
        </w:rPr>
        <w:tab/>
      </w:r>
      <w:r>
        <w:rPr>
          <w:rtl/>
          <w:lang w:bidi="he-IL"/>
        </w:rPr>
        <w:t>משנה ממשיך להחזיר עוד שלש מחלקותים שבין בית שמאי לבית הלל בענין יו"ט. כל אחד נבאר במקומו.</w:t>
      </w:r>
    </w:p>
  </w:footnote>
  <w:footnote w:id="52">
    <w:p w14:paraId="1AE41FE6" w14:textId="77777777" w:rsidR="0009007A" w:rsidRDefault="00000000">
      <w:pPr>
        <w:pStyle w:val="FootnoteText"/>
      </w:pPr>
      <w:r>
        <w:rPr>
          <w:rStyle w:val="FootnoteCharacters"/>
        </w:rPr>
        <w:footnoteRef/>
      </w:r>
      <w:r>
        <w:rPr>
          <w:rtl/>
          <w:lang w:bidi="he-IL"/>
        </w:rPr>
        <w:tab/>
        <w:t xml:space="preserve"> אפשר שרבי יוחנן מהפך הגי' כאן. (י.)</w:t>
      </w:r>
      <w:r>
        <w:rPr>
          <w:rtl/>
          <w:lang w:bidi="he-IL"/>
        </w:rPr>
        <w:tab/>
      </w:r>
    </w:p>
  </w:footnote>
  <w:footnote w:id="53">
    <w:p w14:paraId="3CA86C9B" w14:textId="77777777" w:rsidR="0009007A" w:rsidRDefault="00000000">
      <w:pPr>
        <w:pStyle w:val="FootnoteText"/>
      </w:pPr>
      <w:r>
        <w:rPr>
          <w:rStyle w:val="FootnoteCharacters"/>
        </w:rPr>
        <w:footnoteRef/>
      </w:r>
      <w:r>
        <w:rPr>
          <w:rtl/>
          <w:lang w:bidi="he-IL"/>
        </w:rPr>
        <w:tab/>
        <w:t xml:space="preserve"> לכאו', סבר שסילוק שלו דומה לסתירה. (גם אפשר שסבר שהחזרתו דומה לבנין, וחושש שאם מסלק אותו שיחזיר אותו.)</w:t>
      </w:r>
    </w:p>
  </w:footnote>
  <w:footnote w:id="54">
    <w:p w14:paraId="245B5D0A" w14:textId="77777777" w:rsidR="0009007A" w:rsidRDefault="00000000">
      <w:pPr>
        <w:pStyle w:val="FootnoteText"/>
      </w:pPr>
      <w:r>
        <w:rPr>
          <w:rStyle w:val="FootnoteCharacters"/>
        </w:rPr>
        <w:footnoteRef/>
      </w:r>
      <w:r>
        <w:rPr>
          <w:rtl/>
          <w:lang w:bidi="he-IL"/>
        </w:rPr>
        <w:tab/>
        <w:t xml:space="preserve"> היו תיבות בשוק, והיה בהם חפצים שהיו נמכרים. לפי התיבה, היה תריס, והוא כמין דלת, וכדי לפתוח אותו, היו מסלקים את התריסים. בסוף היום, החזירו את התריס שם. משנה שלנו מדבר על סילוק והחזרת התריס.</w:t>
      </w:r>
    </w:p>
  </w:footnote>
  <w:footnote w:id="55">
    <w:p w14:paraId="600CFD3B"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(יא:)</w:t>
      </w:r>
      <w:r>
        <w:rPr>
          <w:rtl/>
          <w:lang w:bidi="he-IL"/>
        </w:rPr>
        <w:t xml:space="preserve"> שב"ה מתירים לסלק מפני שמחת יו"ט (שלכן רוצה לפתוח אותו), ולהחזיר מפני שאם לא יחזיר, לא יסלק אותו. (אבל, גמ' (י.) גם משמע שאולי זה רק בצירוף מה שאין בנין בכלים מדאו'.)</w:t>
      </w:r>
    </w:p>
  </w:footnote>
  <w:footnote w:id="56">
    <w:p w14:paraId="6D5BADE7" w14:textId="77777777" w:rsidR="0009007A" w:rsidRDefault="00000000">
      <w:pPr>
        <w:pStyle w:val="FootnoteText"/>
        <w:rPr>
          <w:lang w:val="en-US" w:bidi="he-IL"/>
        </w:rPr>
      </w:pPr>
      <w:r>
        <w:rPr>
          <w:rStyle w:val="FootnoteCharacters"/>
        </w:rPr>
        <w:footnoteRef/>
      </w:r>
      <w:r>
        <w:rPr>
          <w:rtl/>
          <w:lang w:bidi="he-IL"/>
        </w:rPr>
        <w:tab/>
        <w:t xml:space="preserve"> </w:t>
      </w:r>
      <w:r>
        <w:rPr>
          <w:rtl/>
          <w:lang w:val="en-US" w:bidi="he-IL"/>
        </w:rPr>
        <w:t>גמ' מפרש שיש שלש מיני תריסים:</w:t>
      </w:r>
    </w:p>
    <w:p w14:paraId="712B5F37" w14:textId="77777777" w:rsidR="0009007A" w:rsidRDefault="00000000">
      <w:pPr>
        <w:pStyle w:val="FootnoteText"/>
        <w:numPr>
          <w:ilvl w:val="0"/>
          <w:numId w:val="8"/>
        </w:numPr>
        <w:rPr>
          <w:lang w:val="en-US" w:bidi="he-IL"/>
        </w:rPr>
      </w:pPr>
      <w:r>
        <w:rPr>
          <w:rtl/>
          <w:lang w:val="en-US" w:bidi="he-IL"/>
        </w:rPr>
        <w:t>יש שאין להם ציר. (צירו הוא שני יתדות שהולכים לתוך חור במקום שגובעים שם התריס.) בזה, כוע"מ שמותר להחזיר.</w:t>
      </w:r>
    </w:p>
    <w:p w14:paraId="27F0BB31" w14:textId="77777777" w:rsidR="0009007A" w:rsidRDefault="00000000">
      <w:pPr>
        <w:pStyle w:val="FootnoteText"/>
        <w:numPr>
          <w:ilvl w:val="0"/>
          <w:numId w:val="8"/>
        </w:numPr>
        <w:rPr>
          <w:lang w:val="en-US" w:bidi="he-IL"/>
        </w:rPr>
      </w:pPr>
      <w:r>
        <w:rPr>
          <w:rtl/>
          <w:lang w:val="en-US" w:bidi="he-IL"/>
        </w:rPr>
        <w:t>יש שיש להם ציר מן הצדדים. כיון שמזה נעשה קבועים בחוזק (איני יודע למה זה המציאות), אסור להחזיר אותם^. משום שדומה לבנין.</w:t>
      </w:r>
    </w:p>
    <w:p w14:paraId="594A042A" w14:textId="77777777" w:rsidR="0009007A" w:rsidRDefault="00000000">
      <w:pPr>
        <w:pStyle w:val="FootnoteText"/>
        <w:numPr>
          <w:ilvl w:val="0"/>
          <w:numId w:val="8"/>
        </w:numPr>
        <w:rPr>
          <w:lang w:val="en-US" w:bidi="he-IL"/>
        </w:rPr>
      </w:pPr>
      <w:r>
        <w:rPr>
          <w:rtl/>
          <w:lang w:val="en-US" w:bidi="he-IL"/>
        </w:rPr>
        <w:t xml:space="preserve">יש שיש להם ציר באמצע. חולקים בית שמאי ובית הלל בזה, שבית שמאי גוזרים משום ציר שמן הצדדים ובית הלל לא גוזרים. </w:t>
      </w:r>
      <w:r>
        <w:rPr>
          <w:b/>
          <w:bCs/>
          <w:u w:val="single"/>
          <w:rtl/>
          <w:lang w:val="en-US" w:bidi="he-IL"/>
        </w:rPr>
        <w:t>(יא:)</w:t>
      </w:r>
    </w:p>
  </w:footnote>
  <w:footnote w:id="57">
    <w:p w14:paraId="078EB666" w14:textId="77777777" w:rsidR="0009007A" w:rsidRDefault="00000000">
      <w:pPr>
        <w:pStyle w:val="FootnoteText"/>
      </w:pPr>
      <w:r>
        <w:rPr>
          <w:rStyle w:val="FootnoteCharacters"/>
        </w:rPr>
        <w:footnoteRef/>
      </w:r>
      <w:r>
        <w:rPr>
          <w:rtl/>
          <w:lang w:bidi="he-IL"/>
        </w:rPr>
        <w:tab/>
        <w:t xml:space="preserve"> במשניות שבגמ', הסדר הפוך, וקטע בא קודם "בש"א אין מוציאים לא את הקטן."</w:t>
      </w:r>
    </w:p>
  </w:footnote>
  <w:footnote w:id="58">
    <w:p w14:paraId="08F81331" w14:textId="77777777" w:rsidR="0009007A" w:rsidRDefault="00000000">
      <w:pPr>
        <w:pStyle w:val="FootnoteText"/>
      </w:pPr>
      <w:r>
        <w:rPr>
          <w:rStyle w:val="FootnoteCharacters"/>
        </w:rPr>
        <w:footnoteRef/>
      </w:r>
      <w:r>
        <w:rPr>
          <w:rtl/>
          <w:lang w:bidi="he-IL"/>
        </w:rPr>
        <w:tab/>
        <w:t xml:space="preserve"> הוא כמו קוטינ"ג בור"ד שלנו. אבל, מלאכתו העיקרי היה לכתישה, שהוא מלאכה. לכן, הוא דבר שמלאכתו לאיסור, ואסור לטלטל אותו, אם לא למלאכת היתר.</w:t>
      </w:r>
    </w:p>
  </w:footnote>
  <w:footnote w:id="59">
    <w:p w14:paraId="3004F1C1" w14:textId="77777777" w:rsidR="0009007A" w:rsidRDefault="00000000">
      <w:pPr>
        <w:pStyle w:val="FootnoteText"/>
      </w:pPr>
      <w:r>
        <w:rPr>
          <w:rStyle w:val="FootnoteCharacters"/>
        </w:rPr>
        <w:footnoteRef/>
      </w:r>
      <w:r>
        <w:rPr>
          <w:rtl/>
          <w:lang w:bidi="he-IL"/>
        </w:rPr>
        <w:tab/>
        <w:t xml:space="preserve"> לחתוך את הבשר.</w:t>
      </w:r>
    </w:p>
  </w:footnote>
  <w:footnote w:id="60">
    <w:p w14:paraId="48BB405F" w14:textId="77777777" w:rsidR="0009007A" w:rsidRDefault="00000000">
      <w:pPr>
        <w:pStyle w:val="FootnoteText"/>
      </w:pPr>
      <w:r>
        <w:rPr>
          <w:rStyle w:val="FootnoteCharacters"/>
        </w:rPr>
        <w:footnoteRef/>
      </w:r>
      <w:r>
        <w:rPr>
          <w:rtl/>
          <w:lang w:bidi="he-IL"/>
        </w:rPr>
        <w:tab/>
        <w:t xml:space="preserve"> גמ' לא מפרש למה אוסר. אולי סובר שאין עושים מלאכת היתר עם דבר שמלאכתו לאיסור (כ"נ מגמ' י.), ואולי גוזר שמא יחזיר אותו.</w:t>
      </w:r>
    </w:p>
  </w:footnote>
  <w:footnote w:id="61">
    <w:p w14:paraId="52A14C62" w14:textId="77777777" w:rsidR="0009007A" w:rsidRDefault="00000000">
      <w:pPr>
        <w:pStyle w:val="FootnoteText"/>
      </w:pPr>
      <w:r>
        <w:rPr>
          <w:rStyle w:val="FootnoteCharacters"/>
        </w:rPr>
        <w:footnoteRef/>
      </w:r>
      <w:r>
        <w:rPr>
          <w:rtl/>
          <w:lang w:bidi="he-IL"/>
        </w:rPr>
        <w:tab/>
        <w:t xml:space="preserve"> ראיתי שקהתי מפרש ש"דורסן" הוא מקום שבו בני אדם רגילים לדרוס. נותנים עורות שם כדי שידרסו עליו (שזה טוב לעור).</w:t>
      </w:r>
    </w:p>
  </w:footnote>
  <w:footnote w:id="62">
    <w:p w14:paraId="10FC3D92" w14:textId="77777777" w:rsidR="0009007A" w:rsidRDefault="00000000">
      <w:pPr>
        <w:pStyle w:val="FootnoteText"/>
      </w:pPr>
      <w:r>
        <w:rPr>
          <w:rStyle w:val="FootnoteCharacters"/>
        </w:rPr>
        <w:footnoteRef/>
      </w:r>
      <w:r>
        <w:rPr>
          <w:rtl/>
          <w:lang w:bidi="he-IL"/>
        </w:rPr>
        <w:tab/>
        <w:t xml:space="preserve"> גמ' לא מפרש למה אסור. אולי הוא מפני שמעבד ואולי הוא מפני שנ' כמעבד.</w:t>
      </w:r>
    </w:p>
  </w:footnote>
  <w:footnote w:id="63">
    <w:p w14:paraId="37D2C815" w14:textId="77777777" w:rsidR="0009007A" w:rsidRDefault="00000000">
      <w:pPr>
        <w:pStyle w:val="FootnoteText"/>
      </w:pPr>
      <w:r>
        <w:rPr>
          <w:rStyle w:val="FootnoteCharacters"/>
        </w:rPr>
        <w:footnoteRef/>
      </w:r>
      <w:r>
        <w:rPr>
          <w:rtl/>
          <w:lang w:bidi="he-IL"/>
        </w:rPr>
        <w:tab/>
        <w:t xml:space="preserve"> שאינו ראוי עכשיו, ואז הוא מוקצה. אבל, אם יש עליו כזית בשר, יש בו צורך (לאכול את הבשר), ואז אינו מוקצה.</w:t>
      </w:r>
    </w:p>
  </w:footnote>
  <w:footnote w:id="64">
    <w:p w14:paraId="2C529064" w14:textId="77777777" w:rsidR="0009007A" w:rsidRDefault="00000000">
      <w:pPr>
        <w:pStyle w:val="FootnoteText"/>
      </w:pPr>
      <w:r>
        <w:rPr>
          <w:rStyle w:val="FootnoteCharacters"/>
        </w:rPr>
        <w:footnoteRef/>
      </w:r>
      <w:r>
        <w:rPr>
          <w:rtl/>
          <w:lang w:bidi="he-IL"/>
        </w:rPr>
        <w:tab/>
        <w:t xml:space="preserve"> רק מתירים לו לעשות מלאכתו, אבל לא מותר לו להחזיר את העלי למקומו אחר כך, שאין זה מלאכת היתר. </w:t>
      </w:r>
      <w:r>
        <w:rPr>
          <w:b/>
          <w:bCs/>
          <w:u w:val="single"/>
          <w:rtl/>
          <w:lang w:bidi="he-IL"/>
        </w:rPr>
        <w:t>(יא.)</w:t>
      </w:r>
      <w:r>
        <w:rPr>
          <w:rtl/>
          <w:lang w:bidi="he-IL"/>
        </w:rPr>
        <w:t xml:space="preserve"> (לכאו', אם היה צורך למקומו, היה מותר.)</w:t>
      </w:r>
    </w:p>
  </w:footnote>
  <w:footnote w:id="65">
    <w:p w14:paraId="767A2018" w14:textId="77777777" w:rsidR="0009007A" w:rsidRDefault="00000000">
      <w:pPr>
        <w:pStyle w:val="FootnoteText"/>
        <w:rPr>
          <w:b/>
          <w:bCs/>
          <w:u w:val="single"/>
        </w:rPr>
      </w:pPr>
      <w:r>
        <w:rPr>
          <w:rStyle w:val="FootnoteCharacters"/>
        </w:rPr>
        <w:footnoteRef/>
      </w:r>
      <w:r>
        <w:rPr>
          <w:rtl/>
          <w:lang w:bidi="he-IL"/>
        </w:rPr>
        <w:tab/>
        <w:t xml:space="preserve"> גמ' מפרש שאם מלאכתו להיתר, כמו דבר שמיוחד לשבור עליו עצמות או לחתוך עליו בשר, מודים ב"ש שמותר להשתמש בו, ואף אם לא התשמש בו לנפי כן (ויש לחוש שיחזור בו, ונמצא שטלטל אותו בלי צורך). </w:t>
      </w:r>
      <w:r>
        <w:rPr>
          <w:b/>
          <w:bCs/>
          <w:u w:val="single"/>
          <w:rtl/>
          <w:lang w:bidi="he-IL"/>
        </w:rPr>
        <w:t>(יא.)</w:t>
      </w:r>
    </w:p>
  </w:footnote>
  <w:footnote w:id="66">
    <w:p w14:paraId="462E3BC5" w14:textId="77777777" w:rsidR="0009007A" w:rsidRDefault="00000000">
      <w:pPr>
        <w:pStyle w:val="FootnoteText"/>
        <w:rPr>
          <w:b/>
          <w:bCs/>
          <w:u w:val="single"/>
        </w:rPr>
      </w:pPr>
      <w:r>
        <w:rPr>
          <w:rStyle w:val="FootnoteCharacters"/>
        </w:rPr>
        <w:footnoteRef/>
      </w:r>
      <w:r>
        <w:rPr>
          <w:rtl/>
          <w:lang w:bidi="he-IL"/>
        </w:rPr>
        <w:tab/>
        <w:t xml:space="preserve"> גמ' מפרש </w:t>
      </w:r>
      <w:r>
        <w:rPr>
          <w:b/>
          <w:bCs/>
          <w:u w:val="single"/>
          <w:rtl/>
          <w:lang w:bidi="he-IL"/>
        </w:rPr>
        <w:t>(יא:)</w:t>
      </w:r>
      <w:r>
        <w:rPr>
          <w:rtl/>
          <w:lang w:bidi="he-IL"/>
        </w:rPr>
        <w:t xml:space="preserve"> שמותר מפני שאם לא יכול לדרוס את העור, לא ישחט את הבהמה, ויבטל משמחת יו"ט. נראה שמצרף עם זה מה שהוא כבר קצת מוכן, שראוי להסב עליו, ואז לא נ' כמעבד. </w:t>
      </w:r>
      <w:r>
        <w:rPr>
          <w:b/>
          <w:bCs/>
          <w:u w:val="single"/>
          <w:rtl/>
          <w:lang w:bidi="he-IL"/>
        </w:rPr>
        <w:t>(י., יא:)</w:t>
      </w:r>
      <w:r>
        <w:rPr>
          <w:rtl/>
          <w:lang w:bidi="he-IL"/>
        </w:rPr>
        <w:t xml:space="preserve"> כיון שכן, רק מותר בעור של בהמה שלא היה יכול לעבד קודם י"ט. </w:t>
      </w:r>
      <w:r>
        <w:rPr>
          <w:b/>
          <w:bCs/>
          <w:u w:val="single"/>
          <w:rtl/>
          <w:lang w:bidi="he-IL"/>
        </w:rPr>
        <w:t>(יא:)</w:t>
      </w:r>
    </w:p>
  </w:footnote>
  <w:footnote w:id="67">
    <w:p w14:paraId="76B7C290" w14:textId="77777777" w:rsidR="0009007A" w:rsidRDefault="00000000">
      <w:pPr>
        <w:pStyle w:val="FootnoteText"/>
        <w:rPr>
          <w:lang w:bidi="he-IL"/>
        </w:rPr>
      </w:pPr>
      <w:r>
        <w:rPr>
          <w:rStyle w:val="FootnoteCharacters"/>
        </w:rPr>
        <w:footnoteRef/>
      </w:r>
      <w:r>
        <w:rPr>
          <w:rtl/>
          <w:lang w:bidi="he-IL"/>
        </w:rPr>
        <w:tab/>
        <w:t xml:space="preserve"> גמ' </w:t>
      </w:r>
      <w:r>
        <w:rPr>
          <w:b/>
          <w:bCs/>
          <w:u w:val="single"/>
          <w:rtl/>
          <w:lang w:bidi="he-IL"/>
        </w:rPr>
        <w:t>(יב.)</w:t>
      </w:r>
      <w:r>
        <w:rPr>
          <w:rtl/>
          <w:lang w:bidi="he-IL"/>
        </w:rPr>
        <w:t xml:space="preserve"> נותן שני פירושים בשיטת בית הלל:</w:t>
      </w:r>
    </w:p>
    <w:p w14:paraId="02B011E4" w14:textId="77777777" w:rsidR="0009007A" w:rsidRDefault="00000000">
      <w:pPr>
        <w:pStyle w:val="FootnoteText"/>
        <w:numPr>
          <w:ilvl w:val="0"/>
          <w:numId w:val="9"/>
        </w:numPr>
      </w:pPr>
      <w:r>
        <w:rPr>
          <w:rtl/>
          <w:lang w:bidi="he-IL"/>
        </w:rPr>
        <w:t>סוברים שאין איסור הוצאה ביו"ט. דורש כן ממש"כ, "ולא תוציאו משא מבתיכם ביום השבת," שממעט יום טוב. גמ' דוחה שא"כ יתיר כל הוצאה, והרי משנה רק מזכיר דברים שיש בהם צורך.</w:t>
      </w:r>
    </w:p>
    <w:p w14:paraId="37AB09CE" w14:textId="77777777" w:rsidR="0009007A" w:rsidRDefault="00000000">
      <w:pPr>
        <w:pStyle w:val="FootnoteText"/>
        <w:numPr>
          <w:ilvl w:val="0"/>
          <w:numId w:val="9"/>
        </w:numPr>
      </w:pPr>
      <w:r>
        <w:rPr>
          <w:rtl/>
          <w:lang w:bidi="he-IL"/>
        </w:rPr>
        <w:t xml:space="preserve">סוברים שמתוך שהותר הוצאה לצורך אוכל נפש (שכ', "אך אשר יאכל לכל נפש), גם הותר הוצאה לצורך אחר. ראיתי שמאירי מעורר שזה רק במלאכות שמצויות באוכל נפש, ושזה רק בהנאות השוות לכל נפש. </w:t>
      </w:r>
    </w:p>
  </w:footnote>
  <w:footnote w:id="68">
    <w:p w14:paraId="37A40399"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 ה:</w:t>
      </w:r>
    </w:p>
    <w:p w14:paraId="2A2AD44F" w14:textId="77777777" w:rsidR="0009007A" w:rsidRDefault="00000000">
      <w:pPr>
        <w:pStyle w:val="FootnoteText"/>
        <w:numPr>
          <w:ilvl w:val="0"/>
          <w:numId w:val="10"/>
        </w:numPr>
      </w:pPr>
      <w:r>
        <w:rPr>
          <w:rtl/>
          <w:lang w:bidi="he-IL"/>
        </w:rPr>
        <w:t>לסלק תריס מתיבה בי"ט:</w:t>
      </w:r>
    </w:p>
    <w:p w14:paraId="481F985D" w14:textId="77777777" w:rsidR="0009007A" w:rsidRDefault="00000000">
      <w:pPr>
        <w:pStyle w:val="FootnoteText"/>
        <w:numPr>
          <w:ilvl w:val="1"/>
          <w:numId w:val="10"/>
        </w:numPr>
      </w:pPr>
      <w:r>
        <w:rPr>
          <w:rtl/>
          <w:lang w:bidi="he-IL"/>
        </w:rPr>
        <w:t>תנא של בריי'- מותר בכל אופן (שמפרש שכל הדיון הוא רק על החזרתו). (יש לדון בזה, אם הוא גם אם יש ציר בצד.)</w:t>
      </w:r>
    </w:p>
    <w:p w14:paraId="7F25146D" w14:textId="77777777" w:rsidR="0009007A" w:rsidRDefault="00000000">
      <w:pPr>
        <w:pStyle w:val="FootnoteText"/>
        <w:numPr>
          <w:ilvl w:val="1"/>
          <w:numId w:val="10"/>
        </w:numPr>
      </w:pPr>
      <w:r>
        <w:rPr>
          <w:rtl/>
          <w:lang w:bidi="he-IL"/>
        </w:rPr>
        <w:t>תנא של משנה-</w:t>
      </w:r>
    </w:p>
    <w:p w14:paraId="4C8DA856" w14:textId="77777777" w:rsidR="0009007A" w:rsidRDefault="00000000">
      <w:pPr>
        <w:pStyle w:val="FootnoteText"/>
        <w:numPr>
          <w:ilvl w:val="2"/>
          <w:numId w:val="10"/>
        </w:numPr>
      </w:pPr>
      <w:r>
        <w:rPr>
          <w:rtl/>
          <w:lang w:bidi="he-IL"/>
        </w:rPr>
        <w:t>אם יש ציר מן הצד- אסור.</w:t>
      </w:r>
    </w:p>
    <w:p w14:paraId="717FC621" w14:textId="77777777" w:rsidR="0009007A" w:rsidRDefault="00000000">
      <w:pPr>
        <w:pStyle w:val="FootnoteText"/>
        <w:numPr>
          <w:ilvl w:val="2"/>
          <w:numId w:val="10"/>
        </w:numPr>
      </w:pPr>
      <w:r>
        <w:rPr>
          <w:rtl/>
          <w:lang w:bidi="he-IL"/>
        </w:rPr>
        <w:t>אם יש ציר באמצע-</w:t>
      </w:r>
    </w:p>
    <w:p w14:paraId="4DE0C67D" w14:textId="77777777" w:rsidR="0009007A" w:rsidRDefault="00000000">
      <w:pPr>
        <w:pStyle w:val="FootnoteText"/>
        <w:numPr>
          <w:ilvl w:val="3"/>
          <w:numId w:val="10"/>
        </w:numPr>
      </w:pPr>
      <w:r>
        <w:rPr>
          <w:rtl/>
          <w:lang w:bidi="he-IL"/>
        </w:rPr>
        <w:t>בית שמאי- אסור.</w:t>
      </w:r>
    </w:p>
    <w:p w14:paraId="432B95D5" w14:textId="77777777" w:rsidR="0009007A" w:rsidRDefault="00000000">
      <w:pPr>
        <w:pStyle w:val="FootnoteText"/>
        <w:numPr>
          <w:ilvl w:val="3"/>
          <w:numId w:val="10"/>
        </w:numPr>
      </w:pPr>
      <w:r>
        <w:rPr>
          <w:rtl/>
          <w:lang w:bidi="he-IL"/>
        </w:rPr>
        <w:t>בית הלל- מותר.</w:t>
      </w:r>
    </w:p>
    <w:p w14:paraId="7A1FDFD9" w14:textId="77777777" w:rsidR="0009007A" w:rsidRDefault="00000000">
      <w:pPr>
        <w:pStyle w:val="FootnoteText"/>
        <w:numPr>
          <w:ilvl w:val="2"/>
          <w:numId w:val="10"/>
        </w:numPr>
      </w:pPr>
      <w:r>
        <w:rPr>
          <w:rtl/>
          <w:lang w:bidi="he-IL"/>
        </w:rPr>
        <w:t>אם אין ציר- מותר.</w:t>
      </w:r>
    </w:p>
    <w:p w14:paraId="33DB6F02" w14:textId="77777777" w:rsidR="0009007A" w:rsidRDefault="00000000">
      <w:pPr>
        <w:pStyle w:val="FootnoteText"/>
        <w:numPr>
          <w:ilvl w:val="0"/>
          <w:numId w:val="10"/>
        </w:numPr>
      </w:pPr>
      <w:r>
        <w:rPr>
          <w:rtl/>
          <w:lang w:bidi="he-IL"/>
        </w:rPr>
        <w:t>להחזיר התריס- שווה לדין של סילוק תריס לפי תנא של המשנה.</w:t>
      </w:r>
    </w:p>
    <w:p w14:paraId="043E7E37" w14:textId="77777777" w:rsidR="0009007A" w:rsidRDefault="00000000">
      <w:pPr>
        <w:pStyle w:val="FootnoteText"/>
        <w:numPr>
          <w:ilvl w:val="0"/>
          <w:numId w:val="10"/>
        </w:numPr>
      </w:pPr>
      <w:r>
        <w:rPr>
          <w:rtl/>
          <w:lang w:bidi="he-IL"/>
        </w:rPr>
        <w:t>להתשמש להיתר בכלי שמלאכתו לאיסור:</w:t>
      </w:r>
    </w:p>
    <w:p w14:paraId="6C7CB954" w14:textId="77777777" w:rsidR="0009007A" w:rsidRDefault="00000000">
      <w:pPr>
        <w:pStyle w:val="FootnoteText"/>
        <w:numPr>
          <w:ilvl w:val="1"/>
          <w:numId w:val="10"/>
        </w:numPr>
      </w:pPr>
      <w:r>
        <w:rPr>
          <w:rtl/>
          <w:lang w:bidi="he-IL"/>
        </w:rPr>
        <w:t>בית שמאי- אסור.</w:t>
      </w:r>
    </w:p>
    <w:p w14:paraId="07DEB1F2" w14:textId="77777777" w:rsidR="0009007A" w:rsidRDefault="00000000">
      <w:pPr>
        <w:pStyle w:val="FootnoteText"/>
        <w:numPr>
          <w:ilvl w:val="1"/>
          <w:numId w:val="10"/>
        </w:numPr>
      </w:pPr>
      <w:r>
        <w:rPr>
          <w:rtl/>
          <w:lang w:bidi="he-IL"/>
        </w:rPr>
        <w:t>בית הלל- מותר. אבל, אסור להחזיר את הכלי למקומו אח"כ.</w:t>
      </w:r>
    </w:p>
    <w:p w14:paraId="055D5015" w14:textId="77777777" w:rsidR="0009007A" w:rsidRDefault="00000000">
      <w:pPr>
        <w:pStyle w:val="FootnoteText"/>
        <w:numPr>
          <w:ilvl w:val="0"/>
          <w:numId w:val="10"/>
        </w:numPr>
      </w:pPr>
      <w:r>
        <w:rPr>
          <w:rtl/>
          <w:lang w:bidi="he-IL"/>
        </w:rPr>
        <w:t>לתת עור לפני דרסן:</w:t>
      </w:r>
    </w:p>
    <w:p w14:paraId="67D5EDD3" w14:textId="77777777" w:rsidR="0009007A" w:rsidRDefault="00000000">
      <w:pPr>
        <w:pStyle w:val="FootnoteText"/>
        <w:numPr>
          <w:ilvl w:val="1"/>
          <w:numId w:val="10"/>
        </w:numPr>
      </w:pPr>
      <w:r>
        <w:rPr>
          <w:rtl/>
          <w:lang w:bidi="he-IL"/>
        </w:rPr>
        <w:t>בית שמאי- אסור.</w:t>
      </w:r>
    </w:p>
    <w:p w14:paraId="15119A56" w14:textId="77777777" w:rsidR="0009007A" w:rsidRDefault="00000000">
      <w:pPr>
        <w:pStyle w:val="FootnoteText"/>
        <w:numPr>
          <w:ilvl w:val="1"/>
          <w:numId w:val="10"/>
        </w:numPr>
      </w:pPr>
      <w:r>
        <w:rPr>
          <w:rtl/>
          <w:lang w:bidi="he-IL"/>
        </w:rPr>
        <w:t>בית הלל- מותר.</w:t>
      </w:r>
    </w:p>
    <w:p w14:paraId="5F5A912F" w14:textId="77777777" w:rsidR="0009007A" w:rsidRDefault="00000000">
      <w:pPr>
        <w:pStyle w:val="FootnoteText"/>
        <w:numPr>
          <w:ilvl w:val="0"/>
          <w:numId w:val="10"/>
        </w:numPr>
      </w:pPr>
      <w:r>
        <w:rPr>
          <w:rtl/>
          <w:lang w:bidi="he-IL"/>
        </w:rPr>
        <w:t>לטלטל עור:</w:t>
      </w:r>
    </w:p>
    <w:p w14:paraId="30809DE7" w14:textId="77777777" w:rsidR="0009007A" w:rsidRDefault="00000000">
      <w:pPr>
        <w:pStyle w:val="FootnoteText"/>
        <w:numPr>
          <w:ilvl w:val="1"/>
          <w:numId w:val="10"/>
        </w:numPr>
      </w:pPr>
      <w:r>
        <w:rPr>
          <w:rtl/>
          <w:lang w:bidi="he-IL"/>
        </w:rPr>
        <w:t>אם יש בו כזית בשר- מותר.</w:t>
      </w:r>
    </w:p>
    <w:p w14:paraId="51367AFD" w14:textId="77777777" w:rsidR="0009007A" w:rsidRDefault="00000000">
      <w:pPr>
        <w:pStyle w:val="FootnoteText"/>
        <w:numPr>
          <w:ilvl w:val="1"/>
          <w:numId w:val="10"/>
        </w:numPr>
      </w:pPr>
      <w:r>
        <w:rPr>
          <w:rtl/>
          <w:lang w:bidi="he-IL"/>
        </w:rPr>
        <w:t>אם אין בו כזית בשר-</w:t>
      </w:r>
    </w:p>
    <w:p w14:paraId="32190E1C" w14:textId="77777777" w:rsidR="0009007A" w:rsidRDefault="00000000">
      <w:pPr>
        <w:pStyle w:val="FootnoteText"/>
        <w:numPr>
          <w:ilvl w:val="2"/>
          <w:numId w:val="10"/>
        </w:numPr>
      </w:pPr>
      <w:r>
        <w:rPr>
          <w:rtl/>
          <w:lang w:bidi="he-IL"/>
        </w:rPr>
        <w:t>בית שמאי- מותר.</w:t>
      </w:r>
    </w:p>
    <w:p w14:paraId="063F059E" w14:textId="77777777" w:rsidR="0009007A" w:rsidRDefault="00000000">
      <w:pPr>
        <w:pStyle w:val="FootnoteText"/>
        <w:numPr>
          <w:ilvl w:val="2"/>
          <w:numId w:val="10"/>
        </w:numPr>
      </w:pPr>
      <w:r>
        <w:rPr>
          <w:rtl/>
          <w:lang w:bidi="he-IL"/>
        </w:rPr>
        <w:t>בית הלל- אסור.</w:t>
      </w:r>
    </w:p>
    <w:p w14:paraId="3AC72FC7" w14:textId="77777777" w:rsidR="0009007A" w:rsidRDefault="00000000">
      <w:pPr>
        <w:pStyle w:val="FootnoteText"/>
        <w:numPr>
          <w:ilvl w:val="0"/>
          <w:numId w:val="10"/>
        </w:numPr>
      </w:pPr>
      <w:r>
        <w:rPr>
          <w:rtl/>
          <w:lang w:bidi="he-IL"/>
        </w:rPr>
        <w:t>עשיית מלאכה לצורך חוץ מאכ"נ:</w:t>
      </w:r>
    </w:p>
    <w:p w14:paraId="0680B3AC" w14:textId="77777777" w:rsidR="0009007A" w:rsidRDefault="00000000">
      <w:pPr>
        <w:pStyle w:val="FootnoteText"/>
        <w:numPr>
          <w:ilvl w:val="1"/>
          <w:numId w:val="10"/>
        </w:numPr>
      </w:pPr>
      <w:r>
        <w:rPr>
          <w:rtl/>
          <w:lang w:bidi="he-IL"/>
        </w:rPr>
        <w:t>בית שמאי- אסור.</w:t>
      </w:r>
    </w:p>
    <w:p w14:paraId="127980D0" w14:textId="77777777" w:rsidR="0009007A" w:rsidRDefault="00000000">
      <w:pPr>
        <w:pStyle w:val="FootnoteText"/>
        <w:numPr>
          <w:ilvl w:val="1"/>
          <w:numId w:val="10"/>
        </w:numPr>
      </w:pPr>
      <w:r>
        <w:rPr>
          <w:rtl/>
          <w:lang w:bidi="he-IL"/>
        </w:rPr>
        <w:t>בית הלל- מותר, שמתוך שהותרה לצורך אכ"נ, הותרה לכל צורך.</w:t>
      </w:r>
    </w:p>
  </w:footnote>
  <w:footnote w:id="69">
    <w:p w14:paraId="5A4F6F4C"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ו:</w:t>
      </w:r>
    </w:p>
  </w:footnote>
  <w:footnote w:id="70">
    <w:p w14:paraId="346D983E"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6B764FFF" w14:textId="77777777" w:rsidR="0009007A" w:rsidRDefault="00000000">
      <w:pPr>
        <w:pStyle w:val="FootnoteText"/>
      </w:pPr>
      <w:r>
        <w:rPr>
          <w:b/>
          <w:bCs/>
          <w:rtl/>
          <w:lang w:bidi="he-IL"/>
        </w:rPr>
        <w:tab/>
      </w:r>
      <w:r>
        <w:rPr>
          <w:rtl/>
          <w:lang w:bidi="he-IL"/>
        </w:rPr>
        <w:t xml:space="preserve">בדרך כלל, אסור להרים מתנות כהונה ולוויה מדברים בשבת ויום טוב, כיון שמתקן אותו (כעין מלאכה). אבל, אם לא היה אפשר מבעו"י, מותר ביו"ט, לאוכל נפש. נמצא, אז, שאסור להרים תרומה (כיון שלא נמצא שנתחייב ביו"ט), ויכול להרים מתנות הנזכרות במשנה. </w:t>
      </w:r>
    </w:p>
  </w:footnote>
  <w:footnote w:id="71">
    <w:p w14:paraId="34E7E2CC" w14:textId="77777777" w:rsidR="0009007A" w:rsidRDefault="00000000">
      <w:pPr>
        <w:pStyle w:val="FootnoteText"/>
        <w:rPr>
          <w:b/>
          <w:bCs/>
          <w:u w:val="single"/>
        </w:rPr>
      </w:pPr>
      <w:r>
        <w:rPr>
          <w:rStyle w:val="FootnoteCharacters"/>
        </w:rPr>
        <w:footnoteRef/>
      </w:r>
      <w:r>
        <w:rPr>
          <w:rtl/>
          <w:lang w:bidi="he-IL"/>
        </w:rPr>
        <w:tab/>
        <w:t xml:space="preserve"> גמ' מפרש שרק אוסרים אם נשחטו מעי"ט, שהיה לו זמן להרים אותם ולהוליך אותם בעי"ט. </w:t>
      </w:r>
      <w:r>
        <w:rPr>
          <w:b/>
          <w:bCs/>
          <w:u w:val="single"/>
          <w:rtl/>
          <w:lang w:bidi="he-IL"/>
        </w:rPr>
        <w:t>(יב:)</w:t>
      </w:r>
    </w:p>
  </w:footnote>
  <w:footnote w:id="72">
    <w:p w14:paraId="3EF47B02" w14:textId="77777777" w:rsidR="0009007A" w:rsidRDefault="00000000">
      <w:pPr>
        <w:pStyle w:val="FootnoteText"/>
        <w:rPr>
          <w:b/>
          <w:bCs/>
          <w:u w:val="single"/>
        </w:rPr>
      </w:pPr>
      <w:r>
        <w:rPr>
          <w:rStyle w:val="FootnoteCharacters"/>
        </w:rPr>
        <w:footnoteRef/>
      </w:r>
      <w:r>
        <w:rPr>
          <w:rtl/>
          <w:lang w:bidi="he-IL"/>
        </w:rPr>
        <w:tab/>
        <w:t xml:space="preserve"> אם מוליך עם דברים מותרים^- כמו מתנות שהורמו מבהמה שנשחטה בי"ט- חולקים רבי יהודה ואחרים אם בית שמאי מתיר או לא מתיר. </w:t>
      </w:r>
      <w:r>
        <w:rPr>
          <w:b/>
          <w:bCs/>
          <w:u w:val="single"/>
          <w:rtl/>
          <w:lang w:bidi="he-IL"/>
        </w:rPr>
        <w:t>(יב:)</w:t>
      </w:r>
    </w:p>
  </w:footnote>
  <w:footnote w:id="73">
    <w:p w14:paraId="441FDFD5" w14:textId="77777777" w:rsidR="0009007A" w:rsidRDefault="00000000">
      <w:pPr>
        <w:pStyle w:val="FootnoteText"/>
        <w:rPr>
          <w:lang w:val="en-US" w:bidi="he-IL"/>
        </w:rPr>
      </w:pPr>
      <w:r>
        <w:rPr>
          <w:rStyle w:val="FootnoteCharacters"/>
        </w:rPr>
        <w:footnoteRef/>
      </w:r>
      <w:r>
        <w:rPr>
          <w:rtl/>
          <w:lang w:bidi="he-IL"/>
        </w:rPr>
        <w:tab/>
        <w:t xml:space="preserve">בית שמאי חוששים שאם יוליך מתנות, יבוא להרים תרומה. (רש"י </w:t>
      </w:r>
      <w:r>
        <w:rPr>
          <w:b/>
          <w:bCs/>
          <w:u w:val="single"/>
          <w:rtl/>
          <w:lang w:bidi="he-IL"/>
        </w:rPr>
        <w:t>יב:</w:t>
      </w:r>
      <w:r>
        <w:rPr>
          <w:rtl/>
          <w:lang w:bidi="he-IL"/>
        </w:rPr>
        <w:t>)</w:t>
      </w:r>
    </w:p>
  </w:footnote>
  <w:footnote w:id="74">
    <w:p w14:paraId="15DABBA2" w14:textId="77777777" w:rsidR="0009007A" w:rsidRDefault="00000000">
      <w:pPr>
        <w:pStyle w:val="FootnoteText"/>
      </w:pPr>
      <w:r>
        <w:rPr>
          <w:rStyle w:val="FootnoteCharacters"/>
        </w:rPr>
        <w:footnoteRef/>
      </w:r>
      <w:r>
        <w:rPr>
          <w:rtl/>
          <w:lang w:bidi="he-IL"/>
        </w:rPr>
        <w:tab/>
        <w:t xml:space="preserve"> מן המשנה שלנו יוצא שכוע"מ שאסור להוליך תרומה, וחולקים אם מותר להוליך מתנות. גמ' מביא </w:t>
      </w:r>
      <w:r>
        <w:rPr>
          <w:b/>
          <w:bCs/>
          <w:u w:val="single"/>
          <w:rtl/>
          <w:lang w:bidi="he-IL"/>
        </w:rPr>
        <w:t>(יב:)</w:t>
      </w:r>
      <w:r>
        <w:rPr>
          <w:rtl/>
          <w:lang w:bidi="he-IL"/>
        </w:rPr>
        <w:t xml:space="preserve"> שיטת רבי יוסי שכוע"מ שמותר להוליך מתנות, וחולקים אם מותר להוליך תרומה. (לזה, בית הלל הוא המביא את ה"גזירה שווה").</w:t>
      </w:r>
    </w:p>
  </w:footnote>
  <w:footnote w:id="75">
    <w:p w14:paraId="035CF3BF" w14:textId="77777777" w:rsidR="0009007A" w:rsidRDefault="00000000">
      <w:pPr>
        <w:pStyle w:val="FootnoteText"/>
      </w:pPr>
      <w:r>
        <w:rPr>
          <w:rStyle w:val="FootnoteCharacters"/>
        </w:rPr>
        <w:footnoteRef/>
      </w:r>
      <w:r>
        <w:rPr>
          <w:rtl/>
          <w:lang w:bidi="he-IL"/>
        </w:rPr>
        <w:tab/>
        <w:t xml:space="preserve"> אינו ממש גזרה שווה, אלא רצה לומר- נדון מדבר השווה. (עיין בתענית (כז.) כעין זה.)</w:t>
      </w:r>
    </w:p>
  </w:footnote>
  <w:footnote w:id="76">
    <w:p w14:paraId="1FFF9B37" w14:textId="77777777" w:rsidR="0009007A" w:rsidRDefault="00000000">
      <w:pPr>
        <w:pStyle w:val="FootnoteText"/>
      </w:pPr>
      <w:r>
        <w:rPr>
          <w:rStyle w:val="FootnoteCharacters"/>
        </w:rPr>
        <w:footnoteRef/>
      </w:r>
      <w:r>
        <w:rPr>
          <w:rtl/>
          <w:lang w:bidi="he-IL"/>
        </w:rPr>
        <w:tab/>
        <w:t>עיין בהוספות.</w:t>
      </w:r>
    </w:p>
  </w:footnote>
  <w:footnote w:id="77">
    <w:p w14:paraId="2BF242A1"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(יג.)</w:t>
      </w:r>
      <w:r>
        <w:rPr>
          <w:rtl/>
          <w:lang w:bidi="he-IL"/>
        </w:rPr>
        <w:t xml:space="preserve"> שיש פעמים שאפשר להתחייב בתרומה בי"ט, ואז ירים בי"ט, ורק מכוון לומר שברוב תרומה לא זכאי. </w:t>
      </w:r>
    </w:p>
  </w:footnote>
  <w:footnote w:id="78">
    <w:p w14:paraId="07F2F66E"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0EE48892" w14:textId="77777777" w:rsidR="0009007A" w:rsidRDefault="00000000">
      <w:pPr>
        <w:pStyle w:val="FootnoteText"/>
        <w:numPr>
          <w:ilvl w:val="0"/>
          <w:numId w:val="11"/>
        </w:numPr>
        <w:rPr>
          <w:b/>
          <w:bCs/>
        </w:rPr>
      </w:pPr>
      <w:r>
        <w:rPr>
          <w:rtl/>
          <w:lang w:bidi="he-IL"/>
        </w:rPr>
        <w:t>הולכת מתנות בי"ט-</w:t>
      </w:r>
    </w:p>
    <w:p w14:paraId="7057FBC3" w14:textId="77777777" w:rsidR="0009007A" w:rsidRDefault="00000000">
      <w:pPr>
        <w:pStyle w:val="FootnoteText"/>
        <w:numPr>
          <w:ilvl w:val="1"/>
          <w:numId w:val="11"/>
        </w:numPr>
        <w:rPr>
          <w:b/>
          <w:bCs/>
        </w:rPr>
      </w:pPr>
      <w:r>
        <w:rPr>
          <w:rtl/>
          <w:lang w:bidi="he-IL"/>
        </w:rPr>
        <w:t>הורמו היום-</w:t>
      </w:r>
    </w:p>
    <w:p w14:paraId="7A6266EA" w14:textId="77777777" w:rsidR="0009007A" w:rsidRDefault="00000000">
      <w:pPr>
        <w:pStyle w:val="FootnoteText"/>
        <w:numPr>
          <w:ilvl w:val="2"/>
          <w:numId w:val="11"/>
        </w:numPr>
        <w:rPr>
          <w:b/>
          <w:bCs/>
        </w:rPr>
      </w:pPr>
      <w:r>
        <w:rPr>
          <w:rtl/>
          <w:lang w:bidi="he-IL"/>
        </w:rPr>
        <w:t>נשחטו היום- מותר.</w:t>
      </w:r>
    </w:p>
    <w:p w14:paraId="2C13219C" w14:textId="77777777" w:rsidR="0009007A" w:rsidRDefault="00000000">
      <w:pPr>
        <w:pStyle w:val="FootnoteText"/>
        <w:numPr>
          <w:ilvl w:val="2"/>
          <w:numId w:val="11"/>
        </w:numPr>
        <w:rPr>
          <w:b/>
          <w:bCs/>
        </w:rPr>
      </w:pPr>
      <w:r>
        <w:rPr>
          <w:rtl/>
          <w:lang w:bidi="he-IL"/>
        </w:rPr>
        <w:t>נחשטו מאמש-</w:t>
      </w:r>
    </w:p>
    <w:p w14:paraId="74FD2839" w14:textId="77777777" w:rsidR="0009007A" w:rsidRDefault="00000000">
      <w:pPr>
        <w:pStyle w:val="FootnoteText"/>
        <w:numPr>
          <w:ilvl w:val="3"/>
          <w:numId w:val="11"/>
        </w:numPr>
        <w:rPr>
          <w:b/>
          <w:bCs/>
        </w:rPr>
      </w:pPr>
      <w:r>
        <w:rPr>
          <w:rtl/>
          <w:lang w:bidi="he-IL"/>
        </w:rPr>
        <w:t>בית שמאי לפי רבי יהודה ואחרים- אסורים (אולי, אא"כ מוליך אותם עדם מתנות מבהמה שנשחטה היום).</w:t>
      </w:r>
    </w:p>
    <w:p w14:paraId="2EFD08A5" w14:textId="77777777" w:rsidR="0009007A" w:rsidRDefault="00000000">
      <w:pPr>
        <w:pStyle w:val="FootnoteText"/>
        <w:numPr>
          <w:ilvl w:val="3"/>
          <w:numId w:val="11"/>
        </w:numPr>
        <w:rPr>
          <w:b/>
          <w:bCs/>
        </w:rPr>
      </w:pPr>
      <w:r>
        <w:rPr>
          <w:rtl/>
          <w:lang w:bidi="he-IL"/>
        </w:rPr>
        <w:t>בית הלל, בית שמאי לפי רבי יוסי- מותר.</w:t>
      </w:r>
    </w:p>
    <w:p w14:paraId="3C41782F" w14:textId="77777777" w:rsidR="0009007A" w:rsidRDefault="00000000">
      <w:pPr>
        <w:pStyle w:val="FootnoteText"/>
        <w:numPr>
          <w:ilvl w:val="1"/>
          <w:numId w:val="11"/>
        </w:numPr>
        <w:rPr>
          <w:b/>
          <w:bCs/>
        </w:rPr>
      </w:pPr>
      <w:r>
        <w:rPr>
          <w:rtl/>
          <w:lang w:bidi="he-IL"/>
        </w:rPr>
        <w:t>הורמו מאתמול- שווה לנשחטו מאמש.</w:t>
      </w:r>
    </w:p>
    <w:p w14:paraId="36AC7F89" w14:textId="77777777" w:rsidR="0009007A" w:rsidRDefault="00000000">
      <w:pPr>
        <w:pStyle w:val="FootnoteText"/>
        <w:numPr>
          <w:ilvl w:val="0"/>
          <w:numId w:val="11"/>
        </w:numPr>
        <w:rPr>
          <w:b/>
          <w:bCs/>
        </w:rPr>
      </w:pPr>
      <w:r>
        <w:rPr>
          <w:rtl/>
          <w:lang w:bidi="he-IL"/>
        </w:rPr>
        <w:t>הולכת תרומה בי"ט:</w:t>
      </w:r>
    </w:p>
    <w:p w14:paraId="12A58A28" w14:textId="77777777" w:rsidR="0009007A" w:rsidRDefault="00000000">
      <w:pPr>
        <w:pStyle w:val="FootnoteText"/>
        <w:numPr>
          <w:ilvl w:val="1"/>
          <w:numId w:val="11"/>
        </w:numPr>
        <w:rPr>
          <w:b/>
          <w:bCs/>
        </w:rPr>
      </w:pPr>
      <w:r>
        <w:rPr>
          <w:rtl/>
          <w:lang w:bidi="he-IL"/>
        </w:rPr>
        <w:t xml:space="preserve">בית שמאי לפי רבי יוסי, כו"ע לפי רבי יהודה ואחרים- אסור. </w:t>
      </w:r>
    </w:p>
    <w:p w14:paraId="73B1DCC5" w14:textId="77777777" w:rsidR="0009007A" w:rsidRDefault="00000000">
      <w:pPr>
        <w:pStyle w:val="FootnoteText"/>
        <w:numPr>
          <w:ilvl w:val="1"/>
          <w:numId w:val="11"/>
        </w:numPr>
        <w:rPr>
          <w:b/>
          <w:bCs/>
        </w:rPr>
      </w:pPr>
      <w:r>
        <w:rPr>
          <w:rtl/>
          <w:lang w:bidi="he-IL"/>
        </w:rPr>
        <w:t>בית הלל לפי רבי יוסי- מותר.</w:t>
      </w:r>
    </w:p>
  </w:footnote>
  <w:footnote w:id="79">
    <w:p w14:paraId="096F7345"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ז:</w:t>
      </w:r>
    </w:p>
  </w:footnote>
  <w:footnote w:id="80">
    <w:p w14:paraId="13A5E1BB" w14:textId="77777777" w:rsidR="0009007A" w:rsidRDefault="00000000">
      <w:pPr>
        <w:pStyle w:val="FootnoteText"/>
      </w:pPr>
      <w:r>
        <w:rPr>
          <w:rStyle w:val="FootnoteCharacters"/>
        </w:rPr>
        <w:footnoteRef/>
      </w:r>
      <w:r>
        <w:rPr>
          <w:rtl/>
          <w:lang w:bidi="he-IL"/>
        </w:rPr>
        <w:tab/>
        <w:t xml:space="preserve"> שחיקת תבלין וכדו' הוא מלאכה שאפשר מערב יום טוב. אז, באמת, היה לו להיות אסור בי"ט. אבל, כיון שכל קדרה צרךי תבלין, התירו לו רבנן, אבל אמרו שצריך שינוי. משנה זה יבאר איזה שינוי צריך. (מאירי)</w:t>
      </w:r>
    </w:p>
  </w:footnote>
  <w:footnote w:id="81">
    <w:p w14:paraId="5DD1773B" w14:textId="77777777" w:rsidR="0009007A" w:rsidRDefault="00000000">
      <w:pPr>
        <w:pStyle w:val="FootnoteText"/>
      </w:pPr>
      <w:r>
        <w:rPr>
          <w:rStyle w:val="FootnoteCharacters"/>
        </w:rPr>
        <w:footnoteRef/>
      </w:r>
      <w:r>
        <w:rPr>
          <w:rtl/>
          <w:lang w:bidi="he-IL"/>
        </w:rPr>
        <w:tab/>
        <w:t xml:space="preserve"> קצת יש לדון למה אומר לשון פאסי"ב, ולא לשון אקטי"ב ("מדיכים תבלים...").</w:t>
      </w:r>
    </w:p>
  </w:footnote>
  <w:footnote w:id="82">
    <w:p w14:paraId="47D80A65" w14:textId="77777777" w:rsidR="0009007A" w:rsidRDefault="00000000">
      <w:pPr>
        <w:pStyle w:val="FootnoteText"/>
        <w:rPr>
          <w:lang w:val="en-US"/>
        </w:rPr>
      </w:pPr>
      <w:r>
        <w:rPr>
          <w:rStyle w:val="FootnoteCharacters"/>
        </w:rPr>
        <w:footnoteRef/>
      </w:r>
      <w:r>
        <w:rPr>
          <w:rtl/>
          <w:lang w:bidi="he-IL"/>
        </w:rPr>
        <w:tab/>
        <w:t xml:space="preserve"> הוא חתיכה שעשויה לדוך דברים (</w:t>
      </w:r>
      <w:r>
        <w:rPr>
          <w:lang w:val="en-US" w:bidi="he-IL"/>
        </w:rPr>
        <w:t>pestle</w:t>
      </w:r>
      <w:r>
        <w:rPr>
          <w:rtl/>
          <w:lang w:val="en-US" w:bidi="he-IL"/>
        </w:rPr>
        <w:t>).</w:t>
      </w:r>
    </w:p>
  </w:footnote>
  <w:footnote w:id="83">
    <w:p w14:paraId="4613971D" w14:textId="77777777" w:rsidR="0009007A" w:rsidRDefault="00000000">
      <w:pPr>
        <w:pStyle w:val="FootnoteText"/>
        <w:rPr>
          <w:b/>
          <w:bCs/>
          <w:u w:val="single"/>
        </w:rPr>
      </w:pPr>
      <w:r>
        <w:rPr>
          <w:rStyle w:val="FootnoteCharacters"/>
        </w:rPr>
        <w:footnoteRef/>
      </w:r>
      <w:r>
        <w:rPr>
          <w:rtl/>
          <w:lang w:bidi="he-IL"/>
        </w:rPr>
        <w:tab/>
        <w:t xml:space="preserve"> זה שינוי קטן. לא צריך שינוי גדול כיון שלא היה כל כך ראוי לעשות אותו מעי"ט. חולקים אם הוא מפני שטעם שלהם לא קיים כל כך או מפני שלא יודעים מה יאכל ביום שיבוא, ואז לא יודע איזה תבלין לדוך. </w:t>
      </w:r>
      <w:r>
        <w:rPr>
          <w:b/>
          <w:bCs/>
          <w:u w:val="single"/>
          <w:rtl/>
          <w:lang w:bidi="he-IL"/>
        </w:rPr>
        <w:t>(יד.)</w:t>
      </w:r>
    </w:p>
  </w:footnote>
  <w:footnote w:id="84">
    <w:p w14:paraId="789905E1" w14:textId="77777777" w:rsidR="0009007A" w:rsidRDefault="00000000">
      <w:pPr>
        <w:pStyle w:val="FootnoteText"/>
      </w:pPr>
      <w:r>
        <w:rPr>
          <w:rStyle w:val="FootnoteCharacters"/>
        </w:rPr>
        <w:footnoteRef/>
      </w:r>
      <w:r>
        <w:rPr>
          <w:rtl/>
          <w:lang w:bidi="he-IL"/>
        </w:rPr>
        <w:tab/>
        <w:t xml:space="preserve"> מדוך של חרס. (רש"י)</w:t>
      </w:r>
    </w:p>
  </w:footnote>
  <w:footnote w:id="85">
    <w:p w14:paraId="21837A7B" w14:textId="77777777" w:rsidR="0009007A" w:rsidRDefault="00000000">
      <w:pPr>
        <w:pStyle w:val="FootnoteText"/>
      </w:pPr>
      <w:r>
        <w:rPr>
          <w:rStyle w:val="FootnoteCharacters"/>
        </w:rPr>
        <w:footnoteRef/>
      </w:r>
      <w:r>
        <w:rPr>
          <w:rtl/>
          <w:lang w:bidi="he-IL"/>
        </w:rPr>
        <w:tab/>
        <w:t xml:space="preserve"> כף גדולה של עץ. </w:t>
      </w:r>
    </w:p>
  </w:footnote>
  <w:footnote w:id="86">
    <w:p w14:paraId="4BFE9055" w14:textId="77777777" w:rsidR="0009007A" w:rsidRDefault="00000000">
      <w:pPr>
        <w:pStyle w:val="FootnoteText"/>
      </w:pPr>
      <w:r>
        <w:rPr>
          <w:rStyle w:val="FootnoteCharacters"/>
        </w:rPr>
        <w:footnoteRef/>
      </w:r>
      <w:r>
        <w:rPr>
          <w:rtl/>
          <w:lang w:bidi="he-IL"/>
        </w:rPr>
        <w:tab/>
        <w:t xml:space="preserve"> לכאו', לא מחלקים כמה מדיכים. גמ' מביא בריי' שסובר שבית שמאי רק מתירים לדוך קצת מלח, ולא הרבה. </w:t>
      </w:r>
      <w:r>
        <w:rPr>
          <w:b/>
          <w:bCs/>
          <w:u w:val="single"/>
          <w:rtl/>
          <w:lang w:bidi="he-IL"/>
        </w:rPr>
        <w:t>(יד.)</w:t>
      </w:r>
    </w:p>
  </w:footnote>
  <w:footnote w:id="87">
    <w:p w14:paraId="7FF3E9F0" w14:textId="77777777" w:rsidR="0009007A" w:rsidRDefault="00000000">
      <w:pPr>
        <w:pStyle w:val="FootnoteText"/>
      </w:pPr>
      <w:r>
        <w:rPr>
          <w:rStyle w:val="FootnoteCharacters"/>
        </w:rPr>
        <w:footnoteRef/>
      </w:r>
      <w:r>
        <w:rPr>
          <w:rtl/>
          <w:lang w:bidi="he-IL"/>
        </w:rPr>
        <w:tab/>
        <w:t xml:space="preserve"> אין צריכים שום שינוי.</w:t>
      </w:r>
    </w:p>
  </w:footnote>
  <w:footnote w:id="88">
    <w:p w14:paraId="4B628CF4" w14:textId="77777777" w:rsidR="0009007A" w:rsidRDefault="00000000">
      <w:pPr>
        <w:pStyle w:val="FootnoteText"/>
      </w:pPr>
      <w:r>
        <w:rPr>
          <w:rStyle w:val="FootnoteCharacters"/>
        </w:rPr>
        <w:footnoteRef/>
      </w:r>
      <w:r>
        <w:rPr>
          <w:rtl/>
          <w:lang w:bidi="he-IL"/>
        </w:rPr>
        <w:tab/>
        <w:t xml:space="preserve"> לכאו', תנא של משנה סובר שדין זה הוא בין במלח בפנ"ע בין במלח עם ד"א. אבל, משנה מביא בריי' שחולק וסובר שכוע"מ שמותר לדוך מלח עם ד"א כדין דברים האחרים. </w:t>
      </w:r>
      <w:r>
        <w:rPr>
          <w:b/>
          <w:bCs/>
          <w:rtl/>
          <w:lang w:bidi="he-IL"/>
        </w:rPr>
        <w:t>(יד.)</w:t>
      </w:r>
    </w:p>
  </w:footnote>
  <w:footnote w:id="89">
    <w:p w14:paraId="1EC654B8" w14:textId="77777777" w:rsidR="0009007A" w:rsidRDefault="00000000">
      <w:pPr>
        <w:pStyle w:val="FootnoteText"/>
      </w:pPr>
      <w:r>
        <w:rPr>
          <w:rStyle w:val="FootnoteCharacters"/>
        </w:rPr>
        <w:footnoteRef/>
      </w:r>
      <w:r>
        <w:rPr>
          <w:rtl/>
          <w:lang w:bidi="he-IL"/>
        </w:rPr>
        <w:tab/>
        <w:t xml:space="preserve"> רק צריכים שינוי קטן. צריכים שינוי במלח, ולא בתבלין, מאותו טעמים שבארנו בבית שמאי.</w:t>
      </w:r>
    </w:p>
  </w:footnote>
  <w:footnote w:id="90">
    <w:p w14:paraId="39ACD5C9" w14:textId="77777777" w:rsidR="0009007A" w:rsidRDefault="00000000">
      <w:pPr>
        <w:pStyle w:val="FootnoteText"/>
        <w:rPr>
          <w:b/>
          <w:bCs/>
          <w:u w:val="single"/>
        </w:rPr>
      </w:pPr>
      <w:r>
        <w:rPr>
          <w:rStyle w:val="FootnoteCharacters"/>
        </w:rPr>
        <w:footnoteRef/>
      </w:r>
      <w:r>
        <w:rPr>
          <w:rtl/>
          <w:lang w:bidi="he-IL"/>
        </w:rPr>
        <w:tab/>
        <w:t xml:space="preserve"> גמ' מביא שיטה אחרת בביאור מחלקת בית שמאי ובית הלל, והוא שחולקים רק בהדכת מלח בפני עצמה, שבית שמאי סוברים שרק מותר אם מדיך מעט, ורק בפך או בעץ הפרור, ובית הלל מתירים בכל אופן ובכל שיעור. גמ' מוסיף שאף לבית הלל, צריך שינוי קטן, ואז מהפך את המדוך. </w:t>
      </w:r>
      <w:r>
        <w:rPr>
          <w:b/>
          <w:bCs/>
          <w:u w:val="single"/>
          <w:rtl/>
          <w:lang w:bidi="he-IL"/>
        </w:rPr>
        <w:t>(יד.)</w:t>
      </w:r>
    </w:p>
  </w:footnote>
  <w:footnote w:id="91">
    <w:p w14:paraId="369249AD" w14:textId="77777777" w:rsidR="0009007A" w:rsidRDefault="00000000">
      <w:pPr>
        <w:pStyle w:val="FootnoteText"/>
      </w:pPr>
      <w:r>
        <w:rPr>
          <w:rStyle w:val="FootnoteCharacters"/>
        </w:rPr>
        <w:footnoteRef/>
      </w:r>
      <w:r>
        <w:rPr>
          <w:rtl/>
          <w:lang w:bidi="he-IL"/>
        </w:rPr>
        <w:tab/>
        <w:t xml:space="preserve"> גמ' גם מזכיר איסורים בהדכה שמכתשת גדולה, אבל נראה שזה רק למידני דגן. (עיין שם בסוף יד.)</w:t>
      </w:r>
    </w:p>
  </w:footnote>
  <w:footnote w:id="92">
    <w:p w14:paraId="25213A88"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דינים היוצאים מן המשנה:</w:t>
      </w:r>
    </w:p>
    <w:p w14:paraId="06CF2E3B" w14:textId="77777777" w:rsidR="0009007A" w:rsidRDefault="00000000">
      <w:pPr>
        <w:pStyle w:val="FootnoteText"/>
        <w:numPr>
          <w:ilvl w:val="0"/>
          <w:numId w:val="12"/>
        </w:numPr>
      </w:pPr>
      <w:r>
        <w:rPr>
          <w:rtl/>
          <w:lang w:bidi="he-IL"/>
        </w:rPr>
        <w:t>הדכת תבלין-</w:t>
      </w:r>
    </w:p>
    <w:p w14:paraId="552D3119" w14:textId="77777777" w:rsidR="0009007A" w:rsidRDefault="00000000">
      <w:pPr>
        <w:pStyle w:val="FootnoteText"/>
        <w:numPr>
          <w:ilvl w:val="1"/>
          <w:numId w:val="12"/>
        </w:numPr>
      </w:pPr>
      <w:r>
        <w:rPr>
          <w:rtl/>
          <w:lang w:bidi="he-IL"/>
        </w:rPr>
        <w:t>אם ידע שצריך תבלין אלו לפני י"ט- חולקים אם דינו כמלח או לא (תלוי בטעם חי' תבלין ומלח).</w:t>
      </w:r>
    </w:p>
    <w:p w14:paraId="41C1779B" w14:textId="77777777" w:rsidR="0009007A" w:rsidRDefault="00000000">
      <w:pPr>
        <w:pStyle w:val="FootnoteText"/>
        <w:numPr>
          <w:ilvl w:val="1"/>
          <w:numId w:val="12"/>
        </w:numPr>
      </w:pPr>
      <w:r>
        <w:rPr>
          <w:rtl/>
          <w:lang w:bidi="he-IL"/>
        </w:rPr>
        <w:t xml:space="preserve">אם לא ידע שצ' תבלין אלו לפני י"ט- </w:t>
      </w:r>
    </w:p>
    <w:p w14:paraId="361641E3" w14:textId="77777777" w:rsidR="0009007A" w:rsidRDefault="00000000">
      <w:pPr>
        <w:pStyle w:val="FootnoteText"/>
        <w:numPr>
          <w:ilvl w:val="2"/>
          <w:numId w:val="12"/>
        </w:numPr>
      </w:pPr>
      <w:r>
        <w:rPr>
          <w:rtl/>
          <w:lang w:bidi="he-IL"/>
        </w:rPr>
        <w:t>בית שמאי לפי משנה- רק מותר במדוך של עץ (שינוי קטן).</w:t>
      </w:r>
    </w:p>
    <w:p w14:paraId="0EEA6D5F" w14:textId="77777777" w:rsidR="0009007A" w:rsidRDefault="00000000">
      <w:pPr>
        <w:pStyle w:val="FootnoteText"/>
        <w:numPr>
          <w:ilvl w:val="2"/>
          <w:numId w:val="12"/>
        </w:numPr>
      </w:pPr>
      <w:r>
        <w:rPr>
          <w:rtl/>
          <w:lang w:bidi="he-IL"/>
        </w:rPr>
        <w:t>בית שמאי לפי הבריי', בית הלל- מותר בלי שינוי.</w:t>
      </w:r>
    </w:p>
    <w:p w14:paraId="52728910" w14:textId="77777777" w:rsidR="0009007A" w:rsidRDefault="00000000">
      <w:pPr>
        <w:pStyle w:val="FootnoteText"/>
        <w:numPr>
          <w:ilvl w:val="0"/>
          <w:numId w:val="12"/>
        </w:numPr>
      </w:pPr>
      <w:r>
        <w:rPr>
          <w:rtl/>
          <w:lang w:bidi="he-IL"/>
        </w:rPr>
        <w:t>הדכת מלח:</w:t>
      </w:r>
    </w:p>
    <w:p w14:paraId="0F010375" w14:textId="77777777" w:rsidR="0009007A" w:rsidRDefault="00000000">
      <w:pPr>
        <w:pStyle w:val="FootnoteText"/>
        <w:numPr>
          <w:ilvl w:val="1"/>
          <w:numId w:val="12"/>
        </w:numPr>
      </w:pPr>
      <w:r>
        <w:rPr>
          <w:rtl/>
          <w:lang w:bidi="he-IL"/>
        </w:rPr>
        <w:t xml:space="preserve">עם דברים מותרים- </w:t>
      </w:r>
    </w:p>
    <w:p w14:paraId="34EE4E69" w14:textId="77777777" w:rsidR="0009007A" w:rsidRDefault="00000000">
      <w:pPr>
        <w:pStyle w:val="FootnoteText"/>
        <w:numPr>
          <w:ilvl w:val="2"/>
          <w:numId w:val="12"/>
        </w:numPr>
      </w:pPr>
      <w:r>
        <w:rPr>
          <w:rtl/>
          <w:lang w:bidi="he-IL"/>
        </w:rPr>
        <w:t>תנא של הבריי'- מותר.</w:t>
      </w:r>
    </w:p>
    <w:p w14:paraId="3542E0BF" w14:textId="77777777" w:rsidR="0009007A" w:rsidRDefault="00000000">
      <w:pPr>
        <w:pStyle w:val="FootnoteText"/>
        <w:numPr>
          <w:ilvl w:val="2"/>
          <w:numId w:val="12"/>
        </w:numPr>
      </w:pPr>
      <w:r>
        <w:rPr>
          <w:rtl/>
          <w:lang w:bidi="he-IL"/>
        </w:rPr>
        <w:t>תנא של המשנה- דינו כשאר הדכת מלח.</w:t>
      </w:r>
    </w:p>
    <w:p w14:paraId="61B4C79E" w14:textId="77777777" w:rsidR="0009007A" w:rsidRDefault="00000000">
      <w:pPr>
        <w:pStyle w:val="FootnoteText"/>
        <w:numPr>
          <w:ilvl w:val="1"/>
          <w:numId w:val="12"/>
        </w:numPr>
      </w:pPr>
      <w:r>
        <w:rPr>
          <w:rtl/>
          <w:lang w:bidi="he-IL"/>
        </w:rPr>
        <w:t>בפני עצמו-</w:t>
      </w:r>
    </w:p>
    <w:p w14:paraId="6F5AD622" w14:textId="77777777" w:rsidR="0009007A" w:rsidRDefault="00000000">
      <w:pPr>
        <w:pStyle w:val="FootnoteText"/>
        <w:numPr>
          <w:ilvl w:val="2"/>
          <w:numId w:val="12"/>
        </w:numPr>
      </w:pPr>
      <w:r>
        <w:rPr>
          <w:rtl/>
          <w:lang w:bidi="he-IL"/>
        </w:rPr>
        <w:t>בית שמאי-</w:t>
      </w:r>
    </w:p>
    <w:p w14:paraId="0AD5B91C" w14:textId="77777777" w:rsidR="0009007A" w:rsidRDefault="00000000">
      <w:pPr>
        <w:pStyle w:val="FootnoteText"/>
        <w:numPr>
          <w:ilvl w:val="3"/>
          <w:numId w:val="12"/>
        </w:numPr>
      </w:pPr>
      <w:r>
        <w:rPr>
          <w:rtl/>
          <w:lang w:bidi="he-IL"/>
        </w:rPr>
        <w:t>לתנא של הבריי'- רק מותר בפך או בעץ הפרור (שינוי גדול), ורק לדוך קצת מלח.</w:t>
      </w:r>
    </w:p>
    <w:p w14:paraId="442B2A3C" w14:textId="77777777" w:rsidR="0009007A" w:rsidRDefault="00000000">
      <w:pPr>
        <w:pStyle w:val="FootnoteText"/>
        <w:numPr>
          <w:ilvl w:val="3"/>
          <w:numId w:val="12"/>
        </w:numPr>
      </w:pPr>
      <w:r>
        <w:rPr>
          <w:rtl/>
          <w:lang w:bidi="he-IL"/>
        </w:rPr>
        <w:t>לתנא של המשנה- רק מותר בפך או בעץ הפרור (שינוי גדול).</w:t>
      </w:r>
    </w:p>
    <w:p w14:paraId="47000914" w14:textId="77777777" w:rsidR="0009007A" w:rsidRDefault="00000000">
      <w:pPr>
        <w:pStyle w:val="FootnoteText"/>
        <w:numPr>
          <w:ilvl w:val="2"/>
          <w:numId w:val="12"/>
        </w:numPr>
      </w:pPr>
      <w:r>
        <w:rPr>
          <w:rtl/>
          <w:lang w:bidi="he-IL"/>
        </w:rPr>
        <w:t>בית הלל- מותר אם מהפך את המדוך (שינוי קטן מאד).</w:t>
      </w:r>
    </w:p>
  </w:footnote>
  <w:footnote w:id="93">
    <w:p w14:paraId="67691077"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ח:</w:t>
      </w:r>
    </w:p>
  </w:footnote>
  <w:footnote w:id="94">
    <w:p w14:paraId="44A99B05"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הקדמה:</w:t>
      </w:r>
    </w:p>
    <w:p w14:paraId="39ACD6F9" w14:textId="77777777" w:rsidR="0009007A" w:rsidRDefault="00000000">
      <w:pPr>
        <w:pStyle w:val="FootnoteText"/>
      </w:pPr>
      <w:r>
        <w:rPr>
          <w:rtl/>
          <w:lang w:bidi="he-IL"/>
        </w:rPr>
        <w:tab/>
        <w:t>משנה זה יבאר איך בוררים בי"ט. נראה שיש שלש מיני בורר- בורר אוכל מתוך פסולת ביד, בורר פסולת מתוך אוכל ביד, ובורר בכלי. בתוך כלי, יש שני מיני כלי- כלי שבורר וכלי שעשוי לברור. כיון שהיה אפשר לברר מבעוד יום, צריך לברור בשינוי, וחולקים איך בורר.</w:t>
      </w:r>
    </w:p>
  </w:footnote>
  <w:footnote w:id="95">
    <w:p w14:paraId="36BFE53A" w14:textId="77777777" w:rsidR="0009007A" w:rsidRDefault="00000000">
      <w:pPr>
        <w:pStyle w:val="FootnoteText"/>
      </w:pPr>
      <w:r>
        <w:rPr>
          <w:rStyle w:val="FootnoteCharacters"/>
        </w:rPr>
        <w:footnoteRef/>
      </w:r>
      <w:r>
        <w:rPr>
          <w:rtl/>
          <w:lang w:bidi="he-IL"/>
        </w:rPr>
        <w:tab/>
        <w:t xml:space="preserve"> מלאכת בורר הוא רק כשנוטל את הפסולת מן האוכל. (עדיין אסור מדרבנן, בכ"מ, ליטול את האוכל מן הפסולת.) בית שמאי רק מתירים למי שבורר ביו"ט לברור באופן שאינו מלאכה מדאו'. (לכאו', הטעם דומה למה שכתבנו במשנה שלפני כן.)</w:t>
      </w:r>
    </w:p>
  </w:footnote>
  <w:footnote w:id="96">
    <w:p w14:paraId="7AC9A295" w14:textId="77777777" w:rsidR="0009007A" w:rsidRDefault="00000000">
      <w:pPr>
        <w:pStyle w:val="FootnoteText"/>
      </w:pPr>
      <w:r>
        <w:rPr>
          <w:rStyle w:val="FootnoteCharacters"/>
        </w:rPr>
        <w:footnoteRef/>
      </w:r>
      <w:r>
        <w:rPr>
          <w:rtl/>
          <w:lang w:bidi="he-IL"/>
        </w:rPr>
        <w:tab/>
        <w:t xml:space="preserve"> רצה לומר, פסולת מתוך האוכל. גמ' מפרש שרק מותר לברור פסולת מתוך האוכל אם יותר קל הוא. אבל, אם יותר קל לברור את האוכל, אף אם יש יותר אוכל, כוע"מ שצריך לעשות כן.</w:t>
      </w:r>
    </w:p>
  </w:footnote>
  <w:footnote w:id="97">
    <w:p w14:paraId="246F1708" w14:textId="77777777" w:rsidR="0009007A" w:rsidRDefault="00000000">
      <w:pPr>
        <w:pStyle w:val="FootnoteText"/>
      </w:pPr>
      <w:r>
        <w:rPr>
          <w:rStyle w:val="FootnoteCharacters"/>
        </w:rPr>
        <w:footnoteRef/>
      </w:r>
      <w:r>
        <w:rPr>
          <w:rtl/>
          <w:lang w:bidi="he-IL"/>
        </w:rPr>
        <w:tab/>
        <w:t xml:space="preserve"> רצה לומר, יכול לתת אתם במקום ולברר ביד, אבל לא יכול לתת אותם בכלי הבורר אותם.</w:t>
      </w:r>
    </w:p>
  </w:footnote>
  <w:footnote w:id="98">
    <w:p w14:paraId="54D34CC5" w14:textId="77777777" w:rsidR="0009007A" w:rsidRDefault="00000000">
      <w:pPr>
        <w:pStyle w:val="FootnoteText"/>
        <w:rPr>
          <w:b/>
          <w:bCs/>
          <w:u w:val="single"/>
        </w:rPr>
      </w:pPr>
      <w:r>
        <w:rPr>
          <w:rStyle w:val="FootnoteCharacters"/>
        </w:rPr>
        <w:footnoteRef/>
      </w:r>
      <w:r>
        <w:rPr>
          <w:rtl/>
          <w:lang w:bidi="he-IL"/>
        </w:rPr>
        <w:tab/>
        <w:t xml:space="preserve"> אף שלא יכול לתת אותם בכלי המיוחד לברור אותם, יכול לתת אותם בכלי הבורר אותם. אם נותן אותם במים, נמצא שחלקים ממנו צף, וחלקים ממנו צפים יותר, וחלקים ממנו נופלים, ונתברר ממילא ע"י הכלי. </w:t>
      </w:r>
      <w:r>
        <w:rPr>
          <w:b/>
          <w:bCs/>
          <w:u w:val="single"/>
          <w:rtl/>
          <w:lang w:bidi="he-IL"/>
        </w:rPr>
        <w:t>(יד:)</w:t>
      </w:r>
    </w:p>
  </w:footnote>
  <w:footnote w:id="99">
    <w:p w14:paraId="49350A9E"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דינים היוצאים מן המשנה:</w:t>
      </w:r>
    </w:p>
    <w:p w14:paraId="12E51C34" w14:textId="77777777" w:rsidR="0009007A" w:rsidRDefault="00000000">
      <w:pPr>
        <w:pStyle w:val="FootnoteText"/>
        <w:numPr>
          <w:ilvl w:val="0"/>
          <w:numId w:val="13"/>
        </w:numPr>
      </w:pPr>
      <w:r>
        <w:rPr>
          <w:rtl/>
          <w:lang w:bidi="he-IL"/>
        </w:rPr>
        <w:t>לברור ביד-</w:t>
      </w:r>
    </w:p>
    <w:p w14:paraId="7A77B155" w14:textId="77777777" w:rsidR="0009007A" w:rsidRDefault="00000000">
      <w:pPr>
        <w:pStyle w:val="FootnoteText"/>
        <w:numPr>
          <w:ilvl w:val="1"/>
          <w:numId w:val="13"/>
        </w:numPr>
      </w:pPr>
      <w:r>
        <w:rPr>
          <w:rtl/>
          <w:lang w:bidi="he-IL"/>
        </w:rPr>
        <w:t>אוכל מפסולת- מותר. (יל"ד אם מותר לפי ב"ה אם מרבה טורח.)</w:t>
      </w:r>
    </w:p>
    <w:p w14:paraId="5CDAFDCB" w14:textId="77777777" w:rsidR="0009007A" w:rsidRDefault="00000000">
      <w:pPr>
        <w:pStyle w:val="FootnoteText"/>
        <w:numPr>
          <w:ilvl w:val="1"/>
          <w:numId w:val="13"/>
        </w:numPr>
      </w:pPr>
      <w:r>
        <w:rPr>
          <w:rtl/>
          <w:lang w:bidi="he-IL"/>
        </w:rPr>
        <w:t>פסולת מאוכל-</w:t>
      </w:r>
    </w:p>
    <w:p w14:paraId="58472E95" w14:textId="77777777" w:rsidR="0009007A" w:rsidRDefault="00000000">
      <w:pPr>
        <w:pStyle w:val="FootnoteText"/>
        <w:numPr>
          <w:ilvl w:val="2"/>
          <w:numId w:val="13"/>
        </w:numPr>
      </w:pPr>
      <w:r>
        <w:rPr>
          <w:rtl/>
          <w:lang w:bidi="he-IL"/>
        </w:rPr>
        <w:t>מרבה טורח- אסור.</w:t>
      </w:r>
    </w:p>
    <w:p w14:paraId="3DD3022A" w14:textId="77777777" w:rsidR="0009007A" w:rsidRDefault="00000000">
      <w:pPr>
        <w:pStyle w:val="FootnoteText"/>
        <w:numPr>
          <w:ilvl w:val="2"/>
          <w:numId w:val="13"/>
        </w:numPr>
      </w:pPr>
      <w:r>
        <w:rPr>
          <w:rtl/>
          <w:lang w:bidi="he-IL"/>
        </w:rPr>
        <w:t>לא מרבה טורח:</w:t>
      </w:r>
    </w:p>
    <w:p w14:paraId="6306DEA5" w14:textId="77777777" w:rsidR="0009007A" w:rsidRDefault="00000000">
      <w:pPr>
        <w:pStyle w:val="FootnoteText"/>
        <w:numPr>
          <w:ilvl w:val="3"/>
          <w:numId w:val="13"/>
        </w:numPr>
      </w:pPr>
      <w:r>
        <w:rPr>
          <w:rtl/>
          <w:lang w:bidi="he-IL"/>
        </w:rPr>
        <w:t>בית שמאי- אסור.</w:t>
      </w:r>
    </w:p>
    <w:p w14:paraId="19985488" w14:textId="77777777" w:rsidR="0009007A" w:rsidRDefault="00000000">
      <w:pPr>
        <w:pStyle w:val="FootnoteText"/>
        <w:numPr>
          <w:ilvl w:val="3"/>
          <w:numId w:val="13"/>
        </w:numPr>
      </w:pPr>
      <w:r>
        <w:rPr>
          <w:rtl/>
          <w:lang w:bidi="he-IL"/>
        </w:rPr>
        <w:t>בית הלל- מותר.</w:t>
      </w:r>
    </w:p>
    <w:p w14:paraId="03EFB12A" w14:textId="77777777" w:rsidR="0009007A" w:rsidRDefault="00000000">
      <w:pPr>
        <w:pStyle w:val="FootnoteText"/>
        <w:numPr>
          <w:ilvl w:val="0"/>
          <w:numId w:val="13"/>
        </w:numPr>
      </w:pPr>
      <w:r>
        <w:rPr>
          <w:rtl/>
          <w:lang w:bidi="he-IL"/>
        </w:rPr>
        <w:t>לברור בכלי:</w:t>
      </w:r>
    </w:p>
    <w:p w14:paraId="1D6C3DE0" w14:textId="77777777" w:rsidR="0009007A" w:rsidRDefault="00000000">
      <w:pPr>
        <w:pStyle w:val="FootnoteText"/>
        <w:numPr>
          <w:ilvl w:val="1"/>
          <w:numId w:val="13"/>
        </w:numPr>
      </w:pPr>
      <w:r>
        <w:rPr>
          <w:rtl/>
          <w:lang w:bidi="he-IL"/>
        </w:rPr>
        <w:t>כלי העשוי לכך- אסור.</w:t>
      </w:r>
    </w:p>
    <w:p w14:paraId="5C8E74E5" w14:textId="77777777" w:rsidR="0009007A" w:rsidRDefault="00000000">
      <w:pPr>
        <w:pStyle w:val="FootnoteText"/>
        <w:numPr>
          <w:ilvl w:val="1"/>
          <w:numId w:val="13"/>
        </w:numPr>
      </w:pPr>
      <w:r>
        <w:rPr>
          <w:rtl/>
          <w:lang w:bidi="he-IL"/>
        </w:rPr>
        <w:t xml:space="preserve">כלי שלא עשוי לכך- </w:t>
      </w:r>
    </w:p>
    <w:p w14:paraId="602749B5" w14:textId="77777777" w:rsidR="0009007A" w:rsidRDefault="00000000">
      <w:pPr>
        <w:pStyle w:val="FootnoteText"/>
        <w:numPr>
          <w:ilvl w:val="2"/>
          <w:numId w:val="13"/>
        </w:numPr>
      </w:pPr>
      <w:r>
        <w:rPr>
          <w:rtl/>
          <w:lang w:bidi="he-IL"/>
        </w:rPr>
        <w:t>רבן גמליאל- מותר.</w:t>
      </w:r>
    </w:p>
    <w:p w14:paraId="5E43A0C2" w14:textId="77777777" w:rsidR="0009007A" w:rsidRDefault="00000000">
      <w:pPr>
        <w:pStyle w:val="FootnoteText"/>
        <w:numPr>
          <w:ilvl w:val="2"/>
          <w:numId w:val="13"/>
        </w:numPr>
      </w:pPr>
      <w:r>
        <w:rPr>
          <w:rtl/>
          <w:lang w:bidi="he-IL"/>
        </w:rPr>
        <w:t>חולקים (לא פשוט אם ב"ה וב"ש חול' או ת"ק ור"ג חול' מה סוברים ב"ה וב"ש)- אסור.</w:t>
      </w:r>
    </w:p>
  </w:footnote>
  <w:footnote w:id="100">
    <w:p w14:paraId="637B23EB"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ט:</w:t>
      </w:r>
    </w:p>
  </w:footnote>
  <w:footnote w:id="101">
    <w:p w14:paraId="061DC85D"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3F9C5108" w14:textId="77777777" w:rsidR="0009007A" w:rsidRDefault="00000000">
      <w:pPr>
        <w:pStyle w:val="FootnoteText"/>
        <w:ind w:firstLine="0"/>
      </w:pPr>
      <w:r>
        <w:rPr>
          <w:rtl/>
          <w:lang w:bidi="he-IL"/>
        </w:rPr>
        <w:t>יש דברים שאסורים לעשות ביום טוב אף שאין בהם שום דמיון למלאכה. אלא, הם דומים לדברים הנהוגים בחול, ולכן אסור לעשות אותם ליו"ט. (כמובן, צריכים להגדיר כל זה.) בתוך כלל זה הוא שילוח מתנות, ואז אסור לשלוח מתנות לחבירו בי"ט. אבל, אם יש צורך לי"ט בהם, מותר. במשנה, חולקים אם צ"ל שמסתבר שיהיה צורך או שאפשר שיהיה צורך.</w:t>
      </w:r>
    </w:p>
  </w:footnote>
  <w:footnote w:id="102">
    <w:p w14:paraId="6ADD710D" w14:textId="77777777" w:rsidR="0009007A" w:rsidRDefault="00000000">
      <w:pPr>
        <w:pStyle w:val="FootnoteText"/>
      </w:pPr>
      <w:r>
        <w:rPr>
          <w:rStyle w:val="FootnoteCharacters"/>
        </w:rPr>
        <w:footnoteRef/>
      </w:r>
      <w:r>
        <w:rPr>
          <w:rtl/>
          <w:lang w:bidi="he-IL"/>
        </w:rPr>
        <w:tab/>
        <w:t xml:space="preserve"> הוא דבר המוכן שלא מניחים עד יום שלאחריו. למשל, אם שולח לו חתיכה של דג, יבשל אותו ויאכל אותו היום.</w:t>
      </w:r>
    </w:p>
  </w:footnote>
  <w:footnote w:id="103">
    <w:p w14:paraId="4C46F50F" w14:textId="77777777" w:rsidR="0009007A" w:rsidRDefault="00000000">
      <w:pPr>
        <w:pStyle w:val="FootnoteText"/>
        <w:rPr>
          <w:b/>
          <w:bCs/>
          <w:u w:val="single"/>
        </w:rPr>
      </w:pPr>
      <w:r>
        <w:rPr>
          <w:rStyle w:val="FootnoteCharacters"/>
        </w:rPr>
        <w:footnoteRef/>
      </w:r>
      <w:r>
        <w:rPr>
          <w:rtl/>
          <w:lang w:bidi="he-IL"/>
        </w:rPr>
        <w:tab/>
        <w:t xml:space="preserve"> גמ' מוסיף שאם שולחים ביד שלשה בני אדם (דן גמ' אם צ"ל שכולם עם מתנה זו או מספיק שכולם שם, אף אם לכל אחד יש מתנה אחרת), אף בית הלל מודה שאסור הוא. </w:t>
      </w:r>
      <w:r>
        <w:rPr>
          <w:b/>
          <w:bCs/>
          <w:u w:val="single"/>
          <w:rtl/>
          <w:lang w:bidi="he-IL"/>
        </w:rPr>
        <w:t>(יד:)</w:t>
      </w:r>
    </w:p>
  </w:footnote>
  <w:footnote w:id="104">
    <w:p w14:paraId="59342BAC" w14:textId="77777777" w:rsidR="0009007A" w:rsidRDefault="00000000">
      <w:pPr>
        <w:pStyle w:val="FootnoteText"/>
      </w:pPr>
      <w:r>
        <w:rPr>
          <w:rStyle w:val="FootnoteCharacters"/>
        </w:rPr>
        <w:footnoteRef/>
      </w:r>
      <w:r>
        <w:rPr>
          <w:rtl/>
          <w:lang w:bidi="he-IL"/>
        </w:rPr>
        <w:tab/>
        <w:t xml:space="preserve"> לכאו', גם שולחים דגים.</w:t>
      </w:r>
    </w:p>
  </w:footnote>
  <w:footnote w:id="105">
    <w:p w14:paraId="417C3C8D" w14:textId="77777777" w:rsidR="0009007A" w:rsidRDefault="00000000">
      <w:pPr>
        <w:pStyle w:val="FootnoteText"/>
      </w:pPr>
      <w:r>
        <w:rPr>
          <w:rStyle w:val="FootnoteCharacters"/>
        </w:rPr>
        <w:footnoteRef/>
      </w:r>
      <w:r>
        <w:rPr>
          <w:rtl/>
          <w:lang w:bidi="he-IL"/>
        </w:rPr>
        <w:tab/>
        <w:t xml:space="preserve"> שיכול לשחוט אותו ולבשל אותו ולאכול אותו בי"ט.</w:t>
      </w:r>
    </w:p>
  </w:footnote>
  <w:footnote w:id="106">
    <w:p w14:paraId="562BC99C" w14:textId="77777777" w:rsidR="0009007A" w:rsidRDefault="00000000">
      <w:pPr>
        <w:pStyle w:val="FootnoteText"/>
      </w:pPr>
      <w:r>
        <w:rPr>
          <w:rStyle w:val="FootnoteCharacters"/>
        </w:rPr>
        <w:footnoteRef/>
      </w:r>
      <w:r>
        <w:rPr>
          <w:rtl/>
          <w:lang w:bidi="he-IL"/>
        </w:rPr>
        <w:tab/>
        <w:t xml:space="preserve"> יש לדון אם אף זה בתוך שיטת בית הלל או אף בית שמאי מודה לזה.</w:t>
      </w:r>
    </w:p>
  </w:footnote>
  <w:footnote w:id="107">
    <w:p w14:paraId="68E23E16" w14:textId="77777777" w:rsidR="0009007A" w:rsidRDefault="00000000">
      <w:pPr>
        <w:pStyle w:val="FootnoteText"/>
        <w:rPr>
          <w:b/>
          <w:bCs/>
        </w:rPr>
      </w:pPr>
      <w:r>
        <w:rPr>
          <w:rStyle w:val="FootnoteCharacters"/>
        </w:rPr>
        <w:footnoteRef/>
      </w:r>
      <w:r>
        <w:rPr>
          <w:rtl/>
          <w:lang w:bidi="he-IL"/>
        </w:rPr>
        <w:tab/>
        <w:t xml:space="preserve"> שבדרך כלל, אין משתמשים בתבואה בלי טחינה, וזה אסור בי"ט, שהיה לו למצוא חטים ולטחנם מערב י"ט. (רש"י </w:t>
      </w:r>
      <w:r>
        <w:rPr>
          <w:b/>
          <w:bCs/>
          <w:rtl/>
          <w:lang w:bidi="he-IL"/>
        </w:rPr>
        <w:t>יד</w:t>
      </w:r>
      <w:r>
        <w:rPr>
          <w:rFonts w:ascii="Segoe UI Emoji" w:eastAsia="Segoe UI Emoji" w:hAnsi="Segoe UI Emoji" w:cs="Segoe UI Emoji"/>
          <w:rtl/>
          <w:lang w:bidi="he-IL"/>
        </w:rPr>
        <w:t>:</w:t>
      </w:r>
      <w:r>
        <w:rPr>
          <w:rFonts w:ascii="Segoe UI Emoji" w:eastAsia="Segoe UI Emoji" w:hAnsi="Segoe UI Emoji" w:cs="Segoe UI Emoji"/>
          <w:b/>
          <w:bCs/>
          <w:rtl/>
          <w:lang w:bidi="he-IL"/>
        </w:rPr>
        <w:t>)</w:t>
      </w:r>
    </w:p>
  </w:footnote>
  <w:footnote w:id="108">
    <w:p w14:paraId="4A74B8B8" w14:textId="77777777" w:rsidR="0009007A" w:rsidRDefault="00000000">
      <w:pPr>
        <w:pStyle w:val="FootnoteText"/>
      </w:pPr>
      <w:r>
        <w:rPr>
          <w:rStyle w:val="FootnoteCharacters"/>
        </w:rPr>
        <w:footnoteRef/>
      </w:r>
      <w:r>
        <w:rPr>
          <w:rtl/>
          <w:lang w:bidi="he-IL"/>
        </w:rPr>
        <w:tab/>
        <w:t xml:space="preserve"> שיש אופנים שיוכל להנות מהם בלי טחינה. </w:t>
      </w:r>
      <w:r>
        <w:rPr>
          <w:b/>
          <w:bCs/>
          <w:u w:val="single"/>
          <w:rtl/>
          <w:lang w:bidi="he-IL"/>
        </w:rPr>
        <w:t>(יד:)</w:t>
      </w:r>
    </w:p>
  </w:footnote>
  <w:footnote w:id="109">
    <w:p w14:paraId="7ADF45CE"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6285DD4E" w14:textId="77777777" w:rsidR="0009007A" w:rsidRDefault="00000000">
      <w:pPr>
        <w:pStyle w:val="FootnoteText"/>
        <w:numPr>
          <w:ilvl w:val="0"/>
          <w:numId w:val="14"/>
        </w:numPr>
        <w:rPr>
          <w:b/>
          <w:bCs/>
        </w:rPr>
      </w:pPr>
      <w:r>
        <w:rPr>
          <w:rtl/>
          <w:lang w:bidi="he-IL"/>
        </w:rPr>
        <w:t>מה משלחים בי"ט:</w:t>
      </w:r>
    </w:p>
    <w:p w14:paraId="4487E1B6" w14:textId="77777777" w:rsidR="0009007A" w:rsidRDefault="00000000">
      <w:pPr>
        <w:pStyle w:val="FootnoteText"/>
        <w:numPr>
          <w:ilvl w:val="1"/>
          <w:numId w:val="14"/>
        </w:numPr>
        <w:rPr>
          <w:b/>
          <w:bCs/>
        </w:rPr>
      </w:pPr>
      <w:r>
        <w:rPr>
          <w:rtl/>
          <w:lang w:bidi="he-IL"/>
        </w:rPr>
        <w:t>דבר שעשוי להשתמש בו בי"ט- מותר.</w:t>
      </w:r>
    </w:p>
    <w:p w14:paraId="2BEADDEF" w14:textId="77777777" w:rsidR="0009007A" w:rsidRDefault="00000000">
      <w:pPr>
        <w:pStyle w:val="FootnoteText"/>
        <w:numPr>
          <w:ilvl w:val="1"/>
          <w:numId w:val="14"/>
        </w:numPr>
        <w:rPr>
          <w:b/>
          <w:bCs/>
        </w:rPr>
      </w:pPr>
      <w:r>
        <w:rPr>
          <w:rtl/>
          <w:lang w:bidi="he-IL"/>
        </w:rPr>
        <w:t>דבר שאינו עשוי להשתמש בו בי"ט-</w:t>
      </w:r>
    </w:p>
    <w:p w14:paraId="6C50D2FE" w14:textId="77777777" w:rsidR="0009007A" w:rsidRDefault="00000000">
      <w:pPr>
        <w:pStyle w:val="FootnoteText"/>
        <w:numPr>
          <w:ilvl w:val="2"/>
          <w:numId w:val="14"/>
        </w:numPr>
        <w:rPr>
          <w:b/>
          <w:bCs/>
        </w:rPr>
      </w:pPr>
      <w:r>
        <w:rPr>
          <w:rtl/>
          <w:lang w:bidi="he-IL"/>
        </w:rPr>
        <w:t>בית שמאי- אסור.</w:t>
      </w:r>
    </w:p>
    <w:p w14:paraId="73BB4AD0" w14:textId="77777777" w:rsidR="0009007A" w:rsidRDefault="00000000">
      <w:pPr>
        <w:pStyle w:val="FootnoteText"/>
        <w:numPr>
          <w:ilvl w:val="2"/>
          <w:numId w:val="14"/>
        </w:numPr>
        <w:rPr>
          <w:b/>
          <w:bCs/>
        </w:rPr>
      </w:pPr>
      <w:r>
        <w:rPr>
          <w:rtl/>
          <w:lang w:bidi="he-IL"/>
        </w:rPr>
        <w:t xml:space="preserve">בית הלל- </w:t>
      </w:r>
    </w:p>
    <w:p w14:paraId="7332072B" w14:textId="77777777" w:rsidR="0009007A" w:rsidRDefault="00000000">
      <w:pPr>
        <w:pStyle w:val="FootnoteText"/>
        <w:numPr>
          <w:ilvl w:val="3"/>
          <w:numId w:val="14"/>
        </w:numPr>
        <w:rPr>
          <w:b/>
          <w:bCs/>
        </w:rPr>
      </w:pPr>
      <w:r>
        <w:rPr>
          <w:rtl/>
          <w:lang w:bidi="he-IL"/>
        </w:rPr>
        <w:t>דבר שיכול לשמש בו בי"ט- מותר. (חולקים בתוך דברי ב"ה אם מותר אם מסתבר שלא ישמש בו, כמו תבואה.) (אבל, אם מוליך עם שלש בנ"א, מותר.)</w:t>
      </w:r>
    </w:p>
    <w:p w14:paraId="6149F554" w14:textId="77777777" w:rsidR="0009007A" w:rsidRDefault="00000000">
      <w:pPr>
        <w:pStyle w:val="FootnoteText"/>
        <w:numPr>
          <w:ilvl w:val="3"/>
          <w:numId w:val="14"/>
        </w:numPr>
        <w:rPr>
          <w:b/>
          <w:bCs/>
        </w:rPr>
      </w:pPr>
      <w:r>
        <w:rPr>
          <w:rtl/>
          <w:lang w:bidi="he-IL"/>
        </w:rPr>
        <w:t>דבר שלא יכול לשמש בו בי"ט- אסור.</w:t>
      </w:r>
    </w:p>
  </w:footnote>
  <w:footnote w:id="110">
    <w:p w14:paraId="6D558954"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י:</w:t>
      </w:r>
    </w:p>
  </w:footnote>
  <w:footnote w:id="111">
    <w:p w14:paraId="0582585A" w14:textId="77777777" w:rsidR="0009007A" w:rsidRDefault="00000000">
      <w:pPr>
        <w:pStyle w:val="FootnoteText"/>
      </w:pPr>
      <w:r>
        <w:rPr>
          <w:rStyle w:val="FootnoteCharacters"/>
        </w:rPr>
        <w:footnoteRef/>
      </w:r>
      <w:r>
        <w:rPr>
          <w:rtl/>
          <w:lang w:bidi="he-IL"/>
        </w:rPr>
        <w:tab/>
        <w:t xml:space="preserve"> משנה זה ממשיך ממשנה שלפניו, ומונה דברים שיכול לשלוח בי"ט. (נראה שהמשנה הוא רק לפי ב"ה, שהרבה מדברים אלו אינם עשויים להיות מהנים בי"ט.)</w:t>
      </w:r>
    </w:p>
  </w:footnote>
  <w:footnote w:id="112">
    <w:p w14:paraId="7484197B" w14:textId="77777777" w:rsidR="0009007A" w:rsidRDefault="00000000">
      <w:pPr>
        <w:pStyle w:val="FootnoteText"/>
      </w:pPr>
      <w:r>
        <w:rPr>
          <w:rStyle w:val="FootnoteCharacters"/>
        </w:rPr>
        <w:footnoteRef/>
      </w:r>
      <w:r>
        <w:rPr>
          <w:rtl/>
          <w:lang w:bidi="he-IL"/>
        </w:rPr>
        <w:tab/>
        <w:t xml:space="preserve"> רצה לומר, בגדים. (רש"י </w:t>
      </w:r>
      <w:r>
        <w:rPr>
          <w:b/>
          <w:bCs/>
          <w:rtl/>
          <w:lang w:bidi="he-IL"/>
        </w:rPr>
        <w:t>יד:</w:t>
      </w:r>
      <w:r>
        <w:rPr>
          <w:rtl/>
          <w:lang w:bidi="he-IL"/>
        </w:rPr>
        <w:t>)</w:t>
      </w:r>
    </w:p>
  </w:footnote>
  <w:footnote w:id="113">
    <w:p w14:paraId="0AD28B02" w14:textId="77777777" w:rsidR="0009007A" w:rsidRDefault="00000000">
      <w:pPr>
        <w:pStyle w:val="FootnoteText"/>
      </w:pPr>
      <w:r>
        <w:rPr>
          <w:rStyle w:val="FootnoteCharacters"/>
        </w:rPr>
        <w:footnoteRef/>
      </w:r>
      <w:r>
        <w:rPr>
          <w:rtl/>
          <w:lang w:bidi="he-IL"/>
        </w:rPr>
        <w:tab/>
        <w:t xml:space="preserve"> שהם ראויים ללבוש.</w:t>
      </w:r>
    </w:p>
  </w:footnote>
  <w:footnote w:id="114">
    <w:p w14:paraId="4A2B8100" w14:textId="77777777" w:rsidR="0009007A" w:rsidRDefault="00000000">
      <w:pPr>
        <w:pStyle w:val="FootnoteText"/>
      </w:pPr>
      <w:r>
        <w:rPr>
          <w:rStyle w:val="FootnoteCharacters"/>
        </w:rPr>
        <w:footnoteRef/>
      </w:r>
      <w:r>
        <w:rPr>
          <w:rtl/>
          <w:lang w:bidi="he-IL"/>
        </w:rPr>
        <w:tab/>
        <w:t xml:space="preserve"> שראויים לכסות את עצמו בהם.</w:t>
      </w:r>
    </w:p>
  </w:footnote>
  <w:footnote w:id="115">
    <w:p w14:paraId="0200BC76" w14:textId="77777777" w:rsidR="0009007A" w:rsidRDefault="00000000">
      <w:pPr>
        <w:pStyle w:val="FootnoteText"/>
        <w:rPr>
          <w:lang w:bidi="he-IL"/>
        </w:rPr>
      </w:pPr>
      <w:r>
        <w:rPr>
          <w:rStyle w:val="FootnoteCharacters"/>
        </w:rPr>
        <w:footnoteRef/>
      </w:r>
      <w:r>
        <w:rPr>
          <w:rtl/>
          <w:lang w:bidi="he-IL"/>
        </w:rPr>
        <w:tab/>
        <w:t>גמ' מקשה מה יכול לעשות עם כלאים, שהרי אסור להנות מלבישה וכיסוי שלהם. נותן חמשה תירוצים, ודוחה שלשהה מהם:</w:t>
      </w:r>
    </w:p>
    <w:p w14:paraId="714ABE13" w14:textId="77777777" w:rsidR="0009007A" w:rsidRDefault="00000000">
      <w:pPr>
        <w:pStyle w:val="FootnoteText"/>
        <w:numPr>
          <w:ilvl w:val="0"/>
          <w:numId w:val="3"/>
        </w:numPr>
      </w:pPr>
      <w:r>
        <w:rPr>
          <w:rtl/>
          <w:lang w:bidi="he-IL"/>
        </w:rPr>
        <w:t>יכול לשבת עליהם. דוחה שכבר גזרו רבנן שאסור לשבת עליהם, שמא נימה מהם ישב עליהם ויהנה אותו.</w:t>
      </w:r>
    </w:p>
    <w:p w14:paraId="5B6ADC7C" w14:textId="77777777" w:rsidR="0009007A" w:rsidRDefault="00000000">
      <w:pPr>
        <w:pStyle w:val="FootnoteText"/>
        <w:numPr>
          <w:ilvl w:val="0"/>
          <w:numId w:val="3"/>
        </w:numPr>
      </w:pPr>
      <w:r>
        <w:rPr>
          <w:rtl/>
          <w:lang w:bidi="he-IL"/>
        </w:rPr>
        <w:t>יכול לשבת עליהם עם ד"א מפסיק (שא"א שיפול עליו נימה). דוהח שעדיין גזרו רבנן עליו (מס' הוא ל"פ).</w:t>
      </w:r>
    </w:p>
    <w:p w14:paraId="2D995C16" w14:textId="77777777" w:rsidR="0009007A" w:rsidRDefault="00000000">
      <w:pPr>
        <w:pStyle w:val="FootnoteText"/>
        <w:numPr>
          <w:ilvl w:val="0"/>
          <w:numId w:val="3"/>
        </w:numPr>
      </w:pPr>
      <w:r>
        <w:rPr>
          <w:rtl/>
          <w:lang w:bidi="he-IL"/>
        </w:rPr>
        <w:t>יכול לתלות אותו לוילון. דוחה שאסור שחוששים שהשמש יכרוך את עצמו בו וישהנה.</w:t>
      </w:r>
    </w:p>
    <w:p w14:paraId="6F6E8611" w14:textId="77777777" w:rsidR="0009007A" w:rsidRDefault="00000000">
      <w:pPr>
        <w:pStyle w:val="FootnoteText"/>
        <w:numPr>
          <w:ilvl w:val="0"/>
          <w:numId w:val="3"/>
        </w:numPr>
      </w:pPr>
      <w:r>
        <w:rPr>
          <w:rtl/>
          <w:lang w:bidi="he-IL"/>
        </w:rPr>
        <w:t>יכול לשבת על קשים, שכיון שלא מחממים, לא גזרו רבנן.</w:t>
      </w:r>
    </w:p>
    <w:p w14:paraId="7E1A1E5A" w14:textId="77777777" w:rsidR="0009007A" w:rsidRDefault="00000000">
      <w:pPr>
        <w:pStyle w:val="FootnoteText"/>
        <w:numPr>
          <w:ilvl w:val="0"/>
          <w:numId w:val="3"/>
        </w:numPr>
      </w:pPr>
      <w:r>
        <w:rPr>
          <w:rtl/>
          <w:lang w:bidi="he-IL"/>
        </w:rPr>
        <w:t xml:space="preserve">יכול להשתמש בו לכיס, שאין דרך חימום בו. (לא אומר גמ' לת' כן, אבל נ' שכן יוצא מן הגמ'.) </w:t>
      </w:r>
      <w:r>
        <w:rPr>
          <w:b/>
          <w:bCs/>
          <w:u w:val="single"/>
          <w:rtl/>
          <w:lang w:bidi="he-IL"/>
        </w:rPr>
        <w:t>(יד:, טו.)</w:t>
      </w:r>
    </w:p>
  </w:footnote>
  <w:footnote w:id="116">
    <w:p w14:paraId="4B0B5D5A" w14:textId="77777777" w:rsidR="0009007A" w:rsidRDefault="00000000">
      <w:pPr>
        <w:pStyle w:val="FootnoteText"/>
      </w:pPr>
      <w:r>
        <w:rPr>
          <w:rStyle w:val="FootnoteCharacters"/>
        </w:rPr>
        <w:footnoteRef/>
      </w:r>
      <w:r>
        <w:rPr>
          <w:rtl/>
          <w:lang w:bidi="he-IL"/>
        </w:rPr>
        <w:tab/>
        <w:t xml:space="preserve"> איני יודע אם מילים אלו צ"ל שמכוון שיהיו לצורך המועד (ומי צריך לכוון), או אומר שאלו הם, באמת, יכולים להיות לצורך המועד.</w:t>
      </w:r>
    </w:p>
  </w:footnote>
  <w:footnote w:id="117">
    <w:p w14:paraId="0E092CE0" w14:textId="77777777" w:rsidR="0009007A" w:rsidRDefault="00000000">
      <w:pPr>
        <w:pStyle w:val="FootnoteText"/>
        <w:rPr>
          <w:lang w:bidi="he-IL"/>
        </w:rPr>
      </w:pPr>
      <w:r>
        <w:rPr>
          <w:rStyle w:val="FootnoteCharacters"/>
        </w:rPr>
        <w:footnoteRef/>
      </w:r>
      <w:r>
        <w:rPr>
          <w:rtl/>
          <w:lang w:bidi="he-IL"/>
        </w:rPr>
        <w:tab/>
        <w:t xml:space="preserve"> אסור ללבוש סנדל המסומר מפני מעשה שקרה בשבת אחד שבו סנדל מסומר גרם מיתה, ואז גזרו שלא ללבוש אותו בשבת ויו"ט (שהוא דומה לשבת). </w:t>
      </w:r>
      <w:r>
        <w:rPr>
          <w:b/>
          <w:bCs/>
          <w:u w:val="single"/>
          <w:rtl/>
          <w:lang w:bidi="he-IL"/>
        </w:rPr>
        <w:t>(טו.)</w:t>
      </w:r>
      <w:r>
        <w:rPr>
          <w:rtl/>
          <w:lang w:bidi="he-IL"/>
        </w:rPr>
        <w:t xml:space="preserve"> גמ' בשבת (ס) באר שלש ביאורים מה היה המעשה:</w:t>
      </w:r>
    </w:p>
    <w:p w14:paraId="110B456D" w14:textId="77777777" w:rsidR="0009007A" w:rsidRDefault="00000000">
      <w:pPr>
        <w:pStyle w:val="FootnoteText"/>
        <w:ind w:firstLine="0"/>
        <w:rPr>
          <w:lang w:bidi="he-IL"/>
        </w:rPr>
      </w:pPr>
      <w:r>
        <w:rPr>
          <w:rtl/>
          <w:lang w:bidi="he-IL"/>
        </w:rPr>
        <w:t>שמואל- בזמן גזירת הגויים, בני ישראל הוצרכו לחבאות במערות. פעם, כשהיו נחבאים במערה, ואסרו כל שהיו שם מלצאת (כדי שלא יכיר הגויים שהיו שם), נהפך סנדל של אחד שנכנס, והיה נראה שיצא. חשבו שאויבים ראו אותם, ודחקו זא"ז לנוס, ומחמת זה נהרגו יותר משנהרגו על ידי  אויבים.</w:t>
      </w:r>
    </w:p>
    <w:p w14:paraId="787314FA" w14:textId="77777777" w:rsidR="0009007A" w:rsidRDefault="00000000">
      <w:pPr>
        <w:pStyle w:val="FootnoteText"/>
        <w:ind w:firstLine="0"/>
        <w:rPr>
          <w:lang w:bidi="he-IL"/>
        </w:rPr>
      </w:pPr>
      <w:r>
        <w:rPr>
          <w:rtl/>
          <w:lang w:bidi="he-IL"/>
        </w:rPr>
        <w:t>רבי אילעי בן אלעזר אומר שכשהיו במערה שמעו קול על המערה, וחשבו שבאו עליהם אויבים, וזה מה שגרם שדחקו זא"ז.</w:t>
      </w:r>
    </w:p>
    <w:p w14:paraId="71F8A55E" w14:textId="77777777" w:rsidR="0009007A" w:rsidRDefault="00000000">
      <w:pPr>
        <w:pStyle w:val="FootnoteText"/>
        <w:ind w:firstLine="0"/>
        <w:rPr>
          <w:lang w:bidi="he-IL"/>
        </w:rPr>
      </w:pPr>
      <w:r>
        <w:rPr>
          <w:rtl/>
          <w:lang w:bidi="he-IL"/>
        </w:rPr>
        <w:t>רמי בר יחזקאל אומר שהיו יושבים בבית הכנסת, ושמעו קול מאחוריו, וזה מה שגרם שדחקו זא"ז.</w:t>
      </w:r>
    </w:p>
    <w:p w14:paraId="6AECEC60" w14:textId="77777777" w:rsidR="0009007A" w:rsidRDefault="00000000">
      <w:pPr>
        <w:pStyle w:val="FootnoteText"/>
        <w:ind w:firstLine="0"/>
      </w:pPr>
      <w:r>
        <w:rPr>
          <w:rtl/>
          <w:lang w:bidi="he-IL"/>
        </w:rPr>
        <w:t>הרבה מתו כיון שהיו הדורסים לובשים סנדל המסומר. מחמת זה, גזרו שלא לנעול סנדל מסומר כל יום שיש בו כינוס של איסור מלאכה.</w:t>
      </w:r>
    </w:p>
  </w:footnote>
  <w:footnote w:id="118">
    <w:p w14:paraId="1E350800"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(טו.)</w:t>
      </w:r>
      <w:r>
        <w:rPr>
          <w:rtl/>
          <w:lang w:bidi="he-IL"/>
        </w:rPr>
        <w:t xml:space="preserve"> שאף שהוא קצת מחובר (רש"י מביא שני פי'- ע"י יתידות או ע"י שתי תפירות), אינם ראויים די עד שנחשבים ראויים להשתמש בהם בי"ט.</w:t>
      </w:r>
    </w:p>
  </w:footnote>
  <w:footnote w:id="119">
    <w:p w14:paraId="7380BBD8" w14:textId="77777777" w:rsidR="0009007A" w:rsidRDefault="00000000">
      <w:pPr>
        <w:pStyle w:val="FootnoteText"/>
      </w:pPr>
      <w:r>
        <w:rPr>
          <w:rStyle w:val="FootnoteCharacters"/>
        </w:rPr>
        <w:footnoteRef/>
      </w:r>
      <w:r>
        <w:rPr>
          <w:rtl/>
          <w:lang w:bidi="he-IL"/>
        </w:rPr>
        <w:tab/>
        <w:t xml:space="preserve"> במקום של רבי יהודה, כך היו עושים, שהיו משחירים כל מנעלים לבנים.</w:t>
      </w:r>
    </w:p>
  </w:footnote>
  <w:footnote w:id="120">
    <w:p w14:paraId="2CB33120" w14:textId="77777777" w:rsidR="0009007A" w:rsidRDefault="00000000">
      <w:pPr>
        <w:pStyle w:val="FootnoteText"/>
      </w:pPr>
      <w:r>
        <w:rPr>
          <w:rStyle w:val="FootnoteCharacters"/>
        </w:rPr>
        <w:footnoteRef/>
      </w:r>
      <w:r>
        <w:rPr>
          <w:rtl/>
          <w:lang w:bidi="he-IL"/>
        </w:rPr>
        <w:tab/>
        <w:t xml:space="preserve"> גמ' מפרש שרצה לומר שכל שנהנים ממנו כמו שהוא בחול, יכולים לשלוח אותו בי"ט. (צריך אתה לעיין בהוספות.^)</w:t>
      </w:r>
    </w:p>
  </w:footnote>
  <w:footnote w:id="121">
    <w:p w14:paraId="71706294"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7F82AC51" w14:textId="77777777" w:rsidR="0009007A" w:rsidRDefault="00000000">
      <w:pPr>
        <w:pStyle w:val="FootnoteText"/>
        <w:numPr>
          <w:ilvl w:val="0"/>
          <w:numId w:val="15"/>
        </w:numPr>
      </w:pPr>
      <w:r>
        <w:rPr>
          <w:rtl/>
          <w:lang w:bidi="he-IL"/>
        </w:rPr>
        <w:t xml:space="preserve">רק משלחים דברים שיכולים להנות מהם בי"ט. (עיין בהוספות, שכ' שנ' שמח' אמוראים אם הוא אם צ"ל דבר שראוי להנות ממנו עכשיו בחול או צ"ל דבר שראוי להנות ממנו בי"ט.) </w:t>
      </w:r>
    </w:p>
    <w:p w14:paraId="531996A3" w14:textId="77777777" w:rsidR="0009007A" w:rsidRDefault="00000000">
      <w:pPr>
        <w:pStyle w:val="FootnoteText"/>
        <w:numPr>
          <w:ilvl w:val="0"/>
          <w:numId w:val="15"/>
        </w:numPr>
      </w:pPr>
      <w:r>
        <w:rPr>
          <w:rtl/>
          <w:lang w:bidi="he-IL"/>
        </w:rPr>
        <w:t>יש מיני כלאים שמותרים בהנאה, כמו קשים או דבר שלא עשוי להנות לו.</w:t>
      </w:r>
    </w:p>
  </w:footnote>
  <w:footnote w:id="122">
    <w:p w14:paraId="17B4C4C2" w14:textId="77777777" w:rsidR="0009007A" w:rsidRDefault="00000000">
      <w:pPr>
        <w:pStyle w:val="FootnoteText"/>
        <w:jc w:val="center"/>
        <w:rPr>
          <w:b/>
          <w:bCs/>
          <w:u w:val="single"/>
        </w:rPr>
      </w:pPr>
      <w:r>
        <w:rPr>
          <w:rStyle w:val="FootnoteCharacters"/>
        </w:rPr>
        <w:footnoteRef/>
      </w:r>
      <w:r>
        <w:rPr>
          <w:b/>
          <w:bCs/>
          <w:u w:val="single"/>
          <w:rtl/>
          <w:lang w:bidi="he-IL"/>
        </w:rPr>
        <w:tab/>
        <w:t>פרק שני:</w:t>
      </w:r>
    </w:p>
  </w:footnote>
  <w:footnote w:id="123">
    <w:p w14:paraId="0CECFC47"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א:</w:t>
      </w:r>
    </w:p>
  </w:footnote>
  <w:footnote w:id="124">
    <w:p w14:paraId="7A96F34D"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0C00C411" w14:textId="77777777" w:rsidR="0009007A" w:rsidRDefault="00000000">
      <w:pPr>
        <w:pStyle w:val="FootnoteText"/>
        <w:rPr>
          <w:lang w:bidi="he-IL"/>
        </w:rPr>
      </w:pPr>
      <w:r>
        <w:rPr>
          <w:rtl/>
          <w:lang w:bidi="he-IL"/>
        </w:rPr>
        <w:tab/>
        <w:t xml:space="preserve">חכמים תיקנו עירוב תבשילין, ובו מדבר משנה. אף שמדאו', יכול לבשל מיו"ט לשבת (כמו שנבאר לקמן), מדרבנן, אסרו לבשל בלי עירוב תבשילים. </w:t>
      </w:r>
    </w:p>
    <w:p w14:paraId="146E73A8" w14:textId="77777777" w:rsidR="0009007A" w:rsidRDefault="0009007A">
      <w:pPr>
        <w:pStyle w:val="FootnoteText"/>
        <w:ind w:firstLine="0"/>
        <w:rPr>
          <w:lang w:bidi="he-IL"/>
        </w:rPr>
      </w:pPr>
    </w:p>
    <w:p w14:paraId="6C579F56" w14:textId="77777777" w:rsidR="0009007A" w:rsidRDefault="00000000">
      <w:pPr>
        <w:pStyle w:val="FootnoteText"/>
        <w:ind w:firstLine="0"/>
        <w:rPr>
          <w:b/>
          <w:bCs/>
          <w:lang w:bidi="he-IL"/>
        </w:rPr>
      </w:pPr>
      <w:r>
        <w:rPr>
          <w:b/>
          <w:bCs/>
          <w:rtl/>
          <w:lang w:bidi="he-IL"/>
        </w:rPr>
        <w:t>טעם של עירוב תבשילין:</w:t>
      </w:r>
    </w:p>
    <w:p w14:paraId="7888A5FE" w14:textId="77777777" w:rsidR="0009007A" w:rsidRDefault="00000000">
      <w:pPr>
        <w:pStyle w:val="FootnoteText"/>
        <w:ind w:firstLine="0"/>
        <w:rPr>
          <w:lang w:bidi="he-IL"/>
        </w:rPr>
      </w:pPr>
      <w:r>
        <w:rPr>
          <w:rtl/>
          <w:lang w:bidi="he-IL"/>
        </w:rPr>
        <w:t xml:space="preserve">גמ' </w:t>
      </w:r>
      <w:r>
        <w:rPr>
          <w:b/>
          <w:bCs/>
          <w:u w:val="single"/>
          <w:rtl/>
          <w:lang w:bidi="he-IL"/>
        </w:rPr>
        <w:t>(טו</w:t>
      </w:r>
      <w:r>
        <w:rPr>
          <w:rFonts w:ascii="Segoe UI Emoji" w:eastAsia="Segoe UI Emoji" w:hAnsi="Segoe UI Emoji" w:cs="Segoe UI Emoji"/>
          <w:b/>
          <w:bCs/>
          <w:u w:val="single"/>
          <w:rtl/>
          <w:lang w:bidi="he-IL"/>
        </w:rPr>
        <w:t>:)</w:t>
      </w:r>
      <w:r>
        <w:rPr>
          <w:rFonts w:ascii="Segoe UI Emoji" w:eastAsia="Segoe UI Emoji" w:hAnsi="Segoe UI Emoji" w:cs="Segoe UI Emoji"/>
          <w:rtl/>
          <w:lang w:bidi="he-IL"/>
        </w:rPr>
        <w:t xml:space="preserve"> </w:t>
      </w:r>
      <w:r>
        <w:rPr>
          <w:rtl/>
          <w:lang w:bidi="he-IL"/>
        </w:rPr>
        <w:t>נותן שני טעמים לזה:</w:t>
      </w:r>
    </w:p>
    <w:p w14:paraId="2D54F5F0" w14:textId="77777777" w:rsidR="0009007A" w:rsidRDefault="00000000">
      <w:pPr>
        <w:pStyle w:val="FootnoteText"/>
        <w:numPr>
          <w:ilvl w:val="0"/>
          <w:numId w:val="16"/>
        </w:numPr>
      </w:pPr>
      <w:r>
        <w:rPr>
          <w:rtl/>
          <w:lang w:bidi="he-IL"/>
        </w:rPr>
        <w:t>רבא אומר שהוא כדי שבי"ט יזכור ששבת מגיע, וישאיר מנה יפה לשבת.</w:t>
      </w:r>
    </w:p>
    <w:p w14:paraId="2F6BCAFC" w14:textId="77777777" w:rsidR="0009007A" w:rsidRDefault="00000000">
      <w:pPr>
        <w:pStyle w:val="FootnoteText"/>
        <w:numPr>
          <w:ilvl w:val="0"/>
          <w:numId w:val="16"/>
        </w:numPr>
      </w:pPr>
      <w:r>
        <w:rPr>
          <w:rtl/>
          <w:lang w:bidi="he-IL"/>
        </w:rPr>
        <w:t>רב אשי אומר שהוא כדי שיזכור שלא קל לבשל מיו"ט לשבת, ויבין שאסור לבשל מי"ט לחול.</w:t>
      </w:r>
    </w:p>
    <w:p w14:paraId="5556F45F" w14:textId="77777777" w:rsidR="0009007A" w:rsidRDefault="0009007A">
      <w:pPr>
        <w:pStyle w:val="FootnoteText"/>
        <w:rPr>
          <w:lang w:bidi="he-IL"/>
        </w:rPr>
      </w:pPr>
    </w:p>
    <w:p w14:paraId="03E9BDA7" w14:textId="77777777" w:rsidR="0009007A" w:rsidRDefault="00000000">
      <w:pPr>
        <w:pStyle w:val="FootnoteText"/>
        <w:ind w:left="700"/>
        <w:rPr>
          <w:rFonts w:ascii="Narkisim" w:hAnsi="Narkisim"/>
          <w:b/>
          <w:bCs/>
          <w:lang w:bidi="he-IL"/>
        </w:rPr>
      </w:pPr>
      <w:r>
        <w:rPr>
          <w:b/>
          <w:bCs/>
          <w:rtl/>
          <w:lang w:bidi="he-IL"/>
        </w:rPr>
        <w:t>מקור</w:t>
      </w:r>
      <w:r>
        <w:rPr>
          <w:rFonts w:ascii="Narkisim" w:hAnsi="Narkisim"/>
          <w:b/>
          <w:bCs/>
          <w:rtl/>
          <w:lang w:bidi="he-IL"/>
        </w:rPr>
        <w:t xml:space="preserve"> של עירוב תבשילין:</w:t>
      </w:r>
    </w:p>
    <w:p w14:paraId="391D5AAD" w14:textId="77777777" w:rsidR="0009007A" w:rsidRDefault="00000000">
      <w:pPr>
        <w:pStyle w:val="FootnoteText"/>
        <w:ind w:left="700"/>
        <w:rPr>
          <w:rFonts w:ascii="Narkisim" w:hAnsi="Narkisim"/>
          <w:lang w:bidi="he-IL"/>
        </w:rPr>
      </w:pPr>
      <w:r>
        <w:rPr>
          <w:rFonts w:ascii="Narkisim" w:hAnsi="Narkisim"/>
          <w:rtl/>
          <w:lang w:bidi="he-IL"/>
        </w:rPr>
        <w:t xml:space="preserve">אף שדין עירוב תבשילין הוא דרבנן, גמ' </w:t>
      </w:r>
      <w:r>
        <w:rPr>
          <w:rFonts w:ascii="Narkisim" w:hAnsi="Narkisim"/>
          <w:b/>
          <w:bCs/>
          <w:u w:val="single"/>
          <w:rtl/>
          <w:lang w:bidi="he-IL"/>
        </w:rPr>
        <w:t>(טו:)</w:t>
      </w:r>
      <w:r>
        <w:rPr>
          <w:rFonts w:ascii="Narkisim" w:hAnsi="Narkisim"/>
          <w:rtl/>
          <w:lang w:bidi="he-IL"/>
        </w:rPr>
        <w:t xml:space="preserve"> מביא שני אסמכות לו:</w:t>
      </w:r>
    </w:p>
    <w:p w14:paraId="362C82BA" w14:textId="77777777" w:rsidR="0009007A" w:rsidRDefault="00000000">
      <w:pPr>
        <w:pStyle w:val="FootnoteText"/>
        <w:numPr>
          <w:ilvl w:val="0"/>
          <w:numId w:val="18"/>
        </w:numPr>
        <w:rPr>
          <w:rFonts w:ascii="Narkisim" w:hAnsi="Narkisim"/>
        </w:rPr>
      </w:pPr>
      <w:r>
        <w:rPr>
          <w:rFonts w:ascii="Narkisim" w:hAnsi="Narkisim"/>
          <w:rtl/>
          <w:lang w:bidi="he-IL"/>
        </w:rPr>
        <w:t>כ', "זכור את יום השבת." קרא זה מגיד לנו שיש חשש שישכח שבת, ולכן צריך עירוב תבשילין. (לכאו', זה רק אפשר לפי טעם של רבא.)</w:t>
      </w:r>
    </w:p>
    <w:p w14:paraId="649FF847" w14:textId="77777777" w:rsidR="0009007A" w:rsidRDefault="00000000">
      <w:pPr>
        <w:pStyle w:val="FootnoteText"/>
        <w:numPr>
          <w:ilvl w:val="0"/>
          <w:numId w:val="18"/>
        </w:numPr>
        <w:rPr>
          <w:rFonts w:ascii="Narkisim" w:hAnsi="Narkisim"/>
        </w:rPr>
      </w:pPr>
      <w:r>
        <w:rPr>
          <w:rFonts w:ascii="Narkisim" w:hAnsi="Narkisim"/>
          <w:rtl/>
          <w:lang w:bidi="he-IL"/>
        </w:rPr>
        <w:t>כ', "את אשר תאפו אפו...." נראה שדורשים שכל מי שרוצה לאפות, צריך שכבר התחיל לאפות.</w:t>
      </w:r>
    </w:p>
    <w:p w14:paraId="6804AC68" w14:textId="77777777" w:rsidR="0009007A" w:rsidRDefault="0009007A">
      <w:pPr>
        <w:pStyle w:val="FootnoteText"/>
        <w:ind w:left="700"/>
        <w:rPr>
          <w:rFonts w:ascii="Narkisim" w:hAnsi="Narkisim"/>
          <w:lang w:bidi="he-IL"/>
        </w:rPr>
      </w:pPr>
    </w:p>
    <w:p w14:paraId="16571236" w14:textId="77777777" w:rsidR="0009007A" w:rsidRDefault="00000000">
      <w:pPr>
        <w:pStyle w:val="FootnoteText"/>
        <w:ind w:left="700"/>
        <w:rPr>
          <w:rFonts w:ascii="Narkisim" w:hAnsi="Narkisim"/>
          <w:b/>
          <w:bCs/>
          <w:lang w:bidi="he-IL"/>
        </w:rPr>
      </w:pPr>
      <w:r>
        <w:rPr>
          <w:rFonts w:ascii="Narkisim" w:hAnsi="Narkisim"/>
          <w:b/>
          <w:bCs/>
          <w:rtl/>
          <w:lang w:bidi="he-IL"/>
        </w:rPr>
        <w:t>איך מהני עירוב תבשילין:</w:t>
      </w:r>
    </w:p>
    <w:p w14:paraId="256261D5" w14:textId="77777777" w:rsidR="0009007A" w:rsidRDefault="00000000">
      <w:pPr>
        <w:pStyle w:val="FootnoteText"/>
        <w:ind w:left="360" w:firstLine="0"/>
        <w:rPr>
          <w:rFonts w:ascii="Narkisim" w:eastAsia="Segoe UI Emoji" w:hAnsi="Narkisim"/>
          <w:lang w:bidi="he-IL"/>
        </w:rPr>
      </w:pPr>
      <w:r>
        <w:rPr>
          <w:rFonts w:ascii="Narkisim" w:hAnsi="Narkisim"/>
          <w:rtl/>
          <w:lang w:bidi="he-IL"/>
        </w:rPr>
        <w:t>הרי, פסוק אומר שלא לעשות מלאכה ביו"ט חוץ ממלאכת אוכל נפש של יו"ט. אז, צריך לפרש איך מותר לאפות מדאו', עד שעירוב תבשילין יתיר אותו, כיון שלא מבשל לי"ט. חולקים אמוראים בזה בפסחים (מו</w:t>
      </w:r>
      <w:r>
        <w:rPr>
          <w:rFonts w:ascii="Narkisim" w:eastAsia="Segoe UI Emoji" w:hAnsi="Narkisim"/>
          <w:rtl/>
          <w:lang w:bidi="he-IL"/>
        </w:rPr>
        <w:t>:), ויש שתי תשובות:</w:t>
      </w:r>
    </w:p>
    <w:p w14:paraId="4A4FF568" w14:textId="77777777" w:rsidR="0009007A" w:rsidRDefault="00000000">
      <w:pPr>
        <w:pStyle w:val="FootnoteText"/>
        <w:numPr>
          <w:ilvl w:val="0"/>
          <w:numId w:val="17"/>
        </w:numPr>
        <w:rPr>
          <w:rFonts w:ascii="Narkisim" w:hAnsi="Narkisim"/>
        </w:rPr>
      </w:pPr>
      <w:r>
        <w:rPr>
          <w:rFonts w:ascii="Narkisim" w:hAnsi="Narkisim"/>
          <w:rtl/>
          <w:lang w:bidi="he-IL"/>
        </w:rPr>
        <w:t>לא נכון הוא שאין זה בכלל אוכל נפש. אלא, הואיל ואם היה בא אורח בי"ט, היה מאכיל לו, נחשב שמבשל לאוכל נפש.</w:t>
      </w:r>
    </w:p>
    <w:p w14:paraId="78866621" w14:textId="77777777" w:rsidR="0009007A" w:rsidRDefault="00000000">
      <w:pPr>
        <w:pStyle w:val="FootnoteText"/>
        <w:numPr>
          <w:ilvl w:val="0"/>
          <w:numId w:val="17"/>
        </w:numPr>
        <w:rPr>
          <w:rFonts w:ascii="Narkisim" w:hAnsi="Narkisim"/>
        </w:rPr>
      </w:pPr>
      <w:r>
        <w:rPr>
          <w:rFonts w:ascii="Narkisim" w:hAnsi="Narkisim"/>
          <w:rtl/>
          <w:lang w:bidi="he-IL"/>
        </w:rPr>
        <w:t>רק אסור לבשל בי"ט לצורך חול. אבל, מותר לבשל לצורך שבת, כמו שמותר לבשל לצורך אותו יום טוב.</w:t>
      </w:r>
    </w:p>
    <w:p w14:paraId="5708E78A" w14:textId="77777777" w:rsidR="0009007A" w:rsidRDefault="0009007A">
      <w:pPr>
        <w:pStyle w:val="FootnoteText"/>
        <w:rPr>
          <w:rFonts w:ascii="Narkisim" w:hAnsi="Narkisim"/>
          <w:lang w:bidi="he-IL"/>
        </w:rPr>
      </w:pPr>
    </w:p>
    <w:p w14:paraId="0BA7742D" w14:textId="77777777" w:rsidR="0009007A" w:rsidRDefault="00000000">
      <w:pPr>
        <w:pStyle w:val="FootnoteText"/>
        <w:ind w:left="700"/>
        <w:rPr>
          <w:rFonts w:ascii="Narkisim" w:hAnsi="Narkisim"/>
          <w:b/>
          <w:bCs/>
          <w:lang w:bidi="he-IL"/>
        </w:rPr>
      </w:pPr>
      <w:r>
        <w:rPr>
          <w:rFonts w:ascii="Narkisim" w:hAnsi="Narkisim"/>
          <w:b/>
          <w:bCs/>
          <w:rtl/>
          <w:lang w:bidi="he-IL"/>
        </w:rPr>
        <w:t>מהו עירוב תבשילין:</w:t>
      </w:r>
    </w:p>
    <w:p w14:paraId="32208A10" w14:textId="77777777" w:rsidR="0009007A" w:rsidRDefault="00000000">
      <w:pPr>
        <w:pStyle w:val="FootnoteText"/>
        <w:ind w:left="700"/>
        <w:rPr>
          <w:rFonts w:ascii="Narkisim" w:hAnsi="Narkisim"/>
          <w:lang w:bidi="he-IL"/>
        </w:rPr>
      </w:pPr>
      <w:r>
        <w:rPr>
          <w:rFonts w:ascii="Narkisim" w:hAnsi="Narkisim"/>
          <w:rtl/>
          <w:lang w:bidi="he-IL"/>
        </w:rPr>
        <w:t>לעשות עירוב תבשילין, צריך להיות שיש לו תבשילין בזמן שמבשל. (איני יודע אם צריך לעשות דבר ג"כ (כמו לדבר) או רק שיהיו לו) יש לדון בכמה דברים בתוך משפט זה:</w:t>
      </w:r>
    </w:p>
    <w:p w14:paraId="255D45A1" w14:textId="77777777" w:rsidR="0009007A" w:rsidRDefault="00000000">
      <w:pPr>
        <w:pStyle w:val="FootnoteText"/>
        <w:ind w:left="700" w:firstLine="0"/>
        <w:rPr>
          <w:rFonts w:ascii="Narkisim" w:hAnsi="Narkisim"/>
          <w:lang w:bidi="he-IL"/>
        </w:rPr>
      </w:pPr>
      <w:r>
        <w:rPr>
          <w:rFonts w:ascii="Narkisim" w:hAnsi="Narkisim"/>
          <w:rtl/>
          <w:lang w:bidi="he-IL"/>
        </w:rPr>
        <w:t>למי צריך להיות התבשיל:</w:t>
      </w:r>
    </w:p>
    <w:p w14:paraId="064505B6" w14:textId="77777777" w:rsidR="0009007A" w:rsidRDefault="00000000">
      <w:pPr>
        <w:pStyle w:val="FootnoteText"/>
        <w:ind w:left="360" w:firstLine="0"/>
        <w:rPr>
          <w:rFonts w:ascii="Narkisim" w:hAnsi="Narkisim"/>
          <w:b/>
          <w:bCs/>
          <w:u w:val="single"/>
          <w:lang w:bidi="he-IL"/>
        </w:rPr>
      </w:pPr>
      <w:r>
        <w:rPr>
          <w:rFonts w:ascii="Narkisim" w:hAnsi="Narkisim"/>
          <w:rtl/>
          <w:lang w:bidi="he-IL"/>
        </w:rPr>
        <w:t xml:space="preserve">לא צריך להיות התבשיל לאופה, אלא מספיק אם יש תבשיל למי שמכוון לפטור את האופה. לא צריכים אף דעת האופה. </w:t>
      </w:r>
      <w:r>
        <w:rPr>
          <w:rFonts w:ascii="Narkisim" w:hAnsi="Narkisim"/>
          <w:b/>
          <w:bCs/>
          <w:u w:val="single"/>
          <w:rtl/>
          <w:lang w:bidi="he-IL"/>
        </w:rPr>
        <w:t>(טז</w:t>
      </w:r>
      <w:r>
        <w:rPr>
          <w:rFonts w:ascii="Narkisim" w:eastAsia="Segoe UI Emoji" w:hAnsi="Narkisim"/>
          <w:b/>
          <w:bCs/>
          <w:u w:val="single"/>
          <w:rtl/>
          <w:lang w:bidi="he-IL"/>
        </w:rPr>
        <w:t>:)</w:t>
      </w:r>
    </w:p>
    <w:p w14:paraId="20F8D0E4" w14:textId="77777777" w:rsidR="0009007A" w:rsidRDefault="00000000">
      <w:pPr>
        <w:pStyle w:val="FootnoteText"/>
        <w:ind w:left="700" w:firstLine="0"/>
        <w:rPr>
          <w:rFonts w:ascii="Narkisim" w:hAnsi="Narkisim"/>
          <w:lang w:bidi="he-IL"/>
        </w:rPr>
      </w:pPr>
      <w:r>
        <w:rPr>
          <w:rFonts w:ascii="Narkisim" w:hAnsi="Narkisim"/>
          <w:rtl/>
          <w:lang w:bidi="he-IL"/>
        </w:rPr>
        <w:t>כמה תבשילין:</w:t>
      </w:r>
    </w:p>
    <w:p w14:paraId="04727008" w14:textId="77777777" w:rsidR="0009007A" w:rsidRDefault="00000000">
      <w:pPr>
        <w:pStyle w:val="FootnoteText"/>
        <w:ind w:left="360" w:firstLine="0"/>
        <w:rPr>
          <w:rFonts w:ascii="Narkisim" w:hAnsi="Narkisim"/>
          <w:b/>
          <w:bCs/>
          <w:u w:val="single"/>
          <w:lang w:bidi="he-IL"/>
        </w:rPr>
      </w:pPr>
      <w:r>
        <w:rPr>
          <w:rFonts w:ascii="Narkisim" w:hAnsi="Narkisim"/>
          <w:rtl/>
          <w:lang w:bidi="he-IL"/>
        </w:rPr>
        <w:t>תנא של משנה סובר שחולקים בית שמאי ובית הלל אם צריכים שני תבשילים או תבשיל אחד.</w:t>
      </w:r>
      <w:r>
        <w:rPr>
          <w:rFonts w:ascii="Narkisim" w:hAnsi="Narkisim"/>
          <w:b/>
          <w:bCs/>
          <w:u w:val="single"/>
          <w:rtl/>
          <w:lang w:bidi="he-IL"/>
        </w:rPr>
        <w:t>(טו:)</w:t>
      </w:r>
      <w:r>
        <w:rPr>
          <w:rFonts w:ascii="Narkisim" w:hAnsi="Narkisim"/>
          <w:rtl/>
          <w:lang w:bidi="he-IL"/>
        </w:rPr>
        <w:t xml:space="preserve">  תנא של בריי' סובר שכולי עלמא מודו שצריך שתי תבשילים. אבל, סובר שחולקים בשני תבשילים שנתבשלו ביחד, אם נחשב שני תבשילים או תבשיל אחד. </w:t>
      </w:r>
      <w:r>
        <w:rPr>
          <w:rFonts w:ascii="Narkisim" w:hAnsi="Narkisim"/>
          <w:b/>
          <w:bCs/>
          <w:u w:val="single"/>
          <w:rtl/>
          <w:lang w:bidi="he-IL"/>
        </w:rPr>
        <w:t>(יז:)</w:t>
      </w:r>
    </w:p>
    <w:p w14:paraId="35409509" w14:textId="77777777" w:rsidR="0009007A" w:rsidRDefault="00000000">
      <w:pPr>
        <w:pStyle w:val="FootnoteText"/>
        <w:ind w:left="360" w:firstLine="349"/>
        <w:rPr>
          <w:rFonts w:ascii="Narkisim" w:hAnsi="Narkisim"/>
          <w:lang w:bidi="he-IL"/>
        </w:rPr>
      </w:pPr>
      <w:r>
        <w:rPr>
          <w:rFonts w:ascii="Narkisim" w:hAnsi="Narkisim"/>
          <w:rtl/>
          <w:lang w:bidi="he-IL"/>
        </w:rPr>
        <w:t>איזה מין תבשילים:</w:t>
      </w:r>
    </w:p>
    <w:p w14:paraId="09A2419B" w14:textId="77777777" w:rsidR="0009007A" w:rsidRDefault="00000000">
      <w:pPr>
        <w:pStyle w:val="FootnoteText"/>
        <w:ind w:left="360" w:firstLine="0"/>
        <w:rPr>
          <w:rFonts w:ascii="Narkisim" w:hAnsi="Narkisim"/>
          <w:lang w:bidi="he-IL"/>
        </w:rPr>
      </w:pPr>
      <w:r>
        <w:rPr>
          <w:rFonts w:ascii="Narkisim" w:hAnsi="Narkisim"/>
          <w:rtl/>
          <w:lang w:bidi="he-IL"/>
        </w:rPr>
        <w:t xml:space="preserve">חולקים בגמ' איזה מין תבשיל צריך. לשון ראשון אומר שצריך תבשיל שלא שכיח. לשון שני אומר שצריך תבשיל שמלפתים בו פת. </w:t>
      </w:r>
      <w:r>
        <w:rPr>
          <w:rFonts w:ascii="Narkisim" w:hAnsi="Narkisim"/>
          <w:b/>
          <w:bCs/>
          <w:u w:val="single"/>
          <w:rtl/>
          <w:lang w:bidi="he-IL"/>
        </w:rPr>
        <w:t>(טז.)</w:t>
      </w:r>
    </w:p>
    <w:p w14:paraId="30BB87CA" w14:textId="77777777" w:rsidR="0009007A" w:rsidRDefault="00000000">
      <w:pPr>
        <w:pStyle w:val="FootnoteText"/>
        <w:ind w:left="360" w:firstLine="0"/>
        <w:rPr>
          <w:rFonts w:ascii="Narkisim" w:hAnsi="Narkisim"/>
          <w:b/>
          <w:bCs/>
          <w:u w:val="single"/>
          <w:lang w:bidi="he-IL"/>
        </w:rPr>
      </w:pPr>
      <w:r>
        <w:rPr>
          <w:rFonts w:ascii="Narkisim" w:hAnsi="Narkisim"/>
          <w:rtl/>
          <w:lang w:bidi="he-IL"/>
        </w:rPr>
        <w:t xml:space="preserve">חולקים תנאים אם צריך דבר שנשתנה ע"י חום באופן אחד מהני לדבר שנשתנה באופן אחר. אז, למשל, אם יש לו תבשיל, חולקים אם יכול לאפות. </w:t>
      </w:r>
      <w:r>
        <w:rPr>
          <w:rFonts w:ascii="Narkisim" w:hAnsi="Narkisim"/>
          <w:b/>
          <w:bCs/>
          <w:u w:val="single"/>
          <w:rtl/>
          <w:lang w:bidi="he-IL"/>
        </w:rPr>
        <w:t>(יז:)</w:t>
      </w:r>
    </w:p>
    <w:p w14:paraId="255517DE" w14:textId="77777777" w:rsidR="0009007A" w:rsidRDefault="00000000">
      <w:pPr>
        <w:pStyle w:val="FootnoteText"/>
        <w:ind w:left="360" w:firstLine="0"/>
        <w:rPr>
          <w:rFonts w:ascii="Narkisim" w:hAnsi="Narkisim"/>
          <w:lang w:bidi="he-IL"/>
        </w:rPr>
      </w:pPr>
      <w:r>
        <w:rPr>
          <w:rFonts w:ascii="Narkisim" w:hAnsi="Narkisim"/>
          <w:rtl/>
          <w:lang w:bidi="he-IL"/>
        </w:rPr>
        <w:t>שיעור התבשילים:</w:t>
      </w:r>
    </w:p>
    <w:p w14:paraId="4C815E10" w14:textId="77777777" w:rsidR="0009007A" w:rsidRDefault="00000000">
      <w:pPr>
        <w:pStyle w:val="FootnoteText"/>
        <w:ind w:left="360" w:firstLine="0"/>
        <w:rPr>
          <w:rFonts w:ascii="Narkisim" w:hAnsi="Narkisim"/>
          <w:lang w:bidi="he-IL"/>
        </w:rPr>
      </w:pPr>
      <w:r>
        <w:rPr>
          <w:rFonts w:ascii="Narkisim" w:hAnsi="Narkisim"/>
          <w:rtl/>
          <w:lang w:bidi="he-IL"/>
        </w:rPr>
        <w:t xml:space="preserve">שיעור התבשילים (איני יודע אם זה שיעור כל אחד מהם או שניהם ביחד, לפי בית שמאי.) הוא כזית, ואף אם הוא להרבה בנ"א. </w:t>
      </w:r>
      <w:r>
        <w:rPr>
          <w:rFonts w:ascii="Narkisim" w:hAnsi="Narkisim"/>
          <w:b/>
          <w:bCs/>
          <w:u w:val="single"/>
          <w:rtl/>
          <w:lang w:bidi="he-IL"/>
        </w:rPr>
        <w:t>(טז</w:t>
      </w:r>
      <w:r>
        <w:rPr>
          <w:rFonts w:ascii="Narkisim" w:eastAsia="Segoe UI Emoji" w:hAnsi="Narkisim"/>
          <w:b/>
          <w:bCs/>
          <w:u w:val="single"/>
          <w:rtl/>
          <w:lang w:bidi="he-IL"/>
        </w:rPr>
        <w:t>:)</w:t>
      </w:r>
    </w:p>
    <w:p w14:paraId="1A02716B" w14:textId="77777777" w:rsidR="0009007A" w:rsidRDefault="00000000">
      <w:pPr>
        <w:pStyle w:val="FootnoteText"/>
        <w:ind w:left="360" w:firstLine="349"/>
        <w:rPr>
          <w:rFonts w:ascii="Narkisim" w:hAnsi="Narkisim"/>
          <w:lang w:bidi="he-IL"/>
        </w:rPr>
      </w:pPr>
      <w:r>
        <w:rPr>
          <w:rFonts w:ascii="Narkisim" w:hAnsi="Narkisim"/>
          <w:rtl/>
          <w:lang w:bidi="he-IL"/>
        </w:rPr>
        <w:t>מתי צריך להיות שיש לו התבשילים:</w:t>
      </w:r>
    </w:p>
    <w:p w14:paraId="6AC5D509" w14:textId="77777777" w:rsidR="0009007A" w:rsidRDefault="00000000">
      <w:pPr>
        <w:pStyle w:val="FootnoteText"/>
        <w:ind w:left="360" w:firstLine="0"/>
        <w:rPr>
          <w:rFonts w:ascii="Narkisim" w:hAnsi="Narkisim"/>
          <w:lang w:bidi="he-IL"/>
        </w:rPr>
      </w:pPr>
      <w:r>
        <w:rPr>
          <w:rFonts w:ascii="Narkisim" w:hAnsi="Narkisim"/>
          <w:rtl/>
          <w:lang w:bidi="he-IL"/>
        </w:rPr>
        <w:t>תחילה- צריך להיות שיהיו לו מלפני יו"ט. לטעם ראשון, זה מפני שחוששים שיפשע. לטעם שני, זה מפני שכל הענין הוא להוכיח שלא מבשלים בי"ט.</w:t>
      </w:r>
    </w:p>
    <w:p w14:paraId="428A98D4" w14:textId="77777777" w:rsidR="0009007A" w:rsidRDefault="00000000">
      <w:pPr>
        <w:pStyle w:val="FootnoteText"/>
        <w:ind w:left="360" w:firstLine="0"/>
        <w:rPr>
          <w:rFonts w:ascii="Narkisim" w:hAnsi="Narkisim"/>
          <w:b/>
          <w:bCs/>
          <w:u w:val="single"/>
          <w:lang w:bidi="he-IL"/>
        </w:rPr>
      </w:pPr>
      <w:r>
        <w:rPr>
          <w:rFonts w:ascii="Narkisim" w:hAnsi="Narkisim"/>
          <w:rtl/>
          <w:lang w:bidi="he-IL"/>
        </w:rPr>
        <w:t xml:space="preserve">סוף- גמ' מפרש שרק צריכים שיהיו לו התבשילים בזמן שמתחיל לבשל. גם אם רק עשה עיסה, ונאבד התבשיל, יכול לבשל אותו. </w:t>
      </w:r>
      <w:r>
        <w:rPr>
          <w:rFonts w:ascii="Narkisim" w:hAnsi="Narkisim"/>
          <w:b/>
          <w:bCs/>
          <w:u w:val="single"/>
          <w:rtl/>
          <w:lang w:bidi="he-IL"/>
        </w:rPr>
        <w:t>(יז:)</w:t>
      </w:r>
    </w:p>
    <w:p w14:paraId="5A15DFD8" w14:textId="77777777" w:rsidR="0009007A" w:rsidRDefault="0009007A">
      <w:pPr>
        <w:pStyle w:val="FootnoteText"/>
        <w:ind w:left="360" w:firstLine="0"/>
        <w:rPr>
          <w:rFonts w:ascii="Narkisim" w:hAnsi="Narkisim"/>
          <w:b/>
          <w:bCs/>
          <w:u w:val="single"/>
          <w:lang w:bidi="he-IL"/>
        </w:rPr>
      </w:pPr>
    </w:p>
    <w:p w14:paraId="143951B7" w14:textId="77777777" w:rsidR="0009007A" w:rsidRDefault="00000000">
      <w:pPr>
        <w:pStyle w:val="FootnoteText"/>
        <w:ind w:left="360" w:firstLine="0"/>
        <w:rPr>
          <w:rFonts w:ascii="Narkisim" w:hAnsi="Narkisim"/>
          <w:b/>
          <w:bCs/>
          <w:lang w:bidi="he-IL"/>
        </w:rPr>
      </w:pPr>
      <w:r>
        <w:rPr>
          <w:rFonts w:ascii="Narkisim" w:hAnsi="Narkisim"/>
          <w:b/>
          <w:bCs/>
          <w:rtl/>
          <w:lang w:bidi="he-IL"/>
        </w:rPr>
        <w:t>מה אם לא עירב:</w:t>
      </w:r>
    </w:p>
    <w:p w14:paraId="760090B3" w14:textId="77777777" w:rsidR="0009007A" w:rsidRDefault="00000000">
      <w:pPr>
        <w:pStyle w:val="FootnoteText"/>
        <w:ind w:left="360" w:firstLine="0"/>
        <w:rPr>
          <w:rFonts w:cs="Arial"/>
        </w:rPr>
      </w:pPr>
      <w:r>
        <w:rPr>
          <w:rFonts w:ascii="Narkisim" w:hAnsi="Narkisim"/>
          <w:rtl/>
          <w:lang w:bidi="he-IL"/>
        </w:rPr>
        <w:t xml:space="preserve">אסור לו לבשל, ואסור לבשל עם קמחו. </w:t>
      </w:r>
      <w:r>
        <w:rPr>
          <w:rFonts w:ascii="Narkisim" w:hAnsi="Narkisim"/>
          <w:b/>
          <w:bCs/>
          <w:u w:val="single"/>
          <w:rtl/>
          <w:lang w:bidi="he-IL"/>
        </w:rPr>
        <w:t>(יז.)</w:t>
      </w:r>
      <w:r>
        <w:rPr>
          <w:rFonts w:ascii="Narkisim" w:hAnsi="Narkisim"/>
          <w:rtl/>
          <w:lang w:bidi="he-IL"/>
        </w:rPr>
        <w:t xml:space="preserve"> אם בשל, מסופק גמ' אם נאסר. </w:t>
      </w:r>
      <w:r>
        <w:rPr>
          <w:rFonts w:ascii="Narkisim" w:hAnsi="Narkisim"/>
          <w:b/>
          <w:bCs/>
          <w:u w:val="single"/>
          <w:rtl/>
          <w:lang w:bidi="he-IL"/>
        </w:rPr>
        <w:t>(יז)</w:t>
      </w:r>
      <w:r>
        <w:rPr>
          <w:rFonts w:ascii="Narkisim" w:hAnsi="Narkisim"/>
          <w:rtl/>
          <w:lang w:bidi="he-IL"/>
        </w:rPr>
        <w:t xml:space="preserve"> יכול לבשל לי"ט, ולאכל מה שהותיר, אבל אסור להערים, ואם הערים, חולקים אם אסור לאכול ממה שהערים. </w:t>
      </w:r>
      <w:r>
        <w:rPr>
          <w:rFonts w:ascii="Narkisim" w:hAnsi="Narkisim"/>
          <w:b/>
          <w:bCs/>
          <w:u w:val="single"/>
          <w:rtl/>
          <w:lang w:bidi="he-IL"/>
        </w:rPr>
        <w:t>(יז:)</w:t>
      </w:r>
      <w:r>
        <w:rPr>
          <w:rFonts w:ascii="Narkisim" w:hAnsi="Narkisim"/>
          <w:rtl/>
          <w:lang w:bidi="he-IL"/>
        </w:rPr>
        <w:t xml:space="preserve"> אף שאסור לאחרים, לא יעשו לו אוכלים יותר מפת אחת, קדרה מבושלת אחת, ואולי דג אחד. אם יש צורך גם מטמינים (לכאו’ בשביל דברים אלו). גם מדליקים לו נר. </w:t>
      </w:r>
      <w:r>
        <w:rPr>
          <w:rFonts w:ascii="Narkisim" w:hAnsi="Narkisim"/>
          <w:b/>
          <w:bCs/>
          <w:u w:val="single"/>
          <w:rtl/>
          <w:lang w:bidi="he-IL"/>
        </w:rPr>
        <w:t>(כא:)</w:t>
      </w:r>
      <w:r>
        <w:rPr>
          <w:rFonts w:ascii="Narkisim" w:hAnsi="Narkisim"/>
          <w:rtl/>
          <w:lang w:bidi="he-IL"/>
        </w:rPr>
        <w:t xml:space="preserve"> </w:t>
      </w:r>
    </w:p>
  </w:footnote>
  <w:footnote w:id="125">
    <w:p w14:paraId="0EBC1E36" w14:textId="77777777" w:rsidR="0009007A" w:rsidRDefault="00000000">
      <w:pPr>
        <w:pStyle w:val="FootnoteText"/>
      </w:pPr>
      <w:r>
        <w:rPr>
          <w:rStyle w:val="FootnoteCharacters"/>
        </w:rPr>
        <w:footnoteRef/>
      </w:r>
      <w:r>
        <w:rPr>
          <w:rtl/>
          <w:lang w:bidi="he-IL"/>
        </w:rPr>
        <w:tab/>
        <w:t xml:space="preserve">זה יכול לקרות באחד משני אופנים- יום טוב ראשון חל להיות בערב שבת ויו"ט שני חל להיות בע"ש. בציור שני, יכול לתת עירוב תבשילין ביום חמישי ולהתנות. חולקים אם יכול גם בשני י"ט של ר"ה. </w:t>
      </w:r>
      <w:r>
        <w:rPr>
          <w:b/>
          <w:bCs/>
          <w:u w:val="single"/>
          <w:rtl/>
          <w:lang w:bidi="he-IL"/>
        </w:rPr>
        <w:t>(ו.)</w:t>
      </w:r>
    </w:p>
  </w:footnote>
  <w:footnote w:id="126">
    <w:p w14:paraId="61DFC8C5" w14:textId="77777777" w:rsidR="0009007A" w:rsidRDefault="00000000">
      <w:pPr>
        <w:pStyle w:val="FootnoteText"/>
      </w:pPr>
      <w:r>
        <w:rPr>
          <w:rStyle w:val="FootnoteCharacters"/>
        </w:rPr>
        <w:footnoteRef/>
      </w:r>
      <w:r>
        <w:rPr>
          <w:rtl/>
          <w:lang w:bidi="he-IL"/>
        </w:rPr>
        <w:tab/>
        <w:t xml:space="preserve"> אם אין לו עירוב תבשילין.</w:t>
      </w:r>
    </w:p>
  </w:footnote>
  <w:footnote w:id="127">
    <w:p w14:paraId="61260E86" w14:textId="77777777" w:rsidR="0009007A" w:rsidRDefault="00000000">
      <w:pPr>
        <w:pStyle w:val="FootnoteText"/>
      </w:pPr>
      <w:r>
        <w:rPr>
          <w:rStyle w:val="FootnoteCharacters"/>
        </w:rPr>
        <w:footnoteRef/>
      </w:r>
      <w:r>
        <w:rPr>
          <w:rtl/>
          <w:lang w:bidi="he-IL"/>
        </w:rPr>
        <w:tab/>
        <w:t xml:space="preserve"> לא יכול להערים, ואם הערים, חולקים אם מה שבשל אסור. </w:t>
      </w:r>
      <w:r>
        <w:rPr>
          <w:b/>
          <w:bCs/>
          <w:u w:val="single"/>
          <w:rtl/>
          <w:lang w:bidi="he-IL"/>
        </w:rPr>
        <w:t>(יז:)</w:t>
      </w:r>
    </w:p>
  </w:footnote>
  <w:footnote w:id="128">
    <w:p w14:paraId="0C08062C" w14:textId="77777777" w:rsidR="0009007A" w:rsidRDefault="00000000">
      <w:pPr>
        <w:pStyle w:val="FootnoteText"/>
      </w:pPr>
      <w:r>
        <w:rPr>
          <w:rStyle w:val="FootnoteCharacters"/>
        </w:rPr>
        <w:footnoteRef/>
      </w:r>
      <w:r>
        <w:rPr>
          <w:rtl/>
          <w:lang w:bidi="he-IL"/>
        </w:rPr>
        <w:tab/>
        <w:t xml:space="preserve"> לכאו', דין זה פשוט. אולי הו"א לאסור גזי' שמא יערים.</w:t>
      </w:r>
    </w:p>
  </w:footnote>
  <w:footnote w:id="129">
    <w:p w14:paraId="2AE17125" w14:textId="77777777" w:rsidR="0009007A" w:rsidRDefault="00000000">
      <w:pPr>
        <w:pStyle w:val="FootnoteText"/>
      </w:pPr>
      <w:r>
        <w:rPr>
          <w:rStyle w:val="FootnoteCharacters"/>
        </w:rPr>
        <w:footnoteRef/>
      </w:r>
      <w:r>
        <w:rPr>
          <w:rtl/>
          <w:lang w:bidi="he-IL"/>
        </w:rPr>
        <w:tab/>
        <w:t xml:space="preserve"> לכאו', נמצא שסותם כמו שיאמר ב"ה לקמן.</w:t>
      </w:r>
    </w:p>
  </w:footnote>
  <w:footnote w:id="130">
    <w:p w14:paraId="25BE63E5" w14:textId="77777777" w:rsidR="0009007A" w:rsidRDefault="00000000">
      <w:pPr>
        <w:pStyle w:val="FootnoteText"/>
      </w:pPr>
      <w:r>
        <w:rPr>
          <w:rStyle w:val="FootnoteCharacters"/>
        </w:rPr>
        <w:footnoteRef/>
      </w:r>
      <w:r>
        <w:rPr>
          <w:rtl/>
          <w:lang w:bidi="he-IL"/>
        </w:rPr>
        <w:tab/>
        <w:t xml:space="preserve"> גמ' מביא תנא שסובר ששניהם מודים שצריכים שני תבשילים, ורק חולקים אם דג וביצה שעליו (ר"ל, שני תבשילים שבשלו ביחד) נחשבים תבשיל אחד או שני תבשילים. אבל, הל' כמשנה שלנו, וכב"ה. </w:t>
      </w:r>
      <w:r>
        <w:rPr>
          <w:b/>
          <w:bCs/>
          <w:u w:val="single"/>
          <w:rtl/>
          <w:lang w:bidi="he-IL"/>
        </w:rPr>
        <w:t>(יז:)</w:t>
      </w:r>
    </w:p>
  </w:footnote>
  <w:footnote w:id="131">
    <w:p w14:paraId="140B1EA9" w14:textId="77777777" w:rsidR="0009007A" w:rsidRDefault="00000000">
      <w:pPr>
        <w:pStyle w:val="FootnoteText"/>
      </w:pPr>
      <w:r>
        <w:rPr>
          <w:rStyle w:val="FootnoteCharacters"/>
        </w:rPr>
        <w:footnoteRef/>
      </w:r>
      <w:r>
        <w:rPr>
          <w:rtl/>
          <w:lang w:bidi="he-IL"/>
        </w:rPr>
        <w:tab/>
        <w:t xml:space="preserve"> זה מין אחד של איבוד; איני יודע למה צריך לשנות את שניהם. </w:t>
      </w:r>
    </w:p>
  </w:footnote>
  <w:footnote w:id="132">
    <w:p w14:paraId="09A40467" w14:textId="77777777" w:rsidR="0009007A" w:rsidRDefault="00000000">
      <w:pPr>
        <w:pStyle w:val="FootnoteText"/>
      </w:pPr>
      <w:r>
        <w:rPr>
          <w:rStyle w:val="FootnoteCharacters"/>
        </w:rPr>
        <w:footnoteRef/>
      </w:r>
      <w:r>
        <w:rPr>
          <w:rtl/>
          <w:lang w:bidi="he-IL"/>
        </w:rPr>
        <w:tab/>
        <w:t xml:space="preserve"> נ' שרצה לומר שלא יתחיל לבשל, אבל ימשיך. גמ' אומר </w:t>
      </w:r>
      <w:r>
        <w:rPr>
          <w:b/>
          <w:bCs/>
          <w:u w:val="single"/>
          <w:rtl/>
          <w:lang w:bidi="he-IL"/>
        </w:rPr>
        <w:t>(יז:)</w:t>
      </w:r>
      <w:r>
        <w:rPr>
          <w:rtl/>
          <w:lang w:bidi="he-IL"/>
        </w:rPr>
        <w:t xml:space="preserve"> שאף אם רק התחיל בעיסה, יכול לאפות אותו.</w:t>
      </w:r>
    </w:p>
  </w:footnote>
  <w:footnote w:id="133">
    <w:p w14:paraId="74499013" w14:textId="77777777" w:rsidR="0009007A" w:rsidRDefault="00000000">
      <w:pPr>
        <w:pStyle w:val="FootnoteText"/>
      </w:pPr>
      <w:r>
        <w:rPr>
          <w:rStyle w:val="FootnoteCharacters"/>
        </w:rPr>
        <w:footnoteRef/>
      </w:r>
      <w:r>
        <w:rPr>
          <w:rtl/>
          <w:lang w:bidi="he-IL"/>
        </w:rPr>
        <w:tab/>
        <w:t xml:space="preserve"> גמ' מבאר שצריך להיות כזית^. </w:t>
      </w:r>
      <w:r>
        <w:rPr>
          <w:b/>
          <w:bCs/>
          <w:u w:val="single"/>
          <w:rtl/>
          <w:lang w:bidi="he-IL"/>
        </w:rPr>
        <w:t>(טז.)</w:t>
      </w:r>
      <w:r>
        <w:rPr>
          <w:rtl/>
          <w:lang w:bidi="he-IL"/>
        </w:rPr>
        <w:t xml:space="preserve"> </w:t>
      </w:r>
    </w:p>
  </w:footnote>
  <w:footnote w:id="134">
    <w:p w14:paraId="45290CA2" w14:textId="77777777" w:rsidR="0009007A" w:rsidRDefault="00000000">
      <w:pPr>
        <w:pStyle w:val="FootnoteText"/>
      </w:pPr>
      <w:r>
        <w:rPr>
          <w:rStyle w:val="FootnoteCharacters"/>
        </w:rPr>
        <w:footnoteRef/>
      </w:r>
      <w:r>
        <w:rPr>
          <w:rtl/>
          <w:lang w:bidi="he-IL"/>
        </w:rPr>
        <w:tab/>
        <w:t xml:space="preserve"> רצה לומר, עוד יכול לבשל.</w:t>
      </w:r>
    </w:p>
  </w:footnote>
  <w:footnote w:id="135">
    <w:p w14:paraId="52D673B3"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ב:</w:t>
      </w:r>
    </w:p>
  </w:footnote>
  <w:footnote w:id="136">
    <w:p w14:paraId="0821737F"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הקדמה:</w:t>
      </w:r>
    </w:p>
    <w:p w14:paraId="06587DF9" w14:textId="77777777" w:rsidR="0009007A" w:rsidRDefault="00000000">
      <w:pPr>
        <w:pStyle w:val="FootnoteText"/>
        <w:rPr>
          <w:lang w:bidi="he-IL"/>
        </w:rPr>
      </w:pPr>
      <w:r>
        <w:rPr>
          <w:b/>
          <w:bCs/>
          <w:rtl/>
          <w:lang w:bidi="he-IL"/>
        </w:rPr>
        <w:tab/>
      </w:r>
      <w:r>
        <w:rPr>
          <w:rtl/>
          <w:lang w:bidi="he-IL"/>
        </w:rPr>
        <w:t>אינו מותר לטהר כלים בשבת ויו"ט. מצאנו ארבע סיבות לגזי' זו:</w:t>
      </w:r>
    </w:p>
    <w:p w14:paraId="0BE55ABB" w14:textId="77777777" w:rsidR="0009007A" w:rsidRDefault="00000000">
      <w:pPr>
        <w:pStyle w:val="FootnoteText"/>
        <w:numPr>
          <w:ilvl w:val="0"/>
          <w:numId w:val="19"/>
        </w:numPr>
      </w:pPr>
      <w:r>
        <w:rPr>
          <w:rtl/>
          <w:lang w:bidi="he-IL"/>
        </w:rPr>
        <w:t>גזירה שמא יעבור ארבע אמות ברה"ר. מגמ' נראה שפשוט שזה לא שייך בטבילת בנ"א.</w:t>
      </w:r>
    </w:p>
    <w:p w14:paraId="78D65DEB" w14:textId="77777777" w:rsidR="0009007A" w:rsidRDefault="00000000">
      <w:pPr>
        <w:pStyle w:val="FootnoteText"/>
        <w:numPr>
          <w:ilvl w:val="0"/>
          <w:numId w:val="19"/>
        </w:numPr>
      </w:pPr>
      <w:r>
        <w:rPr>
          <w:rtl/>
          <w:lang w:bidi="he-IL"/>
        </w:rPr>
        <w:t>גזירה שמא יסחוט את הכלי. מגמ' נראה שפשוט שזה לא שייך בטבילת בנ"א.</w:t>
      </w:r>
    </w:p>
    <w:p w14:paraId="52DE0418" w14:textId="77777777" w:rsidR="0009007A" w:rsidRDefault="00000000">
      <w:pPr>
        <w:pStyle w:val="FootnoteText"/>
        <w:numPr>
          <w:ilvl w:val="0"/>
          <w:numId w:val="19"/>
        </w:numPr>
      </w:pPr>
      <w:r>
        <w:rPr>
          <w:rtl/>
          <w:lang w:bidi="he-IL"/>
        </w:rPr>
        <w:t xml:space="preserve">גזירה שמא ישהא את הכלי עד שבת וי"ט (ושמא ירבה טומאה בינתיים). מגמ' נראה שפשוט שזה לא שייך בטבילת בנ"א. </w:t>
      </w:r>
    </w:p>
    <w:p w14:paraId="2A4FF326" w14:textId="77777777" w:rsidR="0009007A" w:rsidRDefault="00000000">
      <w:pPr>
        <w:pStyle w:val="FootnoteText"/>
        <w:numPr>
          <w:ilvl w:val="0"/>
          <w:numId w:val="19"/>
        </w:numPr>
      </w:pPr>
      <w:r>
        <w:rPr>
          <w:rtl/>
          <w:lang w:bidi="he-IL"/>
        </w:rPr>
        <w:t xml:space="preserve">נראה כמתקן כלי. ואם תאמר אם כן למה מותר לאדם לטבול. וי"ל שנראה כמיקר (הולך במים כדי לקרר את עצמו), ולא כמתקן. </w:t>
      </w:r>
    </w:p>
    <w:p w14:paraId="582FB7E5" w14:textId="77777777" w:rsidR="0009007A" w:rsidRDefault="00000000">
      <w:pPr>
        <w:pStyle w:val="FootnoteText"/>
        <w:ind w:left="680"/>
        <w:rPr>
          <w:lang w:bidi="he-IL"/>
        </w:rPr>
      </w:pPr>
      <w:r>
        <w:rPr>
          <w:rtl/>
          <w:lang w:bidi="he-IL"/>
        </w:rPr>
        <w:t>מצאנו שלש היתירים:</w:t>
      </w:r>
    </w:p>
    <w:p w14:paraId="39AEA3C9" w14:textId="77777777" w:rsidR="0009007A" w:rsidRDefault="00000000">
      <w:pPr>
        <w:pStyle w:val="FootnoteText"/>
        <w:numPr>
          <w:ilvl w:val="0"/>
          <w:numId w:val="20"/>
        </w:numPr>
      </w:pPr>
      <w:r>
        <w:rPr>
          <w:rtl/>
          <w:lang w:bidi="he-IL"/>
        </w:rPr>
        <w:t>אם נטמא בוולד הטומאה (ואז הכלי טמא דרבנן) מותר להטביל אותו בשבת ויו"ט.</w:t>
      </w:r>
    </w:p>
    <w:p w14:paraId="7BCE1674" w14:textId="77777777" w:rsidR="0009007A" w:rsidRDefault="00000000">
      <w:pPr>
        <w:pStyle w:val="FootnoteText"/>
        <w:numPr>
          <w:ilvl w:val="0"/>
          <w:numId w:val="20"/>
        </w:numPr>
      </w:pPr>
      <w:r>
        <w:rPr>
          <w:rtl/>
          <w:lang w:bidi="he-IL"/>
        </w:rPr>
        <w:t>אם מטהר על גב דבר אחר, ובאופן בולט, מותר. יש יוצא מכלל זה, והוא כשמכניס ד"א כדי לטהר אותו (כמו השקת מים).</w:t>
      </w:r>
    </w:p>
    <w:p w14:paraId="2C406870" w14:textId="77777777" w:rsidR="0009007A" w:rsidRDefault="00000000">
      <w:pPr>
        <w:pStyle w:val="FootnoteText"/>
        <w:numPr>
          <w:ilvl w:val="0"/>
          <w:numId w:val="20"/>
        </w:numPr>
      </w:pPr>
      <w:r>
        <w:rPr>
          <w:rtl/>
          <w:lang w:bidi="he-IL"/>
        </w:rPr>
        <w:t xml:space="preserve">אם נטמא בי"ט, כיון שלא שכיח. איני יודע אם זה מותר גם בשבת. </w:t>
      </w:r>
      <w:r>
        <w:rPr>
          <w:b/>
          <w:bCs/>
          <w:u w:val="single"/>
          <w:rtl/>
          <w:lang w:bidi="he-IL"/>
        </w:rPr>
        <w:t>(יח)</w:t>
      </w:r>
    </w:p>
    <w:p w14:paraId="3DF353C0" w14:textId="77777777" w:rsidR="0009007A" w:rsidRDefault="00000000">
      <w:pPr>
        <w:pStyle w:val="FootnoteText"/>
        <w:ind w:left="680"/>
      </w:pPr>
      <w:r>
        <w:rPr>
          <w:rtl/>
          <w:lang w:bidi="he-IL"/>
        </w:rPr>
        <w:t>מצאנו בזה חומרה- שאסור ביה"ש.</w:t>
      </w:r>
    </w:p>
  </w:footnote>
  <w:footnote w:id="137">
    <w:p w14:paraId="3AE0B608" w14:textId="77777777" w:rsidR="0009007A" w:rsidRDefault="00000000">
      <w:pPr>
        <w:pStyle w:val="FootnoteText"/>
      </w:pPr>
      <w:r>
        <w:rPr>
          <w:rStyle w:val="FootnoteCharacters"/>
        </w:rPr>
        <w:footnoteRef/>
      </w:r>
      <w:r>
        <w:rPr>
          <w:rtl/>
          <w:lang w:bidi="he-IL"/>
        </w:rPr>
        <w:tab/>
        <w:t xml:space="preserve"> איני יודע אם, לבית הלל, זה דווקא (ורק כשיש צורך כזה מיקילים) או שזה רק ציור מצוי, או שבא להשמיע לנו חידוש בבית שמאי.</w:t>
      </w:r>
    </w:p>
  </w:footnote>
  <w:footnote w:id="138">
    <w:p w14:paraId="59B41D1B" w14:textId="77777777" w:rsidR="0009007A" w:rsidRDefault="00000000">
      <w:pPr>
        <w:pStyle w:val="FootnoteText"/>
      </w:pPr>
      <w:r>
        <w:rPr>
          <w:rStyle w:val="FootnoteCharacters"/>
        </w:rPr>
        <w:footnoteRef/>
      </w:r>
      <w:r>
        <w:rPr>
          <w:rtl/>
          <w:lang w:bidi="he-IL"/>
        </w:rPr>
        <w:tab/>
        <w:t xml:space="preserve"> רצה לומר, לא מותר לטבול את הכלי או את האדם בשבת לצורך יו"ט. </w:t>
      </w:r>
    </w:p>
  </w:footnote>
  <w:footnote w:id="139">
    <w:p w14:paraId="6DCD8A98" w14:textId="77777777" w:rsidR="0009007A" w:rsidRDefault="00000000">
      <w:pPr>
        <w:pStyle w:val="FootnoteText"/>
      </w:pPr>
      <w:r>
        <w:rPr>
          <w:rStyle w:val="FootnoteCharacters"/>
        </w:rPr>
        <w:footnoteRef/>
      </w:r>
      <w:r>
        <w:rPr>
          <w:rtl/>
          <w:lang w:bidi="he-IL"/>
        </w:rPr>
        <w:tab/>
        <w:t xml:space="preserve"> עיין בהקדמה, שבארנו הטעם לאיסור, ולמה לא נוגע באדם.</w:t>
      </w:r>
    </w:p>
  </w:footnote>
  <w:footnote w:id="140">
    <w:p w14:paraId="014AD7BE"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דינים היוצאים מן המשנה:</w:t>
      </w:r>
    </w:p>
    <w:p w14:paraId="2F434481" w14:textId="77777777" w:rsidR="0009007A" w:rsidRDefault="00000000">
      <w:pPr>
        <w:pStyle w:val="FootnoteText"/>
        <w:numPr>
          <w:ilvl w:val="0"/>
          <w:numId w:val="21"/>
        </w:numPr>
      </w:pPr>
      <w:r>
        <w:rPr>
          <w:rtl/>
          <w:lang w:bidi="he-IL"/>
        </w:rPr>
        <w:t>טבילת כלי בשבת- אסור.</w:t>
      </w:r>
    </w:p>
    <w:p w14:paraId="42A7D059" w14:textId="77777777" w:rsidR="0009007A" w:rsidRDefault="00000000">
      <w:pPr>
        <w:pStyle w:val="FootnoteText"/>
        <w:numPr>
          <w:ilvl w:val="0"/>
          <w:numId w:val="21"/>
        </w:numPr>
      </w:pPr>
      <w:r>
        <w:rPr>
          <w:rtl/>
          <w:lang w:bidi="he-IL"/>
        </w:rPr>
        <w:t xml:space="preserve">טבילת אדם בשבת- </w:t>
      </w:r>
    </w:p>
    <w:p w14:paraId="3AF0B040" w14:textId="77777777" w:rsidR="0009007A" w:rsidRDefault="00000000">
      <w:pPr>
        <w:pStyle w:val="FootnoteText"/>
        <w:numPr>
          <w:ilvl w:val="1"/>
          <w:numId w:val="21"/>
        </w:numPr>
      </w:pPr>
      <w:r>
        <w:rPr>
          <w:rtl/>
          <w:lang w:bidi="he-IL"/>
        </w:rPr>
        <w:t>בית שמאי- אסור.</w:t>
      </w:r>
    </w:p>
    <w:p w14:paraId="3EA6552D" w14:textId="77777777" w:rsidR="0009007A" w:rsidRDefault="00000000">
      <w:pPr>
        <w:pStyle w:val="FootnoteText"/>
        <w:numPr>
          <w:ilvl w:val="1"/>
          <w:numId w:val="21"/>
        </w:numPr>
      </w:pPr>
      <w:r>
        <w:rPr>
          <w:rtl/>
          <w:lang w:bidi="he-IL"/>
        </w:rPr>
        <w:t>בית הלל- מותר.</w:t>
      </w:r>
    </w:p>
  </w:footnote>
  <w:footnote w:id="141">
    <w:p w14:paraId="0E1E7598"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ג:</w:t>
      </w:r>
    </w:p>
  </w:footnote>
  <w:footnote w:id="142">
    <w:p w14:paraId="4191FE51"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18D648D0" w14:textId="77777777" w:rsidR="0009007A" w:rsidRDefault="00000000">
      <w:pPr>
        <w:pStyle w:val="FootnoteText"/>
        <w:rPr>
          <w:lang w:bidi="he-IL"/>
        </w:rPr>
      </w:pPr>
      <w:r>
        <w:rPr>
          <w:b/>
          <w:bCs/>
          <w:rtl/>
          <w:lang w:bidi="he-IL"/>
        </w:rPr>
        <w:tab/>
      </w:r>
      <w:r>
        <w:rPr>
          <w:rtl/>
          <w:lang w:bidi="he-IL"/>
        </w:rPr>
        <w:t>משנה זה מתחיל בהמשך מן המשנה הקודם (ואכן, בגמ' הם משנה אחד). אותו משנה דיבר על טהרת דברים על ידי טבילה. עכשיו, משנה מדבר על מין אחר של טהרה. הדין הוא שמים מקבלים טומאה אם הם עקורים מן הארץ. אבל, אם הם בתוך מקווה או מעיין, לא מקבלים טומאה. לכן, אם מים נטמא, אדם יכול לטהר אותו על ידי השקה, שעושה שנושק למים המחובר לארץ, ואז גם הוא מחובר לארץ, ואין בו טומאה. אף אחר שעוקר אותו, אין הטומאה חוזרת.</w:t>
      </w:r>
    </w:p>
    <w:p w14:paraId="6FB40FCD" w14:textId="77777777" w:rsidR="0009007A" w:rsidRDefault="00000000">
      <w:pPr>
        <w:pStyle w:val="FootnoteText"/>
      </w:pPr>
      <w:r>
        <w:rPr>
          <w:rtl/>
          <w:lang w:bidi="he-IL"/>
        </w:rPr>
        <w:tab/>
        <w:t>משנה ממשיך לבאר סוג אחר של טבילה שמותר בי"ט, והוא טבילה שאין בה צורך (שלא מטהר כלום).</w:t>
      </w:r>
    </w:p>
  </w:footnote>
  <w:footnote w:id="143">
    <w:p w14:paraId="69CF2D2C" w14:textId="77777777" w:rsidR="0009007A" w:rsidRDefault="00000000">
      <w:pPr>
        <w:pStyle w:val="FootnoteText"/>
      </w:pPr>
      <w:r>
        <w:rPr>
          <w:rStyle w:val="FootnoteCharacters"/>
        </w:rPr>
        <w:footnoteRef/>
      </w:r>
      <w:r>
        <w:rPr>
          <w:rtl/>
          <w:lang w:bidi="he-IL"/>
        </w:rPr>
        <w:tab/>
        <w:t xml:space="preserve"> גמ' לא מפרש למה. מפרש ל"ל גוזרים מחמת טבילה (והוא שאינו שכיח שיטמא ויצטרך להשיקו, שאין לו מים אחר </w:t>
      </w:r>
      <w:r>
        <w:rPr>
          <w:b/>
          <w:bCs/>
          <w:u w:val="single"/>
          <w:rtl/>
          <w:lang w:bidi="he-IL"/>
        </w:rPr>
        <w:t>(יח.)</w:t>
      </w:r>
      <w:r>
        <w:rPr>
          <w:rtl/>
          <w:lang w:bidi="he-IL"/>
        </w:rPr>
        <w:t>), אבל לא מפרש למה אין בו גזירת טבילה.</w:t>
      </w:r>
    </w:p>
  </w:footnote>
  <w:footnote w:id="144">
    <w:p w14:paraId="4C04DB02" w14:textId="77777777" w:rsidR="0009007A" w:rsidRDefault="00000000">
      <w:pPr>
        <w:pStyle w:val="FootnoteText"/>
      </w:pPr>
      <w:r>
        <w:rPr>
          <w:rStyle w:val="FootnoteCharacters"/>
        </w:rPr>
        <w:footnoteRef/>
      </w:r>
      <w:r>
        <w:rPr>
          <w:rtl/>
          <w:lang w:bidi="he-IL"/>
        </w:rPr>
        <w:tab/>
        <w:t xml:space="preserve"> ואם תאמר למה לא רק  נוטל מן המקווה. וי"ל שמי המקווה מלוחים, ולא מתוקים. (רש"י </w:t>
      </w:r>
      <w:r>
        <w:rPr>
          <w:b/>
          <w:bCs/>
          <w:u w:val="single"/>
          <w:rtl/>
          <w:lang w:bidi="he-IL"/>
        </w:rPr>
        <w:t>יז:</w:t>
      </w:r>
      <w:r>
        <w:rPr>
          <w:rtl/>
          <w:lang w:bidi="he-IL"/>
        </w:rPr>
        <w:t>)</w:t>
      </w:r>
    </w:p>
  </w:footnote>
  <w:footnote w:id="145">
    <w:p w14:paraId="7152B663" w14:textId="77777777" w:rsidR="0009007A" w:rsidRDefault="00000000">
      <w:pPr>
        <w:pStyle w:val="FootnoteText"/>
      </w:pPr>
      <w:r>
        <w:rPr>
          <w:rStyle w:val="FootnoteCharacters"/>
        </w:rPr>
        <w:footnoteRef/>
      </w:r>
      <w:r>
        <w:rPr>
          <w:rtl/>
          <w:lang w:bidi="he-IL"/>
        </w:rPr>
        <w:tab/>
        <w:t xml:space="preserve"> רצה לומר, אפילו בכלי שיכול לקבל טומאה, שאפשר לחוש שנראה כמטהר את הכלי.</w:t>
      </w:r>
    </w:p>
  </w:footnote>
  <w:footnote w:id="146">
    <w:p w14:paraId="0D2BEBEE"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(יח:)</w:t>
      </w:r>
      <w:r>
        <w:rPr>
          <w:rtl/>
          <w:lang w:bidi="he-IL"/>
        </w:rPr>
        <w:t xml:space="preserve"> שרצה לומר שלא יכולים לטהר את המים בכלי טמא, כדי לטהר את הכלי. </w:t>
      </w:r>
    </w:p>
  </w:footnote>
  <w:footnote w:id="147">
    <w:p w14:paraId="6906B597" w14:textId="77777777" w:rsidR="0009007A" w:rsidRDefault="00000000">
      <w:pPr>
        <w:pStyle w:val="FootnoteText"/>
        <w:rPr>
          <w:b/>
          <w:bCs/>
          <w:u w:val="single"/>
        </w:rPr>
      </w:pPr>
      <w:r>
        <w:rPr>
          <w:rStyle w:val="FootnoteCharacters"/>
        </w:rPr>
        <w:footnoteRef/>
      </w:r>
      <w:r>
        <w:rPr>
          <w:rtl/>
          <w:lang w:bidi="he-IL"/>
        </w:rPr>
        <w:tab/>
        <w:t xml:space="preserve"> גמ' דן אם זה רק בשבת, אבל בי"ט גם מטבילים הכלי, או זה רק בי"ט, אבל בשבת, לא משיקים. </w:t>
      </w:r>
      <w:r>
        <w:rPr>
          <w:b/>
          <w:bCs/>
          <w:u w:val="single"/>
          <w:rtl/>
          <w:lang w:bidi="he-IL"/>
        </w:rPr>
        <w:t>(יח:)</w:t>
      </w:r>
    </w:p>
  </w:footnote>
  <w:footnote w:id="148">
    <w:p w14:paraId="41716189" w14:textId="77777777" w:rsidR="0009007A" w:rsidRDefault="00000000">
      <w:pPr>
        <w:pStyle w:val="FootnoteText"/>
      </w:pPr>
      <w:r>
        <w:rPr>
          <w:rStyle w:val="FootnoteCharacters"/>
        </w:rPr>
        <w:footnoteRef/>
      </w:r>
      <w:r>
        <w:rPr>
          <w:rtl/>
          <w:lang w:bidi="he-IL"/>
        </w:rPr>
        <w:tab/>
        <w:t xml:space="preserve"> יש חולק על משנה זה. אם המשנה מדבר בי"ט, אז החולק הוא רבנן, ואומרים שגם מטבילים בי"ט. אם משנה שלנו בשבת, אז החולק הוא רבי, ואומר שאף לא משיקים בשבת. </w:t>
      </w:r>
      <w:r>
        <w:rPr>
          <w:b/>
          <w:bCs/>
          <w:u w:val="single"/>
          <w:rtl/>
          <w:lang w:bidi="he-IL"/>
        </w:rPr>
        <w:t>(יח:)</w:t>
      </w:r>
    </w:p>
  </w:footnote>
  <w:footnote w:id="149">
    <w:p w14:paraId="35B78C07" w14:textId="77777777" w:rsidR="0009007A" w:rsidRDefault="00000000">
      <w:pPr>
        <w:pStyle w:val="FootnoteText"/>
      </w:pPr>
      <w:r>
        <w:rPr>
          <w:rStyle w:val="FootnoteCharacters"/>
        </w:rPr>
        <w:footnoteRef/>
      </w:r>
      <w:r>
        <w:rPr>
          <w:rtl/>
          <w:lang w:bidi="he-IL"/>
        </w:rPr>
        <w:tab/>
        <w:t xml:space="preserve"> מי שטבל כליו לדעת תשמיש אחד, ושוב שינה את דעתו להשתמש בהם לתשמיש אחר יכול לטבול אותם בשבת וי"ט, כיון שלא מתקן כלום, שאין צורך לטבילה זו. </w:t>
      </w:r>
      <w:r>
        <w:rPr>
          <w:b/>
          <w:bCs/>
          <w:u w:val="single"/>
          <w:rtl/>
          <w:lang w:bidi="he-IL"/>
        </w:rPr>
        <w:t>(יט.)</w:t>
      </w:r>
    </w:p>
  </w:footnote>
  <w:footnote w:id="150">
    <w:p w14:paraId="5D83B86A" w14:textId="77777777" w:rsidR="0009007A" w:rsidRDefault="00000000">
      <w:pPr>
        <w:pStyle w:val="FootnoteText"/>
        <w:rPr>
          <w:b/>
          <w:bCs/>
          <w:u w:val="single"/>
        </w:rPr>
      </w:pPr>
      <w:r>
        <w:rPr>
          <w:rStyle w:val="FootnoteCharacters"/>
        </w:rPr>
        <w:footnoteRef/>
      </w:r>
      <w:r>
        <w:rPr>
          <w:rtl/>
          <w:lang w:bidi="he-IL"/>
        </w:rPr>
        <w:tab/>
        <w:t xml:space="preserve"> מי שטבל כליו להשתמש בהם בחבורה אחת, ושוב שינה את דעתו להשתמש בהם בחבורה אחרת יכול לטבול אותם בשבת וי"ט, כיון שלא מתקן כלום, שאין צורך לטבילה זו. </w:t>
      </w:r>
      <w:r>
        <w:rPr>
          <w:b/>
          <w:bCs/>
          <w:u w:val="single"/>
          <w:rtl/>
          <w:lang w:bidi="he-IL"/>
        </w:rPr>
        <w:t>(יט.)</w:t>
      </w:r>
    </w:p>
  </w:footnote>
  <w:footnote w:id="151">
    <w:p w14:paraId="2146AC7A"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2F53825D" w14:textId="77777777" w:rsidR="0009007A" w:rsidRDefault="00000000">
      <w:pPr>
        <w:pStyle w:val="FootnoteText"/>
        <w:numPr>
          <w:ilvl w:val="0"/>
          <w:numId w:val="22"/>
        </w:numPr>
      </w:pPr>
      <w:r>
        <w:rPr>
          <w:rtl/>
          <w:lang w:bidi="he-IL"/>
        </w:rPr>
        <w:t>להשקות מים-</w:t>
      </w:r>
    </w:p>
    <w:p w14:paraId="31BCEC8C" w14:textId="77777777" w:rsidR="0009007A" w:rsidRDefault="00000000">
      <w:pPr>
        <w:pStyle w:val="FootnoteText"/>
        <w:numPr>
          <w:ilvl w:val="1"/>
          <w:numId w:val="22"/>
        </w:numPr>
      </w:pPr>
      <w:r>
        <w:rPr>
          <w:rtl/>
          <w:lang w:bidi="he-IL"/>
        </w:rPr>
        <w:t>בשבת-</w:t>
      </w:r>
    </w:p>
    <w:p w14:paraId="37CB8AA1" w14:textId="77777777" w:rsidR="0009007A" w:rsidRDefault="00000000">
      <w:pPr>
        <w:pStyle w:val="FootnoteText"/>
        <w:numPr>
          <w:ilvl w:val="2"/>
          <w:numId w:val="22"/>
        </w:numPr>
      </w:pPr>
      <w:r>
        <w:rPr>
          <w:rtl/>
          <w:lang w:bidi="he-IL"/>
        </w:rPr>
        <w:t>רבנן- מותר.</w:t>
      </w:r>
    </w:p>
    <w:p w14:paraId="16921F2D" w14:textId="77777777" w:rsidR="0009007A" w:rsidRDefault="00000000">
      <w:pPr>
        <w:pStyle w:val="FootnoteText"/>
        <w:numPr>
          <w:ilvl w:val="2"/>
          <w:numId w:val="22"/>
        </w:numPr>
      </w:pPr>
      <w:r>
        <w:rPr>
          <w:rtl/>
          <w:lang w:bidi="he-IL"/>
        </w:rPr>
        <w:t>רבי- אסור.</w:t>
      </w:r>
    </w:p>
    <w:p w14:paraId="7EC2CF45" w14:textId="77777777" w:rsidR="0009007A" w:rsidRDefault="00000000">
      <w:pPr>
        <w:pStyle w:val="FootnoteText"/>
        <w:numPr>
          <w:ilvl w:val="1"/>
          <w:numId w:val="22"/>
        </w:numPr>
      </w:pPr>
      <w:r>
        <w:rPr>
          <w:rtl/>
          <w:lang w:bidi="he-IL"/>
        </w:rPr>
        <w:t>בי"ט- מותר.</w:t>
      </w:r>
    </w:p>
    <w:p w14:paraId="129686AD" w14:textId="77777777" w:rsidR="0009007A" w:rsidRDefault="00000000">
      <w:pPr>
        <w:pStyle w:val="FootnoteText"/>
        <w:numPr>
          <w:ilvl w:val="0"/>
          <w:numId w:val="22"/>
        </w:numPr>
      </w:pPr>
      <w:r>
        <w:rPr>
          <w:rtl/>
          <w:lang w:bidi="he-IL"/>
        </w:rPr>
        <w:t>להטביל כלי עם ההשקה-</w:t>
      </w:r>
    </w:p>
    <w:p w14:paraId="33B95106" w14:textId="77777777" w:rsidR="0009007A" w:rsidRDefault="00000000">
      <w:pPr>
        <w:pStyle w:val="FootnoteText"/>
        <w:numPr>
          <w:ilvl w:val="1"/>
          <w:numId w:val="22"/>
        </w:numPr>
      </w:pPr>
      <w:r>
        <w:rPr>
          <w:rtl/>
          <w:lang w:bidi="he-IL"/>
        </w:rPr>
        <w:t>בשבת- אסור.</w:t>
      </w:r>
    </w:p>
    <w:p w14:paraId="6766132B" w14:textId="77777777" w:rsidR="0009007A" w:rsidRDefault="00000000">
      <w:pPr>
        <w:pStyle w:val="FootnoteText"/>
        <w:numPr>
          <w:ilvl w:val="1"/>
          <w:numId w:val="22"/>
        </w:numPr>
      </w:pPr>
      <w:r>
        <w:rPr>
          <w:rtl/>
          <w:lang w:bidi="he-IL"/>
        </w:rPr>
        <w:t>בי"ט-</w:t>
      </w:r>
    </w:p>
    <w:p w14:paraId="51FA371B" w14:textId="77777777" w:rsidR="0009007A" w:rsidRDefault="00000000">
      <w:pPr>
        <w:pStyle w:val="FootnoteText"/>
        <w:numPr>
          <w:ilvl w:val="2"/>
          <w:numId w:val="22"/>
        </w:numPr>
      </w:pPr>
      <w:r>
        <w:rPr>
          <w:rtl/>
          <w:lang w:bidi="he-IL"/>
        </w:rPr>
        <w:t>רבנן- מותר.</w:t>
      </w:r>
    </w:p>
    <w:p w14:paraId="0720E286" w14:textId="77777777" w:rsidR="0009007A" w:rsidRDefault="00000000">
      <w:pPr>
        <w:pStyle w:val="FootnoteText"/>
        <w:numPr>
          <w:ilvl w:val="2"/>
          <w:numId w:val="22"/>
        </w:numPr>
      </w:pPr>
      <w:r>
        <w:rPr>
          <w:rtl/>
          <w:lang w:bidi="he-IL"/>
        </w:rPr>
        <w:t>רבי- אסור.</w:t>
      </w:r>
    </w:p>
    <w:p w14:paraId="139EEEBF" w14:textId="77777777" w:rsidR="0009007A" w:rsidRDefault="00000000">
      <w:pPr>
        <w:pStyle w:val="FootnoteText"/>
        <w:numPr>
          <w:ilvl w:val="0"/>
          <w:numId w:val="22"/>
        </w:numPr>
      </w:pPr>
      <w:r>
        <w:rPr>
          <w:rtl/>
          <w:lang w:bidi="he-IL"/>
        </w:rPr>
        <w:t>מותר להטביל בטבילה שלא צריכה, כמו אם טובל לתשמיש אחר או לתשמיש בחבורה אחרת.</w:t>
      </w:r>
    </w:p>
  </w:footnote>
  <w:footnote w:id="152">
    <w:p w14:paraId="5339D47A"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ד:</w:t>
      </w:r>
    </w:p>
  </w:footnote>
  <w:footnote w:id="153">
    <w:p w14:paraId="6C9923E9" w14:textId="77777777" w:rsidR="0009007A" w:rsidRDefault="00000000">
      <w:pPr>
        <w:pStyle w:val="FootnoteText"/>
        <w:rPr>
          <w:lang w:bidi="he-IL"/>
        </w:rPr>
      </w:pPr>
      <w:r>
        <w:rPr>
          <w:rStyle w:val="FootnoteCharacters"/>
        </w:rPr>
        <w:footnoteRef/>
      </w:r>
      <w:r>
        <w:rPr>
          <w:rtl/>
          <w:lang w:bidi="he-IL"/>
        </w:rPr>
        <w:tab/>
        <w:t xml:space="preserve"> </w:t>
      </w:r>
      <w:r>
        <w:rPr>
          <w:b/>
          <w:bCs/>
          <w:rtl/>
          <w:lang w:bidi="he-IL"/>
        </w:rPr>
        <w:t>הקדמה:</w:t>
      </w:r>
    </w:p>
    <w:p w14:paraId="4A038872" w14:textId="77777777" w:rsidR="0009007A" w:rsidRDefault="00000000">
      <w:pPr>
        <w:pStyle w:val="FootnoteText"/>
        <w:rPr>
          <w:lang w:bidi="he-IL"/>
        </w:rPr>
      </w:pPr>
      <w:r>
        <w:rPr>
          <w:rtl/>
          <w:lang w:bidi="he-IL"/>
        </w:rPr>
        <w:tab/>
        <w:t>משנה מבאר דינים של הקרבת קרבנות ביום טוב. יש שני דינים שצריכים לבאר:</w:t>
      </w:r>
    </w:p>
    <w:p w14:paraId="04965F59" w14:textId="77777777" w:rsidR="0009007A" w:rsidRDefault="00000000">
      <w:pPr>
        <w:pStyle w:val="FootnoteText"/>
        <w:rPr>
          <w:lang w:bidi="he-IL"/>
        </w:rPr>
      </w:pPr>
      <w:r>
        <w:rPr>
          <w:rtl/>
          <w:lang w:bidi="he-IL"/>
        </w:rPr>
        <w:tab/>
        <w:t>צריכים לבאר איזה קרבנות מקריבים. בזה, יש שני פסוקים. פסוק ראשון אומר, "וחגותם... לה'," ופסוק שני אומר, "לכם." מפסוק ראשון משמע שיכולים להביא קרבנות, ומפסוק שני משמע שלא יכולים להביא קרבנות. מצאנו בזה שלש שיטות:</w:t>
      </w:r>
    </w:p>
    <w:p w14:paraId="17D49C52" w14:textId="77777777" w:rsidR="0009007A" w:rsidRDefault="00000000">
      <w:pPr>
        <w:pStyle w:val="FootnoteText"/>
        <w:rPr>
          <w:lang w:bidi="he-IL"/>
        </w:rPr>
      </w:pPr>
      <w:r>
        <w:rPr>
          <w:rtl/>
          <w:lang w:bidi="he-IL"/>
        </w:rPr>
        <w:tab/>
        <w:t xml:space="preserve">בית שמאי סובר שרק יכולים להביא שני מיני קרבנות. יכול להביא קרבנות שקבעוים זמנם (כמו תמיד ומוסף). פשוט שמקריב מוסף בי"ט, שהוא פסוק מפורש, ודורשים שמקריב תמיד בי"ט, כיון שכ', "עולת שבת בשבתו על עולת התמיד." גם יכול להביא שלמי חגיגה (שלמי חגיגה הם קרבנות שלמים שחייב אדם להקריב ביום ראשון של כל רגל), כיון שכ', "וחגותם... לה'." אבל, שאר קרבנות לא נקרבים בי"ט, כיון שכ', "לכם." </w:t>
      </w:r>
    </w:p>
    <w:p w14:paraId="527DB81A" w14:textId="77777777" w:rsidR="0009007A" w:rsidRDefault="00000000">
      <w:pPr>
        <w:pStyle w:val="FootnoteText"/>
        <w:rPr>
          <w:lang w:bidi="he-IL"/>
        </w:rPr>
      </w:pPr>
      <w:r>
        <w:rPr>
          <w:rtl/>
          <w:lang w:bidi="he-IL"/>
        </w:rPr>
        <w:tab/>
        <w:t>בית הלל לפי שיטה אחד מוסיפים שיכולים להקריב עולת ראייה, כיון שאף הוא קבוע זמנו (ואף שיש לו ימים חוץ מי"ט להקריב אותו, אין לו הרבה ימים).</w:t>
      </w:r>
    </w:p>
    <w:p w14:paraId="3C0C8DC5" w14:textId="77777777" w:rsidR="0009007A" w:rsidRDefault="00000000">
      <w:pPr>
        <w:pStyle w:val="FootnoteText"/>
        <w:rPr>
          <w:lang w:bidi="he-IL"/>
        </w:rPr>
      </w:pPr>
      <w:r>
        <w:rPr>
          <w:rtl/>
          <w:lang w:bidi="he-IL"/>
        </w:rPr>
        <w:tab/>
        <w:t>בית הלל לפי שיטה אחרת סובר שכל קרבן מותר להקריב בי"ט, ואפילו נדרים ונדבות. מרבה את כולם מ"לה'." (מ"לכם" ממעט מלאכה לצורך נכרים ובהמות.)</w:t>
      </w:r>
    </w:p>
    <w:p w14:paraId="48A78D9E" w14:textId="77777777" w:rsidR="0009007A" w:rsidRDefault="00000000">
      <w:pPr>
        <w:pStyle w:val="FootnoteText"/>
        <w:rPr>
          <w:lang w:bidi="he-IL"/>
        </w:rPr>
      </w:pPr>
      <w:r>
        <w:rPr>
          <w:rtl/>
          <w:lang w:bidi="he-IL"/>
        </w:rPr>
        <w:tab/>
        <w:t>ואם תאמר למה לא יוכל להקריב נדרים ונדבות, כיון שמקצת הולך לבעל, ונמצא שהוא לצורך אכילתו (ומותר אף שאין כולו לצורך אכילתו, שאי אפשר לעשות המלאכה רק למה שהוא לאכילתו). תי' גמ' שאינו בכלל לצורכו, כיון שמשלחן גבוה זוכה.</w:t>
      </w:r>
    </w:p>
    <w:p w14:paraId="5EF0B213" w14:textId="77777777" w:rsidR="0009007A" w:rsidRDefault="00000000">
      <w:pPr>
        <w:pStyle w:val="FootnoteText"/>
        <w:rPr>
          <w:lang w:bidi="he-IL"/>
        </w:rPr>
      </w:pPr>
      <w:r>
        <w:rPr>
          <w:rtl/>
          <w:lang w:bidi="he-IL"/>
        </w:rPr>
        <w:tab/>
        <w:t>אם עבר ושחט מה שלא היה לו להקריב, זורק את הדם, כדי להתיר בשר (רבא) או כדי להתיר אימורים להקרב בערב (רבה).</w:t>
      </w:r>
    </w:p>
    <w:p w14:paraId="52EC6E46" w14:textId="77777777" w:rsidR="0009007A" w:rsidRDefault="00000000">
      <w:pPr>
        <w:pStyle w:val="FootnoteText"/>
        <w:rPr>
          <w:lang w:bidi="he-IL"/>
        </w:rPr>
      </w:pPr>
      <w:r>
        <w:rPr>
          <w:rtl/>
          <w:lang w:bidi="he-IL"/>
        </w:rPr>
        <w:tab/>
        <w:t xml:space="preserve">צריכים לבאר איך מקריבים את הקרבנות. עושים כל מעשי הקרבנות כבחול, חוץ מסמיכה, שבו יש מחלקת. בית שמאי אומרים שלא סומכים ובית הלל אומרים שסומכים. אבל, מחלקת זה לא תלוי בדיני י"ט. כולי עלמא מודו שבדרך כלל, אסור לעשות מעשה סמיכה בי"ט, כיון שמשתמש בבעל י חיים (שהוא בכלל רוכב על סוס, שאסור בשבת וי"ט). אבל, אם צריך לכך לקרבן, מותר. שיטה אחת בגמ' מפרש שחולקים ב"ש וב"ה אם יש צורך לסמוך שלמי חובה (ואז לב"ה סומך בי"ט, כיון שצריך לסמוך תכף לשחיטה, ולב"ש לא סומך בכלל), שב"ה לומדים מצד השווה מעולת חובה ושלמי נדבה, ובית שמאי לא דורשים. שיטה אחרת בגמ' מפרש שחולקים ב"ש וב"ה אם יש צורך לסמוך תכף לפני שחיטה (ואז לב"ה סומך בי"ט, כיון שצריך לסמוך תכף לשחיטה, ולב"ש סומך בערב י"ט). </w:t>
      </w:r>
    </w:p>
    <w:p w14:paraId="534F586F" w14:textId="77777777" w:rsidR="0009007A" w:rsidRDefault="00000000">
      <w:pPr>
        <w:pStyle w:val="FootnoteText"/>
        <w:ind w:firstLine="0"/>
      </w:pPr>
      <w:r>
        <w:rPr>
          <w:rtl/>
          <w:lang w:bidi="he-IL"/>
        </w:rPr>
        <w:t>(גמ' קצת משמע (גבי מעשה בהלל) שיש איזה יחס בין שתי המחלוקות, אבל היה נראה שלא שייכים כלל זה לזה.)</w:t>
      </w:r>
    </w:p>
  </w:footnote>
  <w:footnote w:id="154">
    <w:p w14:paraId="26006E78" w14:textId="77777777" w:rsidR="0009007A" w:rsidRDefault="00000000">
      <w:pPr>
        <w:pStyle w:val="FootnoteText"/>
      </w:pPr>
      <w:r>
        <w:rPr>
          <w:rStyle w:val="FootnoteCharacters"/>
        </w:rPr>
        <w:footnoteRef/>
      </w:r>
      <w:r>
        <w:rPr>
          <w:rtl/>
          <w:lang w:bidi="he-IL"/>
        </w:rPr>
        <w:tab/>
        <w:t xml:space="preserve"> מגמ' יוצא שרק מיתר הקרבת שלמי חגיגה. אז, בשלמים זה קאי, ואומר שמקריבים אותו, אבל לא סומכים. ההיתר להקריב שלמי חגיגה כתוב בפי', שכ', "וחגותם... לה'."</w:t>
      </w:r>
    </w:p>
  </w:footnote>
  <w:footnote w:id="155">
    <w:p w14:paraId="799ACAC1" w14:textId="77777777" w:rsidR="0009007A" w:rsidRDefault="00000000">
      <w:pPr>
        <w:pStyle w:val="FootnoteText"/>
      </w:pPr>
      <w:r>
        <w:rPr>
          <w:rStyle w:val="FootnoteCharacters"/>
        </w:rPr>
        <w:footnoteRef/>
      </w:r>
      <w:r>
        <w:rPr>
          <w:rtl/>
          <w:lang w:bidi="he-IL"/>
        </w:rPr>
        <w:tab/>
        <w:t xml:space="preserve"> בהרבה קרבנות, הבעל סומך עליו מחיים. אבל, בקרבן זה, בעל לא סומך עליו, כמו שנבאר.</w:t>
      </w:r>
    </w:p>
  </w:footnote>
  <w:footnote w:id="156">
    <w:p w14:paraId="42615429" w14:textId="77777777" w:rsidR="0009007A" w:rsidRDefault="00000000">
      <w:pPr>
        <w:pStyle w:val="FootnoteText"/>
        <w:rPr>
          <w:lang w:bidi="he-IL"/>
        </w:rPr>
      </w:pPr>
      <w:r>
        <w:rPr>
          <w:rStyle w:val="FootnoteCharacters"/>
        </w:rPr>
        <w:footnoteRef/>
      </w:r>
      <w:r>
        <w:rPr>
          <w:rtl/>
          <w:lang w:bidi="he-IL"/>
        </w:rPr>
        <w:tab/>
        <w:t xml:space="preserve"> גמ' מפרש את זה בשני דרכים:</w:t>
      </w:r>
    </w:p>
    <w:p w14:paraId="2AE68116" w14:textId="77777777" w:rsidR="0009007A" w:rsidRDefault="00000000">
      <w:pPr>
        <w:pStyle w:val="FootnoteText"/>
        <w:numPr>
          <w:ilvl w:val="0"/>
          <w:numId w:val="23"/>
        </w:numPr>
      </w:pPr>
      <w:r>
        <w:rPr>
          <w:rtl/>
          <w:lang w:bidi="he-IL"/>
        </w:rPr>
        <w:t>לא סומך עליו כלל. סוברים בית שמאי שאין חיוב לסמוך שלמי חובה.</w:t>
      </w:r>
    </w:p>
    <w:p w14:paraId="67F2FAD0" w14:textId="77777777" w:rsidR="0009007A" w:rsidRDefault="00000000">
      <w:pPr>
        <w:pStyle w:val="FootnoteText"/>
        <w:numPr>
          <w:ilvl w:val="0"/>
          <w:numId w:val="23"/>
        </w:numPr>
      </w:pPr>
      <w:r>
        <w:rPr>
          <w:rtl/>
          <w:lang w:bidi="he-IL"/>
        </w:rPr>
        <w:t>לא סומך עליו בי"ט, אלא לפני י"ט. סוברים בית שמאי שאין חיוב לסמוך תכף לפני שחיטה.</w:t>
      </w:r>
    </w:p>
  </w:footnote>
  <w:footnote w:id="157">
    <w:p w14:paraId="6F8CE4E3" w14:textId="77777777" w:rsidR="0009007A" w:rsidRDefault="00000000">
      <w:pPr>
        <w:pStyle w:val="FootnoteText"/>
      </w:pPr>
      <w:r>
        <w:rPr>
          <w:rStyle w:val="FootnoteCharacters"/>
        </w:rPr>
        <w:footnoteRef/>
      </w:r>
      <w:r>
        <w:rPr>
          <w:rtl/>
          <w:lang w:bidi="he-IL"/>
        </w:rPr>
        <w:tab/>
        <w:t xml:space="preserve"> אין מקריבים שום עולת יחיד, לא חגיגה ולא עולת נדבה. דורש כן ממש"כ, "לכם." </w:t>
      </w:r>
    </w:p>
  </w:footnote>
  <w:footnote w:id="158">
    <w:p w14:paraId="0B35C4D1" w14:textId="77777777" w:rsidR="0009007A" w:rsidRDefault="00000000">
      <w:pPr>
        <w:pStyle w:val="FootnoteText"/>
      </w:pPr>
      <w:r>
        <w:rPr>
          <w:rStyle w:val="FootnoteCharacters"/>
        </w:rPr>
        <w:footnoteRef/>
      </w:r>
      <w:r>
        <w:rPr>
          <w:rtl/>
          <w:lang w:bidi="he-IL"/>
        </w:rPr>
        <w:tab/>
        <w:t xml:space="preserve"> חולקים בגמ' אם מתיר הקרבת כל שלמים או רק שלמי חובה. אם מתיר כל שלמים, דורש כן ממש"כ, "לה'." אם רק מתיר שלמי חובה, אז מקור להיתירו הוא, כמו שסובר בית שמאי, כיון שכ', "וחגותם... לה'."</w:t>
      </w:r>
    </w:p>
  </w:footnote>
  <w:footnote w:id="159">
    <w:p w14:paraId="28CC2C37" w14:textId="77777777" w:rsidR="0009007A" w:rsidRDefault="00000000">
      <w:pPr>
        <w:pStyle w:val="FootnoteText"/>
      </w:pPr>
      <w:r>
        <w:rPr>
          <w:rStyle w:val="FootnoteCharacters"/>
        </w:rPr>
        <w:footnoteRef/>
      </w:r>
      <w:r>
        <w:rPr>
          <w:rtl/>
          <w:lang w:bidi="he-IL"/>
        </w:rPr>
        <w:tab/>
        <w:t xml:space="preserve"> לכאו', רק מתיר עולות ראייה. (עיין בהקדמה.)</w:t>
      </w:r>
    </w:p>
  </w:footnote>
  <w:footnote w:id="160">
    <w:p w14:paraId="3BC90CDA" w14:textId="77777777" w:rsidR="0009007A" w:rsidRDefault="00000000">
      <w:pPr>
        <w:pStyle w:val="FootnoteText"/>
      </w:pPr>
      <w:r>
        <w:rPr>
          <w:rStyle w:val="FootnoteCharacters"/>
        </w:rPr>
        <w:footnoteRef/>
      </w:r>
      <w:r>
        <w:rPr>
          <w:rtl/>
          <w:lang w:bidi="he-IL"/>
        </w:rPr>
        <w:tab/>
        <w:t xml:space="preserve"> בין על השלמים בין על העולות, בשבשניהם יש חיוב סמיכה וצריך להיות תכף קודם שחיטה.</w:t>
      </w:r>
    </w:p>
  </w:footnote>
  <w:footnote w:id="161">
    <w:p w14:paraId="2AFEDCFD"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דינים היוצאים מן המשנה:</w:t>
      </w:r>
    </w:p>
    <w:p w14:paraId="0E70AEEE" w14:textId="77777777" w:rsidR="0009007A" w:rsidRDefault="00000000">
      <w:pPr>
        <w:pStyle w:val="FootnoteText"/>
        <w:numPr>
          <w:ilvl w:val="0"/>
          <w:numId w:val="24"/>
        </w:numPr>
      </w:pPr>
      <w:r>
        <w:rPr>
          <w:rtl/>
          <w:lang w:bidi="he-IL"/>
        </w:rPr>
        <w:t xml:space="preserve">הקרבה- </w:t>
      </w:r>
    </w:p>
    <w:p w14:paraId="13F38BD9" w14:textId="77777777" w:rsidR="0009007A" w:rsidRDefault="00000000">
      <w:pPr>
        <w:pStyle w:val="FootnoteText"/>
        <w:numPr>
          <w:ilvl w:val="1"/>
          <w:numId w:val="24"/>
        </w:numPr>
      </w:pPr>
      <w:r>
        <w:rPr>
          <w:rtl/>
          <w:lang w:bidi="he-IL"/>
        </w:rPr>
        <w:t xml:space="preserve">עולה- </w:t>
      </w:r>
    </w:p>
    <w:p w14:paraId="0148BDD5" w14:textId="77777777" w:rsidR="0009007A" w:rsidRDefault="00000000">
      <w:pPr>
        <w:pStyle w:val="FootnoteText"/>
        <w:numPr>
          <w:ilvl w:val="2"/>
          <w:numId w:val="24"/>
        </w:numPr>
      </w:pPr>
      <w:r>
        <w:rPr>
          <w:rtl/>
          <w:lang w:bidi="he-IL"/>
        </w:rPr>
        <w:t xml:space="preserve">בית שמאי- </w:t>
      </w:r>
    </w:p>
    <w:p w14:paraId="5EA7381E" w14:textId="77777777" w:rsidR="0009007A" w:rsidRDefault="00000000">
      <w:pPr>
        <w:pStyle w:val="FootnoteText"/>
        <w:numPr>
          <w:ilvl w:val="3"/>
          <w:numId w:val="24"/>
        </w:numPr>
      </w:pPr>
      <w:r>
        <w:rPr>
          <w:rtl/>
          <w:lang w:bidi="he-IL"/>
        </w:rPr>
        <w:t>תמוד ומוסף- מותר.</w:t>
      </w:r>
    </w:p>
    <w:p w14:paraId="5020C964" w14:textId="77777777" w:rsidR="0009007A" w:rsidRDefault="00000000">
      <w:pPr>
        <w:pStyle w:val="FootnoteText"/>
        <w:numPr>
          <w:ilvl w:val="3"/>
          <w:numId w:val="24"/>
        </w:numPr>
      </w:pPr>
      <w:r>
        <w:rPr>
          <w:rtl/>
          <w:lang w:bidi="he-IL"/>
        </w:rPr>
        <w:t>שאר עולות- אסור.</w:t>
      </w:r>
    </w:p>
    <w:p w14:paraId="14DAD540" w14:textId="77777777" w:rsidR="0009007A" w:rsidRDefault="00000000">
      <w:pPr>
        <w:pStyle w:val="FootnoteText"/>
        <w:numPr>
          <w:ilvl w:val="2"/>
          <w:numId w:val="24"/>
        </w:numPr>
      </w:pPr>
      <w:r>
        <w:rPr>
          <w:rtl/>
          <w:lang w:bidi="he-IL"/>
        </w:rPr>
        <w:t>בית הלל-</w:t>
      </w:r>
    </w:p>
    <w:p w14:paraId="2A33BC83" w14:textId="77777777" w:rsidR="0009007A" w:rsidRDefault="00000000">
      <w:pPr>
        <w:pStyle w:val="FootnoteText"/>
        <w:numPr>
          <w:ilvl w:val="3"/>
          <w:numId w:val="24"/>
        </w:numPr>
      </w:pPr>
      <w:r>
        <w:rPr>
          <w:rtl/>
          <w:lang w:bidi="he-IL"/>
        </w:rPr>
        <w:t>נדרים ונדבות- אסור.</w:t>
      </w:r>
    </w:p>
    <w:p w14:paraId="1DD3B347" w14:textId="77777777" w:rsidR="0009007A" w:rsidRDefault="00000000">
      <w:pPr>
        <w:pStyle w:val="FootnoteText"/>
        <w:numPr>
          <w:ilvl w:val="3"/>
          <w:numId w:val="24"/>
        </w:numPr>
      </w:pPr>
      <w:r>
        <w:rPr>
          <w:rtl/>
          <w:lang w:bidi="he-IL"/>
        </w:rPr>
        <w:t>שאר עולות (תמיד, מוסף, ועולות ראייה)- מותר.</w:t>
      </w:r>
      <w:r>
        <w:rPr>
          <w:rtl/>
          <w:lang w:bidi="he-IL"/>
        </w:rPr>
        <w:tab/>
      </w:r>
    </w:p>
    <w:p w14:paraId="5D915B6C" w14:textId="77777777" w:rsidR="0009007A" w:rsidRDefault="00000000">
      <w:pPr>
        <w:pStyle w:val="FootnoteText"/>
        <w:numPr>
          <w:ilvl w:val="1"/>
          <w:numId w:val="24"/>
        </w:numPr>
      </w:pPr>
      <w:r>
        <w:rPr>
          <w:rtl/>
          <w:lang w:bidi="he-IL"/>
        </w:rPr>
        <w:t>שלמים-</w:t>
      </w:r>
    </w:p>
    <w:p w14:paraId="2C6D13A7" w14:textId="77777777" w:rsidR="0009007A" w:rsidRDefault="00000000">
      <w:pPr>
        <w:pStyle w:val="FootnoteText"/>
        <w:numPr>
          <w:ilvl w:val="2"/>
          <w:numId w:val="24"/>
        </w:numPr>
      </w:pPr>
      <w:r>
        <w:rPr>
          <w:rtl/>
          <w:lang w:bidi="he-IL"/>
        </w:rPr>
        <w:t>שלמי חגיגה- מותר.</w:t>
      </w:r>
    </w:p>
    <w:p w14:paraId="6F97CA34" w14:textId="77777777" w:rsidR="0009007A" w:rsidRDefault="00000000">
      <w:pPr>
        <w:pStyle w:val="FootnoteText"/>
        <w:numPr>
          <w:ilvl w:val="2"/>
          <w:numId w:val="24"/>
        </w:numPr>
      </w:pPr>
      <w:r>
        <w:rPr>
          <w:rtl/>
          <w:lang w:bidi="he-IL"/>
        </w:rPr>
        <w:t>שלמי נדר ונדבה-</w:t>
      </w:r>
    </w:p>
    <w:p w14:paraId="2D35133F" w14:textId="77777777" w:rsidR="0009007A" w:rsidRDefault="00000000">
      <w:pPr>
        <w:pStyle w:val="FootnoteText"/>
        <w:numPr>
          <w:ilvl w:val="3"/>
          <w:numId w:val="24"/>
        </w:numPr>
      </w:pPr>
      <w:r>
        <w:rPr>
          <w:rtl/>
          <w:lang w:bidi="he-IL"/>
        </w:rPr>
        <w:t>בית שמאי- אסור.</w:t>
      </w:r>
    </w:p>
    <w:p w14:paraId="68301028" w14:textId="77777777" w:rsidR="0009007A" w:rsidRDefault="00000000">
      <w:pPr>
        <w:pStyle w:val="FootnoteText"/>
        <w:numPr>
          <w:ilvl w:val="3"/>
          <w:numId w:val="24"/>
        </w:numPr>
      </w:pPr>
      <w:r>
        <w:rPr>
          <w:rtl/>
          <w:lang w:bidi="he-IL"/>
        </w:rPr>
        <w:t>בית הלל- חולקים אם ב"ה מתיר.</w:t>
      </w:r>
    </w:p>
    <w:p w14:paraId="16E8B82F" w14:textId="77777777" w:rsidR="0009007A" w:rsidRDefault="00000000">
      <w:pPr>
        <w:pStyle w:val="FootnoteText"/>
        <w:numPr>
          <w:ilvl w:val="0"/>
          <w:numId w:val="24"/>
        </w:numPr>
      </w:pPr>
      <w:r>
        <w:rPr>
          <w:rtl/>
          <w:lang w:bidi="he-IL"/>
        </w:rPr>
        <w:t>סמיכה-</w:t>
      </w:r>
    </w:p>
    <w:p w14:paraId="78EE9AE5" w14:textId="77777777" w:rsidR="0009007A" w:rsidRDefault="00000000">
      <w:pPr>
        <w:pStyle w:val="FootnoteText"/>
        <w:numPr>
          <w:ilvl w:val="1"/>
          <w:numId w:val="24"/>
        </w:numPr>
      </w:pPr>
      <w:r>
        <w:rPr>
          <w:rtl/>
          <w:lang w:bidi="he-IL"/>
        </w:rPr>
        <w:t>בי"ט:</w:t>
      </w:r>
    </w:p>
    <w:p w14:paraId="74B92964" w14:textId="77777777" w:rsidR="0009007A" w:rsidRDefault="00000000">
      <w:pPr>
        <w:pStyle w:val="FootnoteText"/>
        <w:numPr>
          <w:ilvl w:val="2"/>
          <w:numId w:val="24"/>
        </w:numPr>
      </w:pPr>
      <w:r>
        <w:rPr>
          <w:rtl/>
          <w:lang w:bidi="he-IL"/>
        </w:rPr>
        <w:t>בית שמאי- אסור.</w:t>
      </w:r>
    </w:p>
    <w:p w14:paraId="7E75D83C" w14:textId="77777777" w:rsidR="0009007A" w:rsidRDefault="00000000">
      <w:pPr>
        <w:pStyle w:val="FootnoteText"/>
        <w:numPr>
          <w:ilvl w:val="2"/>
          <w:numId w:val="24"/>
        </w:numPr>
      </w:pPr>
      <w:r>
        <w:rPr>
          <w:rtl/>
          <w:lang w:bidi="he-IL"/>
        </w:rPr>
        <w:t>ב"ה- מותר.</w:t>
      </w:r>
    </w:p>
    <w:p w14:paraId="09F58031" w14:textId="77777777" w:rsidR="0009007A" w:rsidRDefault="00000000">
      <w:pPr>
        <w:pStyle w:val="FootnoteText"/>
        <w:numPr>
          <w:ilvl w:val="1"/>
          <w:numId w:val="24"/>
        </w:numPr>
      </w:pPr>
      <w:r>
        <w:rPr>
          <w:rtl/>
          <w:lang w:bidi="he-IL"/>
        </w:rPr>
        <w:t>קודם י"ט:</w:t>
      </w:r>
    </w:p>
    <w:p w14:paraId="2A439E29" w14:textId="77777777" w:rsidR="0009007A" w:rsidRDefault="00000000">
      <w:pPr>
        <w:pStyle w:val="FootnoteText"/>
        <w:numPr>
          <w:ilvl w:val="2"/>
          <w:numId w:val="24"/>
        </w:numPr>
      </w:pPr>
      <w:r>
        <w:rPr>
          <w:rtl/>
          <w:lang w:bidi="he-IL"/>
        </w:rPr>
        <w:t>ב"ה- יחכה עד סמוך לשחיטה ויסמך.</w:t>
      </w:r>
    </w:p>
    <w:p w14:paraId="7F1753DF" w14:textId="77777777" w:rsidR="0009007A" w:rsidRDefault="00000000">
      <w:pPr>
        <w:pStyle w:val="FootnoteText"/>
        <w:numPr>
          <w:ilvl w:val="2"/>
          <w:numId w:val="24"/>
        </w:numPr>
      </w:pPr>
      <w:r>
        <w:rPr>
          <w:rtl/>
          <w:lang w:bidi="he-IL"/>
        </w:rPr>
        <w:t>ב"ש- חולקים אם לב"ש צריך.</w:t>
      </w:r>
    </w:p>
  </w:footnote>
  <w:footnote w:id="162">
    <w:p w14:paraId="3CF98F11" w14:textId="77777777" w:rsidR="0009007A" w:rsidRDefault="00000000">
      <w:pPr>
        <w:pStyle w:val="FootnoteText"/>
        <w:rPr>
          <w:b/>
          <w:bCs/>
        </w:rPr>
      </w:pPr>
      <w:r>
        <w:rPr>
          <w:rStyle w:val="FootnoteCharacters"/>
        </w:rPr>
        <w:footnoteRef/>
      </w:r>
      <w:r>
        <w:rPr>
          <w:rtl/>
          <w:lang w:bidi="he-IL"/>
        </w:rPr>
        <w:tab/>
        <w:t xml:space="preserve"> </w:t>
      </w:r>
      <w:r>
        <w:rPr>
          <w:b/>
          <w:bCs/>
          <w:rtl/>
          <w:lang w:bidi="he-IL"/>
        </w:rPr>
        <w:t>משנה ה:</w:t>
      </w:r>
    </w:p>
  </w:footnote>
  <w:footnote w:id="163">
    <w:p w14:paraId="4CF25F29" w14:textId="77777777" w:rsidR="0009007A" w:rsidRDefault="00000000">
      <w:pPr>
        <w:pStyle w:val="FootnoteText"/>
        <w:rPr>
          <w:b/>
          <w:bCs/>
          <w:lang w:bidi="he-IL"/>
        </w:rPr>
      </w:pPr>
      <w:r>
        <w:rPr>
          <w:rStyle w:val="FootnoteCharacters"/>
        </w:rPr>
        <w:footnoteRef/>
      </w:r>
      <w:r>
        <w:rPr>
          <w:rtl/>
          <w:lang w:bidi="he-IL"/>
        </w:rPr>
        <w:tab/>
        <w:t xml:space="preserve"> </w:t>
      </w:r>
      <w:r>
        <w:rPr>
          <w:b/>
          <w:bCs/>
          <w:rtl/>
          <w:lang w:bidi="he-IL"/>
        </w:rPr>
        <w:t>הקדמה:</w:t>
      </w:r>
    </w:p>
    <w:p w14:paraId="09397586" w14:textId="77777777" w:rsidR="0009007A" w:rsidRDefault="00000000">
      <w:pPr>
        <w:pStyle w:val="FootnoteText"/>
      </w:pPr>
      <w:r>
        <w:rPr>
          <w:rtl/>
          <w:lang w:bidi="he-IL"/>
        </w:rPr>
        <w:tab/>
        <w:t>משנה זה מבאר איזה מיני הנאה מותרים בי"ט, וחוזר על מחלקת בין ב"ה ב"ש שכבר הזכיר. שני הדברים שצריכים לדעת למשנה זה הם שחולקים ב"ה וב"ש אם אומרים שמתוך שהותרה מלאכה לצורך הותרה גם שלא לצורך ושאף ב"ה רק מתיר אם עושה אותו לצורך הנאה השווה בכל.</w:t>
      </w:r>
    </w:p>
  </w:footnote>
  <w:footnote w:id="164">
    <w:p w14:paraId="7C5E500C" w14:textId="77777777" w:rsidR="0009007A" w:rsidRDefault="00000000">
      <w:pPr>
        <w:pStyle w:val="FootnoteText"/>
        <w:rPr>
          <w:lang w:bidi="he-IL"/>
        </w:rPr>
      </w:pPr>
      <w:r>
        <w:rPr>
          <w:rStyle w:val="FootnoteCharacters"/>
        </w:rPr>
        <w:footnoteRef/>
      </w:r>
      <w:r>
        <w:rPr>
          <w:rtl/>
          <w:lang w:bidi="he-IL"/>
        </w:rPr>
        <w:tab/>
        <w:t xml:space="preserve">ראשונים מבארים שאם רוצה לרחוץ כל גופו, לא מתירים בית הלל, שאין זה שווה לכל נפש. </w:t>
      </w:r>
    </w:p>
  </w:footnote>
  <w:footnote w:id="165">
    <w:p w14:paraId="4931C94E" w14:textId="77777777" w:rsidR="0009007A" w:rsidRDefault="00000000">
      <w:pPr>
        <w:pStyle w:val="FootnoteText"/>
      </w:pPr>
      <w:r>
        <w:rPr>
          <w:rStyle w:val="FootnoteCharacters"/>
        </w:rPr>
        <w:footnoteRef/>
      </w:r>
      <w:r>
        <w:rPr>
          <w:rtl/>
          <w:lang w:bidi="he-IL"/>
        </w:rPr>
        <w:tab/>
        <w:t xml:space="preserve"> לכאו', זה לשיטתם, שלעיל אמרו שלא יוציא אדם חפץ שלא לאכילה, ולא אומרים שמתוך שהותרה לצורך אכילה הותרה לצורך אחר. </w:t>
      </w:r>
    </w:p>
  </w:footnote>
  <w:footnote w:id="166">
    <w:p w14:paraId="16049360" w14:textId="77777777" w:rsidR="0009007A" w:rsidRDefault="00000000">
      <w:pPr>
        <w:pStyle w:val="FootnoteText"/>
      </w:pPr>
      <w:r>
        <w:rPr>
          <w:rStyle w:val="FootnoteCharacters"/>
        </w:rPr>
        <w:footnoteRef/>
      </w:r>
      <w:r>
        <w:rPr>
          <w:rtl/>
          <w:lang w:bidi="he-IL"/>
        </w:rPr>
        <w:tab/>
        <w:t xml:space="preserve"> בית הלל סוברים שמתוך שהותרה מלאכת בישול (שהוא המלאכה שעושה כאן) לצורך אוכל נפש, גם הותרה לשאר צורכים. כיון שזה שווה לכל נפש, מותר לעשות אותו בי"ט.</w:t>
      </w:r>
    </w:p>
  </w:footnote>
  <w:footnote w:id="167">
    <w:p w14:paraId="48967BC7" w14:textId="77777777" w:rsidR="0009007A" w:rsidRDefault="00000000">
      <w:pPr>
        <w:pStyle w:val="FootnoteText"/>
      </w:pPr>
      <w:r>
        <w:rPr>
          <w:rStyle w:val="FootnoteCharacters"/>
        </w:rPr>
        <w:footnoteRef/>
      </w:r>
      <w:r>
        <w:rPr>
          <w:rtl/>
          <w:lang w:bidi="he-IL"/>
        </w:rPr>
        <w:tab/>
        <w:t xml:space="preserve"> גמ' מפרש </w:t>
      </w:r>
      <w:r>
        <w:rPr>
          <w:b/>
          <w:bCs/>
          <w:u w:val="single"/>
          <w:rtl/>
          <w:lang w:bidi="he-IL"/>
        </w:rPr>
        <w:t>(כא</w:t>
      </w:r>
      <w:r>
        <w:rPr>
          <w:rFonts w:ascii="Segoe UI Emoji" w:eastAsia="Segoe UI Emoji" w:hAnsi="Segoe UI Emoji" w:cs="Segoe UI Emoji"/>
          <w:b/>
          <w:bCs/>
          <w:u w:val="single"/>
          <w:rtl/>
          <w:lang w:bidi="he-IL"/>
        </w:rPr>
        <w:t>:)</w:t>
      </w:r>
      <w:r>
        <w:rPr>
          <w:rtl/>
          <w:lang w:bidi="he-IL"/>
        </w:rPr>
        <w:t xml:space="preserve"> שגם זה- אף שהוא הנאת כל גופו, שהוא קצת דומה לאכל נפש- אסור לפי בית שמאי. אז, משנה שלנו אומר שיטת בית הלל. </w:t>
      </w:r>
    </w:p>
  </w:footnote>
  <w:footnote w:id="168">
    <w:p w14:paraId="50175A15" w14:textId="77777777" w:rsidR="0009007A" w:rsidRDefault="00000000">
      <w:pPr>
        <w:pStyle w:val="FootnoteText"/>
        <w:rPr>
          <w:lang w:bidi="he-IL"/>
        </w:rPr>
      </w:pPr>
      <w:r>
        <w:rPr>
          <w:rStyle w:val="FootnoteCharacters"/>
        </w:rPr>
        <w:footnoteRef/>
      </w:r>
      <w:r>
        <w:rPr>
          <w:rtl/>
          <w:lang w:bidi="he-IL"/>
        </w:rPr>
        <w:tab/>
        <w:t>נמצא שאף שרחיצת כל גוף שלו אינו הנאה השווה בכל, חימום כל הגוף הוא הנאה השווה בכל.</w:t>
      </w:r>
    </w:p>
  </w:footnote>
  <w:footnote w:id="169">
    <w:p w14:paraId="2AE7BAD6"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16F76A1A" w14:textId="77777777" w:rsidR="0009007A" w:rsidRDefault="00000000">
      <w:pPr>
        <w:pStyle w:val="FootnoteText"/>
        <w:numPr>
          <w:ilvl w:val="0"/>
          <w:numId w:val="25"/>
        </w:numPr>
        <w:rPr>
          <w:b/>
          <w:bCs/>
          <w:lang w:bidi="he-IL"/>
        </w:rPr>
      </w:pPr>
      <w:r>
        <w:rPr>
          <w:rtl/>
          <w:lang w:bidi="he-IL"/>
        </w:rPr>
        <w:t>חימום חמים בי"ט-</w:t>
      </w:r>
    </w:p>
    <w:p w14:paraId="2CAE306D" w14:textId="77777777" w:rsidR="0009007A" w:rsidRDefault="00000000">
      <w:pPr>
        <w:pStyle w:val="FootnoteText"/>
        <w:numPr>
          <w:ilvl w:val="1"/>
          <w:numId w:val="25"/>
        </w:numPr>
        <w:rPr>
          <w:b/>
          <w:bCs/>
          <w:lang w:bidi="he-IL"/>
        </w:rPr>
      </w:pPr>
      <w:r>
        <w:rPr>
          <w:rtl/>
          <w:lang w:bidi="he-IL"/>
        </w:rPr>
        <w:t>ראויים לשתייה- מותר.</w:t>
      </w:r>
    </w:p>
    <w:p w14:paraId="31849C4A" w14:textId="77777777" w:rsidR="0009007A" w:rsidRDefault="00000000">
      <w:pPr>
        <w:pStyle w:val="FootnoteText"/>
        <w:numPr>
          <w:ilvl w:val="1"/>
          <w:numId w:val="25"/>
        </w:numPr>
        <w:rPr>
          <w:b/>
          <w:bCs/>
          <w:lang w:bidi="he-IL"/>
        </w:rPr>
      </w:pPr>
      <w:r>
        <w:rPr>
          <w:rtl/>
          <w:lang w:bidi="he-IL"/>
        </w:rPr>
        <w:t>אינם ראויים לשתייה:</w:t>
      </w:r>
    </w:p>
    <w:p w14:paraId="476CA2CA" w14:textId="77777777" w:rsidR="0009007A" w:rsidRDefault="00000000">
      <w:pPr>
        <w:pStyle w:val="FootnoteText"/>
        <w:numPr>
          <w:ilvl w:val="2"/>
          <w:numId w:val="25"/>
        </w:numPr>
        <w:rPr>
          <w:b/>
          <w:bCs/>
          <w:lang w:bidi="he-IL"/>
        </w:rPr>
      </w:pPr>
      <w:r>
        <w:rPr>
          <w:rtl/>
          <w:lang w:bidi="he-IL"/>
        </w:rPr>
        <w:t>לכל גופו- אסור.</w:t>
      </w:r>
    </w:p>
    <w:p w14:paraId="2DAE0C68" w14:textId="77777777" w:rsidR="0009007A" w:rsidRDefault="00000000">
      <w:pPr>
        <w:pStyle w:val="FootnoteText"/>
        <w:numPr>
          <w:ilvl w:val="2"/>
          <w:numId w:val="25"/>
        </w:numPr>
        <w:rPr>
          <w:b/>
          <w:bCs/>
          <w:lang w:bidi="he-IL"/>
        </w:rPr>
      </w:pPr>
      <w:r>
        <w:rPr>
          <w:rtl/>
          <w:lang w:bidi="he-IL"/>
        </w:rPr>
        <w:t xml:space="preserve">לרגליו- </w:t>
      </w:r>
    </w:p>
    <w:p w14:paraId="091EB046" w14:textId="77777777" w:rsidR="0009007A" w:rsidRDefault="00000000">
      <w:pPr>
        <w:pStyle w:val="FootnoteText"/>
        <w:numPr>
          <w:ilvl w:val="3"/>
          <w:numId w:val="25"/>
        </w:numPr>
        <w:rPr>
          <w:b/>
          <w:bCs/>
          <w:lang w:bidi="he-IL"/>
        </w:rPr>
      </w:pPr>
      <w:r>
        <w:rPr>
          <w:rtl/>
          <w:lang w:bidi="he-IL"/>
        </w:rPr>
        <w:t>בית שמאי- אסור.</w:t>
      </w:r>
    </w:p>
    <w:p w14:paraId="795D33A2" w14:textId="77777777" w:rsidR="0009007A" w:rsidRDefault="00000000">
      <w:pPr>
        <w:pStyle w:val="FootnoteText"/>
        <w:numPr>
          <w:ilvl w:val="3"/>
          <w:numId w:val="25"/>
        </w:numPr>
        <w:rPr>
          <w:b/>
          <w:bCs/>
          <w:lang w:bidi="he-IL"/>
        </w:rPr>
      </w:pPr>
      <w:r>
        <w:rPr>
          <w:rtl/>
          <w:lang w:bidi="he-IL"/>
        </w:rPr>
        <w:t>בית הלל- מותר.</w:t>
      </w:r>
    </w:p>
    <w:p w14:paraId="0792D5A0" w14:textId="77777777" w:rsidR="0009007A" w:rsidRDefault="00000000">
      <w:pPr>
        <w:pStyle w:val="FootnoteText"/>
        <w:numPr>
          <w:ilvl w:val="0"/>
          <w:numId w:val="25"/>
        </w:numPr>
        <w:rPr>
          <w:b/>
          <w:bCs/>
          <w:lang w:bidi="he-IL"/>
        </w:rPr>
      </w:pPr>
      <w:r>
        <w:rPr>
          <w:rtl/>
          <w:lang w:bidi="he-IL"/>
        </w:rPr>
        <w:t>עשיית מדורה להתחמם שם-</w:t>
      </w:r>
    </w:p>
    <w:p w14:paraId="271A13B3" w14:textId="77777777" w:rsidR="0009007A" w:rsidRDefault="00000000">
      <w:pPr>
        <w:pStyle w:val="FootnoteText"/>
        <w:numPr>
          <w:ilvl w:val="1"/>
          <w:numId w:val="25"/>
        </w:numPr>
        <w:rPr>
          <w:b/>
          <w:bCs/>
          <w:lang w:bidi="he-IL"/>
        </w:rPr>
      </w:pPr>
      <w:r>
        <w:rPr>
          <w:rtl/>
          <w:lang w:bidi="he-IL"/>
        </w:rPr>
        <w:t>בית שמאי- אסור.</w:t>
      </w:r>
    </w:p>
    <w:p w14:paraId="2E7272D3" w14:textId="77777777" w:rsidR="0009007A" w:rsidRDefault="00000000">
      <w:pPr>
        <w:pStyle w:val="FootnoteText"/>
        <w:numPr>
          <w:ilvl w:val="1"/>
          <w:numId w:val="25"/>
        </w:numPr>
        <w:rPr>
          <w:b/>
          <w:bCs/>
          <w:lang w:bidi="he-IL"/>
        </w:rPr>
      </w:pPr>
      <w:r>
        <w:rPr>
          <w:rtl/>
          <w:lang w:bidi="he-IL"/>
        </w:rPr>
        <w:t>בית הלל- מותר.</w:t>
      </w:r>
    </w:p>
  </w:footnote>
  <w:footnote w:id="170">
    <w:p w14:paraId="77ABD65A" w14:textId="77777777" w:rsidR="0009007A" w:rsidRDefault="00000000">
      <w:pPr>
        <w:pStyle w:val="FootnoteText"/>
        <w:rPr>
          <w:b/>
          <w:bCs/>
          <w:lang w:bidi="he-IL"/>
        </w:rPr>
      </w:pPr>
      <w:r>
        <w:rPr>
          <w:rStyle w:val="FootnoteCharacters"/>
        </w:rPr>
        <w:footnoteRef/>
      </w:r>
      <w:r>
        <w:rPr>
          <w:b/>
          <w:bCs/>
          <w:rtl/>
          <w:lang w:bidi="he-IL"/>
        </w:rPr>
        <w:tab/>
        <w:t>משנה ו:</w:t>
      </w:r>
    </w:p>
  </w:footnote>
  <w:footnote w:id="171">
    <w:p w14:paraId="164B2266" w14:textId="77777777" w:rsidR="0009007A" w:rsidRDefault="00000000">
      <w:pPr>
        <w:pStyle w:val="FootnoteText"/>
        <w:rPr>
          <w:b/>
          <w:bCs/>
          <w:lang w:bidi="he-IL"/>
        </w:rPr>
      </w:pPr>
      <w:r>
        <w:rPr>
          <w:rStyle w:val="FootnoteCharacters"/>
        </w:rPr>
        <w:footnoteRef/>
      </w:r>
      <w:r>
        <w:rPr>
          <w:b/>
          <w:bCs/>
          <w:rtl/>
          <w:lang w:bidi="he-IL"/>
        </w:rPr>
        <w:tab/>
        <w:t>הקדמה:</w:t>
      </w:r>
    </w:p>
    <w:p w14:paraId="5B736584" w14:textId="77777777" w:rsidR="0009007A" w:rsidRDefault="00000000">
      <w:pPr>
        <w:pStyle w:val="FootnoteText"/>
        <w:rPr>
          <w:lang w:bidi="he-IL"/>
        </w:rPr>
      </w:pPr>
      <w:r>
        <w:rPr>
          <w:rtl/>
          <w:lang w:bidi="he-IL"/>
        </w:rPr>
        <w:tab/>
        <w:t>במשנה זה, מזכירים שלש דברים שבהם ר"ג החמיר כב"ש נגד בית הלל בדיני י"ט. אחד הוא בדיני עירוב תבשילין, אחד הוא בדין בנין כלים, ואחד הוא בדין טירחא בי"ט.</w:t>
      </w:r>
    </w:p>
  </w:footnote>
  <w:footnote w:id="172">
    <w:p w14:paraId="750A5736" w14:textId="77777777" w:rsidR="0009007A" w:rsidRDefault="00000000">
      <w:pPr>
        <w:pStyle w:val="FootnoteText"/>
        <w:rPr>
          <w:lang w:bidi="he-IL"/>
        </w:rPr>
      </w:pPr>
      <w:r>
        <w:rPr>
          <w:rStyle w:val="FootnoteCharacters"/>
        </w:rPr>
        <w:footnoteRef/>
      </w:r>
      <w:r>
        <w:rPr>
          <w:rtl/>
          <w:lang w:bidi="he-IL"/>
        </w:rPr>
        <w:tab/>
        <w:t>רצה לומר, מחמיר בהם.</w:t>
      </w:r>
    </w:p>
  </w:footnote>
  <w:footnote w:id="173">
    <w:p w14:paraId="28C09FCA" w14:textId="77777777" w:rsidR="0009007A" w:rsidRDefault="00000000">
      <w:pPr>
        <w:pStyle w:val="FootnoteText"/>
        <w:rPr>
          <w:lang w:bidi="he-IL"/>
        </w:rPr>
      </w:pPr>
      <w:r>
        <w:rPr>
          <w:rStyle w:val="FootnoteCharacters"/>
        </w:rPr>
        <w:footnoteRef/>
      </w:r>
      <w:r>
        <w:rPr>
          <w:rtl/>
          <w:lang w:bidi="he-IL"/>
        </w:rPr>
        <w:tab/>
        <w:t>גמ’ מבאר את זה בשני דרכים:</w:t>
      </w:r>
    </w:p>
    <w:p w14:paraId="00BED4E4" w14:textId="77777777" w:rsidR="0009007A" w:rsidRDefault="00000000">
      <w:pPr>
        <w:pStyle w:val="FootnoteText"/>
        <w:numPr>
          <w:ilvl w:val="0"/>
          <w:numId w:val="26"/>
        </w:numPr>
        <w:rPr>
          <w:lang w:bidi="he-IL"/>
        </w:rPr>
      </w:pPr>
      <w:r>
        <w:rPr>
          <w:rtl/>
          <w:lang w:bidi="he-IL"/>
        </w:rPr>
        <w:t xml:space="preserve">אם אדם לא עירב עירוב תבשילין, אין לבשל לו יותר על כדי חייו. חולקים בית שמאי ובית הלל אם הטמנה הוא בכלל כדי חייו. </w:t>
      </w:r>
    </w:p>
    <w:p w14:paraId="33F9CD66" w14:textId="77777777" w:rsidR="0009007A" w:rsidRDefault="00000000">
      <w:pPr>
        <w:pStyle w:val="FootnoteText"/>
        <w:numPr>
          <w:ilvl w:val="0"/>
          <w:numId w:val="26"/>
        </w:numPr>
        <w:rPr>
          <w:lang w:bidi="he-IL"/>
        </w:rPr>
      </w:pPr>
      <w:r>
        <w:rPr>
          <w:rtl/>
          <w:lang w:bidi="he-IL"/>
        </w:rPr>
        <w:t xml:space="preserve">אם אדם עירב ע"ת, ולא טמן, אלא שיש לו דבר מבושל או נאפה, חולקים בית שמאי ובית הלל אם מהני. </w:t>
      </w:r>
      <w:r>
        <w:rPr>
          <w:b/>
          <w:bCs/>
          <w:u w:val="single"/>
          <w:rtl/>
          <w:lang w:bidi="he-IL"/>
        </w:rPr>
        <w:t>(כא:, כב.)</w:t>
      </w:r>
    </w:p>
  </w:footnote>
  <w:footnote w:id="174">
    <w:p w14:paraId="1149A018" w14:textId="77777777" w:rsidR="0009007A" w:rsidRDefault="00000000">
      <w:pPr>
        <w:pStyle w:val="FootnoteText"/>
        <w:rPr>
          <w:lang w:bidi="he-IL"/>
        </w:rPr>
      </w:pPr>
      <w:r>
        <w:rPr>
          <w:rStyle w:val="FootnoteCharacters"/>
        </w:rPr>
        <w:footnoteRef/>
      </w:r>
      <w:r>
        <w:rPr>
          <w:rtl/>
          <w:lang w:bidi="he-IL"/>
        </w:rPr>
        <w:tab/>
        <w:t>גמ’ מפרש</w:t>
      </w:r>
      <w:r>
        <w:rPr>
          <w:b/>
          <w:bCs/>
          <w:u w:val="single"/>
          <w:rtl/>
          <w:lang w:bidi="he-IL"/>
        </w:rPr>
        <w:t xml:space="preserve"> (כב.)</w:t>
      </w:r>
      <w:r>
        <w:rPr>
          <w:rtl/>
          <w:lang w:bidi="he-IL"/>
        </w:rPr>
        <w:t xml:space="preserve"> שמדברים במנורה העשויה מחתיכות, וחולקים בית שמאי ובית הלל אם יכולים לחבר את החוליות. מחלקת זה תלוי באם יש בנין בכלים או אין בנין בכלים.</w:t>
      </w:r>
    </w:p>
  </w:footnote>
  <w:footnote w:id="175">
    <w:p w14:paraId="508F761F" w14:textId="77777777" w:rsidR="0009007A" w:rsidRDefault="00000000">
      <w:pPr>
        <w:pStyle w:val="FootnoteText"/>
        <w:rPr>
          <w:lang w:bidi="he-IL"/>
        </w:rPr>
      </w:pPr>
      <w:r>
        <w:rPr>
          <w:rStyle w:val="FootnoteCharacters"/>
        </w:rPr>
        <w:footnoteRef/>
      </w:r>
      <w:r>
        <w:rPr>
          <w:rtl/>
          <w:lang w:bidi="he-IL"/>
        </w:rPr>
        <w:tab/>
        <w:t xml:space="preserve">נראה שמסקנא של הגמ’ </w:t>
      </w:r>
      <w:r>
        <w:rPr>
          <w:b/>
          <w:bCs/>
          <w:u w:val="single"/>
          <w:rtl/>
          <w:lang w:bidi="he-IL"/>
        </w:rPr>
        <w:t>(כב:)</w:t>
      </w:r>
      <w:r>
        <w:rPr>
          <w:rtl/>
          <w:lang w:bidi="he-IL"/>
        </w:rPr>
        <w:t xml:space="preserve"> הוא שחולקים אם מותר לעשות הרבה (ולא מגדיר כמה הוא הרבה) לחם בי"ט.</w:t>
      </w:r>
    </w:p>
  </w:footnote>
  <w:footnote w:id="176">
    <w:p w14:paraId="2AB36AB4" w14:textId="77777777" w:rsidR="0009007A" w:rsidRDefault="00000000">
      <w:pPr>
        <w:pStyle w:val="FootnoteText"/>
        <w:rPr>
          <w:lang w:bidi="he-IL"/>
        </w:rPr>
      </w:pPr>
      <w:r>
        <w:rPr>
          <w:rStyle w:val="FootnoteCharacters"/>
        </w:rPr>
        <w:footnoteRef/>
      </w:r>
      <w:r>
        <w:rPr>
          <w:rtl/>
          <w:lang w:bidi="he-IL"/>
        </w:rPr>
        <w:tab/>
        <w:t>בגמ’, המילה היא "חררין.”</w:t>
      </w:r>
    </w:p>
  </w:footnote>
  <w:footnote w:id="177">
    <w:p w14:paraId="401138AF" w14:textId="77777777" w:rsidR="0009007A" w:rsidRDefault="00000000">
      <w:pPr>
        <w:pStyle w:val="FootnoteText"/>
        <w:rPr>
          <w:lang w:bidi="he-IL"/>
        </w:rPr>
      </w:pPr>
      <w:r>
        <w:rPr>
          <w:rStyle w:val="FootnoteCharacters"/>
        </w:rPr>
        <w:footnoteRef/>
      </w:r>
      <w:r>
        <w:rPr>
          <w:rtl/>
          <w:lang w:bidi="he-IL"/>
        </w:rPr>
        <w:tab/>
        <w:t>רצה לומר, צודק אתה שכך היו מחמירים, אבל רק לעצמו היה מחמיר, ולא לאחרים, שלאחרים היה מיקל. יש לדון אם זה היה נכון גם כשר"ג החמיר.</w:t>
      </w:r>
    </w:p>
  </w:footnote>
  <w:footnote w:id="178">
    <w:p w14:paraId="6FB85B60"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0E966EDC" w14:textId="77777777" w:rsidR="0009007A" w:rsidRDefault="00000000">
      <w:pPr>
        <w:pStyle w:val="FootnoteText"/>
        <w:numPr>
          <w:ilvl w:val="0"/>
          <w:numId w:val="27"/>
        </w:numPr>
        <w:rPr>
          <w:lang w:bidi="he-IL"/>
        </w:rPr>
      </w:pPr>
      <w:r>
        <w:rPr>
          <w:rtl/>
          <w:lang w:bidi="he-IL"/>
        </w:rPr>
        <w:t>מי ששכח לערב:</w:t>
      </w:r>
    </w:p>
    <w:p w14:paraId="3C27A080" w14:textId="77777777" w:rsidR="0009007A" w:rsidRDefault="00000000">
      <w:pPr>
        <w:pStyle w:val="FootnoteText"/>
        <w:numPr>
          <w:ilvl w:val="1"/>
          <w:numId w:val="27"/>
        </w:numPr>
        <w:rPr>
          <w:lang w:bidi="he-IL"/>
        </w:rPr>
      </w:pPr>
      <w:r>
        <w:rPr>
          <w:rtl/>
          <w:lang w:bidi="he-IL"/>
        </w:rPr>
        <w:t>בית הלל לשיטה ראשונה- עושים לו כדי חייו.</w:t>
      </w:r>
    </w:p>
    <w:p w14:paraId="57451947" w14:textId="77777777" w:rsidR="0009007A" w:rsidRDefault="00000000">
      <w:pPr>
        <w:pStyle w:val="FootnoteText"/>
        <w:numPr>
          <w:ilvl w:val="1"/>
          <w:numId w:val="27"/>
        </w:numPr>
        <w:rPr>
          <w:lang w:bidi="he-IL"/>
        </w:rPr>
      </w:pPr>
      <w:r>
        <w:rPr>
          <w:rtl/>
          <w:lang w:bidi="he-IL"/>
        </w:rPr>
        <w:t>בית שמאי לשיטה ראשונה- לא עושים לו כדי חייו. (יש לדון אם סובר שלא עושים לו כדי חייו (כמובן, לא ימות ממש) או רק שזה לא כולל הטמנה.)</w:t>
      </w:r>
    </w:p>
    <w:p w14:paraId="10E79D46" w14:textId="77777777" w:rsidR="0009007A" w:rsidRDefault="00000000">
      <w:pPr>
        <w:pStyle w:val="FootnoteText"/>
        <w:numPr>
          <w:ilvl w:val="1"/>
          <w:numId w:val="27"/>
        </w:numPr>
        <w:rPr>
          <w:lang w:bidi="he-IL"/>
        </w:rPr>
      </w:pPr>
      <w:r>
        <w:rPr>
          <w:rtl/>
          <w:lang w:bidi="he-IL"/>
        </w:rPr>
        <w:t>שיטה שנית בגמ’- משנה לא מדבר על זה, ולא ידוע דין שלו.</w:t>
      </w:r>
    </w:p>
    <w:p w14:paraId="20895029" w14:textId="77777777" w:rsidR="0009007A" w:rsidRDefault="00000000">
      <w:pPr>
        <w:pStyle w:val="FootnoteText"/>
        <w:numPr>
          <w:ilvl w:val="0"/>
          <w:numId w:val="27"/>
        </w:numPr>
        <w:rPr>
          <w:lang w:bidi="he-IL"/>
        </w:rPr>
      </w:pPr>
      <w:r>
        <w:rPr>
          <w:rtl/>
          <w:lang w:bidi="he-IL"/>
        </w:rPr>
        <w:t>אם אדם רק מערב בתבשילים:</w:t>
      </w:r>
    </w:p>
    <w:p w14:paraId="4ED5048B" w14:textId="77777777" w:rsidR="0009007A" w:rsidRDefault="00000000">
      <w:pPr>
        <w:pStyle w:val="FootnoteText"/>
        <w:numPr>
          <w:ilvl w:val="1"/>
          <w:numId w:val="27"/>
        </w:numPr>
        <w:rPr>
          <w:lang w:bidi="he-IL"/>
        </w:rPr>
      </w:pPr>
      <w:r>
        <w:rPr>
          <w:rtl/>
          <w:lang w:bidi="he-IL"/>
        </w:rPr>
        <w:t>בית הלל, בית שמאי לת”ק- יכול לבשל, לאפות, וכו’.</w:t>
      </w:r>
    </w:p>
    <w:p w14:paraId="5D1C258E" w14:textId="77777777" w:rsidR="0009007A" w:rsidRDefault="00000000">
      <w:pPr>
        <w:pStyle w:val="FootnoteText"/>
        <w:numPr>
          <w:ilvl w:val="1"/>
          <w:numId w:val="27"/>
        </w:numPr>
        <w:rPr>
          <w:lang w:bidi="he-IL"/>
        </w:rPr>
      </w:pPr>
      <w:r>
        <w:rPr>
          <w:rtl/>
          <w:lang w:bidi="he-IL"/>
        </w:rPr>
        <w:t>בית שמאי לחנניה- רק יכול לבשל (וכן לכל מין בישול, ככה).</w:t>
      </w:r>
    </w:p>
    <w:p w14:paraId="1BD9A95B" w14:textId="77777777" w:rsidR="0009007A" w:rsidRDefault="00000000">
      <w:pPr>
        <w:pStyle w:val="FootnoteText"/>
        <w:numPr>
          <w:ilvl w:val="0"/>
          <w:numId w:val="27"/>
        </w:numPr>
        <w:rPr>
          <w:lang w:bidi="he-IL"/>
        </w:rPr>
      </w:pPr>
      <w:r>
        <w:rPr>
          <w:rtl/>
          <w:lang w:bidi="he-IL"/>
        </w:rPr>
        <w:t>אם מותר לחבר מנורה של פרקים:</w:t>
      </w:r>
    </w:p>
    <w:p w14:paraId="0842C9B3" w14:textId="77777777" w:rsidR="0009007A" w:rsidRDefault="00000000">
      <w:pPr>
        <w:pStyle w:val="FootnoteText"/>
        <w:numPr>
          <w:ilvl w:val="1"/>
          <w:numId w:val="27"/>
        </w:numPr>
        <w:rPr>
          <w:lang w:bidi="he-IL"/>
        </w:rPr>
      </w:pPr>
      <w:r>
        <w:rPr>
          <w:rtl/>
          <w:lang w:bidi="he-IL"/>
        </w:rPr>
        <w:t>בית הלל- מותר.</w:t>
      </w:r>
    </w:p>
    <w:p w14:paraId="05409001" w14:textId="77777777" w:rsidR="0009007A" w:rsidRDefault="00000000">
      <w:pPr>
        <w:pStyle w:val="FootnoteText"/>
        <w:numPr>
          <w:ilvl w:val="1"/>
          <w:numId w:val="27"/>
        </w:numPr>
        <w:rPr>
          <w:lang w:bidi="he-IL"/>
        </w:rPr>
      </w:pPr>
      <w:r>
        <w:rPr>
          <w:rtl/>
          <w:lang w:bidi="he-IL"/>
        </w:rPr>
        <w:t>בית שמאי- אסור.</w:t>
      </w:r>
    </w:p>
    <w:p w14:paraId="18E11DC7" w14:textId="77777777" w:rsidR="0009007A" w:rsidRDefault="00000000">
      <w:pPr>
        <w:pStyle w:val="FootnoteText"/>
        <w:numPr>
          <w:ilvl w:val="0"/>
          <w:numId w:val="27"/>
        </w:numPr>
        <w:rPr>
          <w:lang w:bidi="he-IL"/>
        </w:rPr>
      </w:pPr>
      <w:r>
        <w:rPr>
          <w:rtl/>
          <w:lang w:bidi="he-IL"/>
        </w:rPr>
        <w:t>אם מותר לבשל הרבה לחם:</w:t>
      </w:r>
    </w:p>
    <w:p w14:paraId="0F40239A" w14:textId="77777777" w:rsidR="0009007A" w:rsidRDefault="00000000">
      <w:pPr>
        <w:pStyle w:val="FootnoteText"/>
        <w:numPr>
          <w:ilvl w:val="1"/>
          <w:numId w:val="27"/>
        </w:numPr>
        <w:rPr>
          <w:lang w:bidi="he-IL"/>
        </w:rPr>
      </w:pPr>
      <w:r>
        <w:rPr>
          <w:rtl/>
          <w:lang w:bidi="he-IL"/>
        </w:rPr>
        <w:t>בית הלל- מותר.</w:t>
      </w:r>
    </w:p>
    <w:p w14:paraId="2AA2894A" w14:textId="77777777" w:rsidR="0009007A" w:rsidRDefault="00000000">
      <w:pPr>
        <w:pStyle w:val="FootnoteText"/>
        <w:numPr>
          <w:ilvl w:val="1"/>
          <w:numId w:val="27"/>
        </w:numPr>
        <w:rPr>
          <w:lang w:bidi="he-IL"/>
        </w:rPr>
      </w:pPr>
      <w:r>
        <w:rPr>
          <w:rtl/>
          <w:lang w:bidi="he-IL"/>
        </w:rPr>
        <w:t>בית שמאי- אסור.</w:t>
      </w:r>
    </w:p>
  </w:footnote>
  <w:footnote w:id="179">
    <w:p w14:paraId="38799428" w14:textId="77777777" w:rsidR="0009007A" w:rsidRDefault="00000000">
      <w:pPr>
        <w:pStyle w:val="FootnoteText"/>
        <w:rPr>
          <w:b/>
          <w:bCs/>
          <w:lang w:bidi="he-IL"/>
        </w:rPr>
      </w:pPr>
      <w:r>
        <w:rPr>
          <w:rStyle w:val="FootnoteCharacters"/>
        </w:rPr>
        <w:footnoteRef/>
      </w:r>
      <w:r>
        <w:rPr>
          <w:b/>
          <w:bCs/>
          <w:rtl/>
          <w:lang w:bidi="he-IL"/>
        </w:rPr>
        <w:tab/>
        <w:t>משנה ז:</w:t>
      </w:r>
    </w:p>
  </w:footnote>
  <w:footnote w:id="180">
    <w:p w14:paraId="2B3585D2" w14:textId="77777777" w:rsidR="0009007A" w:rsidRDefault="00000000">
      <w:pPr>
        <w:pStyle w:val="FootnoteText"/>
        <w:rPr>
          <w:b/>
          <w:bCs/>
          <w:lang w:bidi="he-IL"/>
        </w:rPr>
      </w:pPr>
      <w:r>
        <w:rPr>
          <w:rStyle w:val="FootnoteCharacters"/>
        </w:rPr>
        <w:footnoteRef/>
      </w:r>
      <w:r>
        <w:rPr>
          <w:b/>
          <w:bCs/>
          <w:rtl/>
          <w:lang w:bidi="he-IL"/>
        </w:rPr>
        <w:tab/>
        <w:t>הקדמה:</w:t>
      </w:r>
    </w:p>
    <w:p w14:paraId="3F5B811C" w14:textId="77777777" w:rsidR="0009007A" w:rsidRDefault="00000000">
      <w:pPr>
        <w:pStyle w:val="FootnoteText"/>
        <w:rPr>
          <w:b/>
          <w:bCs/>
          <w:lang w:bidi="he-IL"/>
        </w:rPr>
      </w:pPr>
      <w:r>
        <w:rPr>
          <w:rtl/>
          <w:lang w:bidi="he-IL"/>
        </w:rPr>
        <w:tab/>
        <w:t>משנה זה ממשיך ממשנה הקודם לו. אותו משנה דבר על חומרות של ר"ג (כב"ש), ועכשיו מדבר על קולות שלו (לכוא’, לא צ"ל שהם כב"ש), והם בענין כיבוד בית, מוגמר לריח, וקילוס גדי בליל פסח. בכולם, רבנן יחמירו.</w:t>
      </w:r>
    </w:p>
  </w:footnote>
  <w:footnote w:id="181">
    <w:p w14:paraId="3474F560" w14:textId="77777777" w:rsidR="0009007A" w:rsidRDefault="00000000">
      <w:pPr>
        <w:pStyle w:val="FootnoteText"/>
        <w:rPr>
          <w:lang w:bidi="he-IL"/>
        </w:rPr>
      </w:pPr>
      <w:r>
        <w:rPr>
          <w:rStyle w:val="FootnoteCharacters"/>
        </w:rPr>
        <w:footnoteRef/>
      </w:r>
      <w:r>
        <w:rPr>
          <w:rtl/>
          <w:lang w:bidi="he-IL"/>
        </w:rPr>
        <w:tab/>
        <w:t xml:space="preserve">רצה לומר, במשנה שלפני זה, בארנו איך היה מחמיר כבית שמאי. אבל הוא גם אמר שלש דברים להקל. </w:t>
      </w:r>
    </w:p>
  </w:footnote>
  <w:footnote w:id="182">
    <w:p w14:paraId="05F6346D" w14:textId="77777777" w:rsidR="0009007A" w:rsidRDefault="00000000">
      <w:pPr>
        <w:pStyle w:val="FootnoteText"/>
        <w:rPr>
          <w:lang w:bidi="he-IL"/>
        </w:rPr>
      </w:pPr>
      <w:r>
        <w:rPr>
          <w:rStyle w:val="FootnoteCharacters"/>
        </w:rPr>
        <w:footnoteRef/>
      </w:r>
      <w:r>
        <w:rPr>
          <w:rtl/>
          <w:lang w:bidi="he-IL"/>
        </w:rPr>
        <w:tab/>
        <w:t>לכאו’, רק אמר שלש דברים להקל בענין שבת. אבל, בענינים אחרים, אולי אמר הרבה דברים להקל.</w:t>
      </w:r>
    </w:p>
  </w:footnote>
  <w:footnote w:id="183">
    <w:p w14:paraId="5145F730" w14:textId="77777777" w:rsidR="0009007A" w:rsidRDefault="00000000">
      <w:pPr>
        <w:pStyle w:val="FootnoteText"/>
        <w:rPr>
          <w:lang w:bidi="he-IL"/>
        </w:rPr>
      </w:pPr>
      <w:r>
        <w:rPr>
          <w:rStyle w:val="FootnoteCharacters"/>
        </w:rPr>
        <w:footnoteRef/>
      </w:r>
      <w:r>
        <w:rPr>
          <w:rtl/>
          <w:lang w:bidi="he-IL"/>
        </w:rPr>
        <w:tab/>
        <w:t>ברו"מינג את המקום שבו אוכלים שם. ר”ג לא חושש שישווה גומות, אבל רבנן חוששים (וכיון שבבית הוא, יעבור על מלאכת בנין).</w:t>
      </w:r>
    </w:p>
  </w:footnote>
  <w:footnote w:id="184">
    <w:p w14:paraId="0428D21F" w14:textId="77777777" w:rsidR="0009007A" w:rsidRDefault="00000000">
      <w:pPr>
        <w:pStyle w:val="FootnoteText"/>
        <w:rPr>
          <w:lang w:bidi="he-IL"/>
        </w:rPr>
      </w:pPr>
      <w:r>
        <w:rPr>
          <w:rStyle w:val="FootnoteCharacters"/>
        </w:rPr>
        <w:footnoteRef/>
      </w:r>
      <w:r>
        <w:rPr>
          <w:rtl/>
          <w:lang w:bidi="he-IL"/>
        </w:rPr>
        <w:tab/>
        <w:t>בגמ’ גרסינן  "בית המטות.”</w:t>
      </w:r>
    </w:p>
  </w:footnote>
  <w:footnote w:id="185">
    <w:p w14:paraId="2D118F08" w14:textId="77777777" w:rsidR="0009007A" w:rsidRDefault="00000000">
      <w:pPr>
        <w:pStyle w:val="FootnoteText"/>
        <w:rPr>
          <w:lang w:bidi="he-IL"/>
        </w:rPr>
      </w:pPr>
      <w:r>
        <w:rPr>
          <w:rStyle w:val="FootnoteCharacters"/>
        </w:rPr>
        <w:footnoteRef/>
      </w:r>
      <w:r>
        <w:rPr>
          <w:rtl/>
          <w:lang w:bidi="he-IL"/>
        </w:rPr>
        <w:tab/>
        <w:t xml:space="preserve">מניח בשמים על גב אש, כדי שיתנו ריח. יש שתי סיבות שאדם ירצה לעשות כן- להכניס ריח טוב לבגדים או להכניס ריח טוב לאוויר. הראשון אסור, שאינו נותן הנאה, אלא מכשיר כלים. השני הוא המחלקת בין רבן גמליאל ורבנן . </w:t>
      </w:r>
      <w:r>
        <w:rPr>
          <w:b/>
          <w:bCs/>
          <w:u w:val="single"/>
          <w:rtl/>
          <w:lang w:bidi="he-IL"/>
        </w:rPr>
        <w:t>(כב:)</w:t>
      </w:r>
    </w:p>
  </w:footnote>
  <w:footnote w:id="186">
    <w:p w14:paraId="15A90059" w14:textId="77777777" w:rsidR="0009007A" w:rsidRDefault="00000000">
      <w:pPr>
        <w:pStyle w:val="FootnoteText"/>
        <w:rPr>
          <w:lang w:bidi="he-IL"/>
        </w:rPr>
      </w:pPr>
      <w:r>
        <w:rPr>
          <w:rStyle w:val="FootnoteCharacters"/>
        </w:rPr>
        <w:footnoteRef/>
      </w:r>
      <w:r>
        <w:rPr>
          <w:rtl/>
          <w:lang w:bidi="he-IL"/>
        </w:rPr>
        <w:tab/>
        <w:t xml:space="preserve">גמ’ מביא שיטה שאף שנים אלו לא התיר ר"ג, אלא עשה דברים שהיו נראים כן. </w:t>
      </w:r>
      <w:r>
        <w:rPr>
          <w:b/>
          <w:bCs/>
          <w:u w:val="single"/>
          <w:rtl/>
          <w:lang w:bidi="he-IL"/>
        </w:rPr>
        <w:t>(כב:)</w:t>
      </w:r>
    </w:p>
  </w:footnote>
  <w:footnote w:id="187">
    <w:p w14:paraId="0F7F1307" w14:textId="77777777" w:rsidR="0009007A" w:rsidRDefault="00000000">
      <w:pPr>
        <w:pStyle w:val="FootnoteText"/>
        <w:rPr>
          <w:lang w:bidi="he-IL"/>
        </w:rPr>
      </w:pPr>
      <w:r>
        <w:rPr>
          <w:rStyle w:val="FootnoteCharacters"/>
        </w:rPr>
        <w:footnoteRef/>
      </w:r>
      <w:r>
        <w:rPr>
          <w:rtl/>
          <w:lang w:bidi="he-IL"/>
        </w:rPr>
        <w:tab/>
        <w:t>לכאו’, חולקים רק כשעובר על מלאכה דאו’ של מכבה ומבעיר. אבל, גמ’ אומר ציורים שיכול לגמר בלי מכבה ומבעיר, ושם לכאו’ יתירו רבנן.</w:t>
      </w:r>
    </w:p>
  </w:footnote>
  <w:footnote w:id="188">
    <w:p w14:paraId="1909ABF7" w14:textId="77777777" w:rsidR="0009007A" w:rsidRDefault="00000000">
      <w:pPr>
        <w:pStyle w:val="FootnoteText"/>
        <w:rPr>
          <w:lang w:bidi="he-IL"/>
        </w:rPr>
      </w:pPr>
      <w:r>
        <w:rPr>
          <w:rStyle w:val="FootnoteCharacters"/>
        </w:rPr>
        <w:footnoteRef/>
      </w:r>
      <w:r>
        <w:rPr>
          <w:rtl/>
          <w:lang w:bidi="he-IL"/>
        </w:rPr>
        <w:tab/>
        <w:t xml:space="preserve">צולים גדי כדרך שהיו צולים גדי של ק"פ. רבנן אוסרים את זה כיון שסוברים שנראה כאוכל חולין בחו"ל. </w:t>
      </w:r>
      <w:r>
        <w:rPr>
          <w:b/>
          <w:bCs/>
          <w:u w:val="single"/>
          <w:rtl/>
          <w:lang w:bidi="he-IL"/>
        </w:rPr>
        <w:t>(כג.)</w:t>
      </w:r>
    </w:p>
  </w:footnote>
  <w:footnote w:id="189">
    <w:p w14:paraId="2316F3F4" w14:textId="77777777" w:rsidR="0009007A" w:rsidRDefault="00000000">
      <w:pPr>
        <w:pStyle w:val="FootnoteText"/>
        <w:rPr>
          <w:lang w:bidi="he-IL"/>
        </w:rPr>
      </w:pPr>
      <w:r>
        <w:rPr>
          <w:rStyle w:val="FootnoteCharacters"/>
        </w:rPr>
        <w:footnoteRef/>
      </w:r>
      <w:r>
        <w:rPr>
          <w:rtl/>
          <w:lang w:bidi="he-IL"/>
        </w:rPr>
        <w:tab/>
        <w:t xml:space="preserve">מגמ’ </w:t>
      </w:r>
      <w:r>
        <w:rPr>
          <w:b/>
          <w:bCs/>
          <w:u w:val="single"/>
          <w:rtl/>
          <w:lang w:bidi="he-IL"/>
        </w:rPr>
        <w:t>(כב:)</w:t>
      </w:r>
      <w:r>
        <w:rPr>
          <w:rtl/>
          <w:lang w:bidi="he-IL"/>
        </w:rPr>
        <w:t xml:space="preserve"> יוצא שקאי על שניהם.</w:t>
      </w:r>
    </w:p>
  </w:footnote>
  <w:footnote w:id="190">
    <w:p w14:paraId="4299AD95"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1CA51415" w14:textId="77777777" w:rsidR="0009007A" w:rsidRDefault="00000000">
      <w:pPr>
        <w:pStyle w:val="FootnoteText"/>
        <w:numPr>
          <w:ilvl w:val="0"/>
          <w:numId w:val="28"/>
        </w:numPr>
        <w:rPr>
          <w:lang w:bidi="he-IL"/>
        </w:rPr>
      </w:pPr>
      <w:r>
        <w:rPr>
          <w:rtl/>
          <w:lang w:bidi="he-IL"/>
        </w:rPr>
        <w:t>להניח מוגמר בי"ט:</w:t>
      </w:r>
    </w:p>
    <w:p w14:paraId="04003323" w14:textId="77777777" w:rsidR="0009007A" w:rsidRDefault="00000000">
      <w:pPr>
        <w:pStyle w:val="FootnoteText"/>
        <w:numPr>
          <w:ilvl w:val="1"/>
          <w:numId w:val="28"/>
        </w:numPr>
        <w:rPr>
          <w:lang w:bidi="he-IL"/>
        </w:rPr>
      </w:pPr>
      <w:r>
        <w:rPr>
          <w:rtl/>
          <w:lang w:bidi="he-IL"/>
        </w:rPr>
        <w:t>להריח-</w:t>
      </w:r>
    </w:p>
    <w:p w14:paraId="16B68076" w14:textId="77777777" w:rsidR="0009007A" w:rsidRDefault="00000000">
      <w:pPr>
        <w:pStyle w:val="FootnoteText"/>
        <w:numPr>
          <w:ilvl w:val="2"/>
          <w:numId w:val="28"/>
        </w:numPr>
        <w:rPr>
          <w:lang w:bidi="he-IL"/>
        </w:rPr>
      </w:pPr>
      <w:r>
        <w:rPr>
          <w:rtl/>
          <w:lang w:bidi="he-IL"/>
        </w:rPr>
        <w:t>ע"י מלאכה:</w:t>
      </w:r>
    </w:p>
    <w:p w14:paraId="726AF1ED" w14:textId="77777777" w:rsidR="0009007A" w:rsidRDefault="00000000">
      <w:pPr>
        <w:pStyle w:val="FootnoteText"/>
        <w:numPr>
          <w:ilvl w:val="3"/>
          <w:numId w:val="28"/>
        </w:numPr>
        <w:rPr>
          <w:lang w:bidi="he-IL"/>
        </w:rPr>
      </w:pPr>
      <w:r>
        <w:rPr>
          <w:rtl/>
          <w:lang w:bidi="he-IL"/>
        </w:rPr>
        <w:t>רבן גמליאל (לתנא שלנו)- מותר.</w:t>
      </w:r>
    </w:p>
    <w:p w14:paraId="0BD000BF" w14:textId="77777777" w:rsidR="0009007A" w:rsidRDefault="00000000">
      <w:pPr>
        <w:pStyle w:val="FootnoteText"/>
        <w:numPr>
          <w:ilvl w:val="3"/>
          <w:numId w:val="28"/>
        </w:numPr>
        <w:rPr>
          <w:lang w:bidi="he-IL"/>
        </w:rPr>
      </w:pPr>
      <w:r>
        <w:rPr>
          <w:rtl/>
          <w:lang w:bidi="he-IL"/>
        </w:rPr>
        <w:t>רבנן, ר"ג (לראב"צ)- אסור.</w:t>
      </w:r>
    </w:p>
    <w:p w14:paraId="45B94560" w14:textId="77777777" w:rsidR="0009007A" w:rsidRDefault="00000000">
      <w:pPr>
        <w:pStyle w:val="FootnoteText"/>
        <w:numPr>
          <w:ilvl w:val="2"/>
          <w:numId w:val="28"/>
        </w:numPr>
        <w:rPr>
          <w:lang w:bidi="he-IL"/>
        </w:rPr>
      </w:pPr>
      <w:r>
        <w:rPr>
          <w:rtl/>
          <w:lang w:bidi="he-IL"/>
        </w:rPr>
        <w:t>שלא ע"י מלאכה- מותר.</w:t>
      </w:r>
    </w:p>
    <w:p w14:paraId="6FA7513C" w14:textId="77777777" w:rsidR="0009007A" w:rsidRDefault="00000000">
      <w:pPr>
        <w:pStyle w:val="FootnoteText"/>
        <w:numPr>
          <w:ilvl w:val="1"/>
          <w:numId w:val="28"/>
        </w:numPr>
        <w:rPr>
          <w:lang w:bidi="he-IL"/>
        </w:rPr>
      </w:pPr>
      <w:r>
        <w:rPr>
          <w:rtl/>
          <w:lang w:bidi="he-IL"/>
        </w:rPr>
        <w:t>לגמר כלים:</w:t>
      </w:r>
    </w:p>
    <w:p w14:paraId="00E45114" w14:textId="77777777" w:rsidR="0009007A" w:rsidRDefault="00000000">
      <w:pPr>
        <w:pStyle w:val="FootnoteText"/>
        <w:numPr>
          <w:ilvl w:val="2"/>
          <w:numId w:val="28"/>
        </w:numPr>
        <w:rPr>
          <w:lang w:bidi="he-IL"/>
        </w:rPr>
      </w:pPr>
      <w:r>
        <w:rPr>
          <w:rtl/>
          <w:lang w:bidi="he-IL"/>
        </w:rPr>
        <w:t>ע"י מלאכה- אסור.</w:t>
      </w:r>
    </w:p>
    <w:p w14:paraId="52071D7E" w14:textId="77777777" w:rsidR="0009007A" w:rsidRDefault="00000000">
      <w:pPr>
        <w:pStyle w:val="FootnoteText"/>
        <w:numPr>
          <w:ilvl w:val="2"/>
          <w:numId w:val="28"/>
        </w:numPr>
        <w:rPr>
          <w:lang w:bidi="he-IL"/>
        </w:rPr>
      </w:pPr>
      <w:r>
        <w:rPr>
          <w:rtl/>
          <w:lang w:bidi="he-IL"/>
        </w:rPr>
        <w:t>שלא ע"י מלאכה-</w:t>
      </w:r>
    </w:p>
    <w:p w14:paraId="76035193" w14:textId="77777777" w:rsidR="0009007A" w:rsidRDefault="00000000">
      <w:pPr>
        <w:pStyle w:val="FootnoteText"/>
        <w:numPr>
          <w:ilvl w:val="3"/>
          <w:numId w:val="28"/>
        </w:numPr>
        <w:rPr>
          <w:lang w:bidi="he-IL"/>
        </w:rPr>
      </w:pPr>
      <w:r>
        <w:rPr>
          <w:rtl/>
          <w:lang w:bidi="he-IL"/>
        </w:rPr>
        <w:t>ר’ יהודה- מותר.</w:t>
      </w:r>
    </w:p>
    <w:p w14:paraId="785D61CB" w14:textId="77777777" w:rsidR="0009007A" w:rsidRDefault="00000000">
      <w:pPr>
        <w:pStyle w:val="FootnoteText"/>
        <w:numPr>
          <w:ilvl w:val="3"/>
          <w:numId w:val="28"/>
        </w:numPr>
        <w:rPr>
          <w:lang w:bidi="he-IL"/>
        </w:rPr>
      </w:pPr>
      <w:r>
        <w:rPr>
          <w:rtl/>
          <w:lang w:bidi="he-IL"/>
        </w:rPr>
        <w:t>רבה- אסור, כיון שמוליד ריח.</w:t>
      </w:r>
    </w:p>
    <w:p w14:paraId="317DB071" w14:textId="77777777" w:rsidR="0009007A" w:rsidRDefault="00000000">
      <w:pPr>
        <w:pStyle w:val="FootnoteText"/>
        <w:numPr>
          <w:ilvl w:val="1"/>
          <w:numId w:val="28"/>
        </w:numPr>
        <w:rPr>
          <w:lang w:bidi="he-IL"/>
        </w:rPr>
      </w:pPr>
      <w:r>
        <w:rPr>
          <w:rtl/>
          <w:lang w:bidi="he-IL"/>
        </w:rPr>
        <w:t>לעשן אוכלים-</w:t>
      </w:r>
    </w:p>
    <w:p w14:paraId="3DE6B718" w14:textId="77777777" w:rsidR="0009007A" w:rsidRDefault="00000000">
      <w:pPr>
        <w:pStyle w:val="FootnoteText"/>
        <w:numPr>
          <w:ilvl w:val="2"/>
          <w:numId w:val="28"/>
        </w:numPr>
        <w:rPr>
          <w:lang w:bidi="he-IL"/>
        </w:rPr>
      </w:pPr>
      <w:r>
        <w:rPr>
          <w:rtl/>
          <w:lang w:bidi="he-IL"/>
        </w:rPr>
        <w:t>ע"י מלאכה-</w:t>
      </w:r>
    </w:p>
    <w:p w14:paraId="570AD79A" w14:textId="77777777" w:rsidR="0009007A" w:rsidRDefault="00000000">
      <w:pPr>
        <w:pStyle w:val="FootnoteText"/>
        <w:numPr>
          <w:ilvl w:val="3"/>
          <w:numId w:val="28"/>
        </w:numPr>
        <w:rPr>
          <w:lang w:bidi="he-IL"/>
        </w:rPr>
      </w:pPr>
      <w:r>
        <w:rPr>
          <w:rtl/>
          <w:lang w:bidi="he-IL"/>
        </w:rPr>
        <w:t>שמואל- מותר.</w:t>
      </w:r>
    </w:p>
    <w:p w14:paraId="55FE1E83" w14:textId="77777777" w:rsidR="0009007A" w:rsidRDefault="00000000">
      <w:pPr>
        <w:pStyle w:val="FootnoteText"/>
        <w:numPr>
          <w:ilvl w:val="3"/>
          <w:numId w:val="28"/>
        </w:numPr>
        <w:rPr>
          <w:lang w:bidi="he-IL"/>
        </w:rPr>
      </w:pPr>
      <w:r>
        <w:rPr>
          <w:rtl/>
          <w:lang w:bidi="he-IL"/>
        </w:rPr>
        <w:t>רב הונא, רב יהודה, רבה- אסור.</w:t>
      </w:r>
    </w:p>
    <w:p w14:paraId="10E57331" w14:textId="77777777" w:rsidR="0009007A" w:rsidRDefault="00000000">
      <w:pPr>
        <w:pStyle w:val="FootnoteText"/>
        <w:numPr>
          <w:ilvl w:val="2"/>
          <w:numId w:val="28"/>
        </w:numPr>
        <w:rPr>
          <w:lang w:bidi="he-IL"/>
        </w:rPr>
      </w:pPr>
      <w:r>
        <w:rPr>
          <w:rtl/>
          <w:lang w:bidi="he-IL"/>
        </w:rPr>
        <w:t>שלא ע"י מלאכה:</w:t>
      </w:r>
    </w:p>
    <w:p w14:paraId="4D80CBFB" w14:textId="77777777" w:rsidR="0009007A" w:rsidRDefault="00000000">
      <w:pPr>
        <w:pStyle w:val="FootnoteText"/>
        <w:numPr>
          <w:ilvl w:val="3"/>
          <w:numId w:val="28"/>
        </w:numPr>
        <w:rPr>
          <w:lang w:bidi="he-IL"/>
        </w:rPr>
      </w:pPr>
      <w:r>
        <w:rPr>
          <w:rtl/>
          <w:lang w:bidi="he-IL"/>
        </w:rPr>
        <w:t>שמואל, רב יהודה- מותר.</w:t>
      </w:r>
    </w:p>
    <w:p w14:paraId="611E4A54" w14:textId="77777777" w:rsidR="0009007A" w:rsidRDefault="00000000">
      <w:pPr>
        <w:pStyle w:val="FootnoteText"/>
        <w:numPr>
          <w:ilvl w:val="3"/>
          <w:numId w:val="28"/>
        </w:numPr>
        <w:rPr>
          <w:lang w:bidi="he-IL"/>
        </w:rPr>
      </w:pPr>
      <w:r>
        <w:rPr>
          <w:rtl/>
          <w:lang w:bidi="he-IL"/>
        </w:rPr>
        <w:t>רבה- אסור.</w:t>
      </w:r>
    </w:p>
    <w:p w14:paraId="621652CD" w14:textId="77777777" w:rsidR="0009007A" w:rsidRDefault="00000000">
      <w:pPr>
        <w:pStyle w:val="FootnoteText"/>
        <w:numPr>
          <w:ilvl w:val="0"/>
          <w:numId w:val="28"/>
        </w:numPr>
        <w:rPr>
          <w:lang w:bidi="he-IL"/>
        </w:rPr>
      </w:pPr>
      <w:r>
        <w:rPr>
          <w:rtl/>
          <w:lang w:bidi="he-IL"/>
        </w:rPr>
        <w:t>לכבד בי"ט:</w:t>
      </w:r>
    </w:p>
    <w:p w14:paraId="0D737DF5" w14:textId="77777777" w:rsidR="0009007A" w:rsidRDefault="00000000">
      <w:pPr>
        <w:pStyle w:val="FootnoteText"/>
        <w:numPr>
          <w:ilvl w:val="1"/>
          <w:numId w:val="28"/>
        </w:numPr>
        <w:rPr>
          <w:lang w:bidi="he-IL"/>
        </w:rPr>
      </w:pPr>
      <w:r>
        <w:rPr>
          <w:rtl/>
          <w:lang w:bidi="he-IL"/>
        </w:rPr>
        <w:t>רבן גמליאל (לתנא שלנו)- מותר.</w:t>
      </w:r>
    </w:p>
    <w:p w14:paraId="22B3E0AB" w14:textId="77777777" w:rsidR="0009007A" w:rsidRDefault="00000000">
      <w:pPr>
        <w:pStyle w:val="FootnoteText"/>
        <w:numPr>
          <w:ilvl w:val="1"/>
          <w:numId w:val="28"/>
        </w:numPr>
        <w:rPr>
          <w:lang w:bidi="he-IL"/>
        </w:rPr>
      </w:pPr>
      <w:r>
        <w:rPr>
          <w:rtl/>
          <w:lang w:bidi="he-IL"/>
        </w:rPr>
        <w:t>רבנן, ר"ג (לראב"צ)- אסור.</w:t>
      </w:r>
    </w:p>
    <w:p w14:paraId="69BED098" w14:textId="77777777" w:rsidR="0009007A" w:rsidRDefault="00000000">
      <w:pPr>
        <w:pStyle w:val="FootnoteText"/>
        <w:numPr>
          <w:ilvl w:val="0"/>
          <w:numId w:val="28"/>
        </w:numPr>
        <w:rPr>
          <w:lang w:bidi="he-IL"/>
        </w:rPr>
      </w:pPr>
      <w:r>
        <w:rPr>
          <w:rtl/>
          <w:lang w:bidi="he-IL"/>
        </w:rPr>
        <w:t>לאכול גדי מקולס בליל פסח:</w:t>
      </w:r>
    </w:p>
    <w:p w14:paraId="58553434" w14:textId="77777777" w:rsidR="0009007A" w:rsidRDefault="00000000">
      <w:pPr>
        <w:pStyle w:val="FootnoteText"/>
        <w:numPr>
          <w:ilvl w:val="1"/>
          <w:numId w:val="28"/>
        </w:numPr>
        <w:rPr>
          <w:lang w:bidi="he-IL"/>
        </w:rPr>
      </w:pPr>
      <w:r>
        <w:rPr>
          <w:rtl/>
          <w:lang w:bidi="he-IL"/>
        </w:rPr>
        <w:t>רבן גמליאל, תודוס איש רומי- מותר (ואולי אף טוב).</w:t>
      </w:r>
    </w:p>
    <w:p w14:paraId="57C098B0" w14:textId="77777777" w:rsidR="0009007A" w:rsidRDefault="00000000">
      <w:pPr>
        <w:pStyle w:val="FootnoteText"/>
        <w:numPr>
          <w:ilvl w:val="1"/>
          <w:numId w:val="28"/>
        </w:numPr>
        <w:rPr>
          <w:lang w:bidi="he-IL"/>
        </w:rPr>
      </w:pPr>
      <w:r>
        <w:rPr>
          <w:rtl/>
          <w:lang w:bidi="he-IL"/>
        </w:rPr>
        <w:t>רבנן- אסור.</w:t>
      </w:r>
    </w:p>
  </w:footnote>
  <w:footnote w:id="191">
    <w:p w14:paraId="12AE8410" w14:textId="77777777" w:rsidR="0009007A" w:rsidRDefault="00000000">
      <w:pPr>
        <w:pStyle w:val="FootnoteText"/>
        <w:rPr>
          <w:b/>
          <w:bCs/>
          <w:lang w:bidi="he-IL"/>
        </w:rPr>
      </w:pPr>
      <w:r>
        <w:rPr>
          <w:rStyle w:val="FootnoteCharacters"/>
        </w:rPr>
        <w:footnoteRef/>
      </w:r>
      <w:r>
        <w:rPr>
          <w:b/>
          <w:bCs/>
          <w:rtl/>
          <w:lang w:bidi="he-IL"/>
        </w:rPr>
        <w:tab/>
        <w:t>משנה ח:</w:t>
      </w:r>
    </w:p>
  </w:footnote>
  <w:footnote w:id="192">
    <w:p w14:paraId="4C0D1169" w14:textId="77777777" w:rsidR="0009007A" w:rsidRDefault="00000000">
      <w:pPr>
        <w:pStyle w:val="FootnoteText"/>
        <w:rPr>
          <w:b/>
          <w:bCs/>
          <w:lang w:bidi="he-IL"/>
        </w:rPr>
      </w:pPr>
      <w:r>
        <w:rPr>
          <w:rStyle w:val="FootnoteCharacters"/>
        </w:rPr>
        <w:footnoteRef/>
      </w:r>
      <w:r>
        <w:rPr>
          <w:b/>
          <w:bCs/>
          <w:rtl/>
          <w:lang w:bidi="he-IL"/>
        </w:rPr>
        <w:tab/>
        <w:t>הקדמה:</w:t>
      </w:r>
    </w:p>
    <w:p w14:paraId="2C61BA71" w14:textId="77777777" w:rsidR="0009007A" w:rsidRDefault="00000000">
      <w:pPr>
        <w:pStyle w:val="FootnoteText"/>
        <w:rPr>
          <w:b/>
          <w:bCs/>
          <w:lang w:bidi="he-IL"/>
        </w:rPr>
      </w:pPr>
      <w:r>
        <w:rPr>
          <w:rtl/>
          <w:lang w:bidi="he-IL"/>
        </w:rPr>
        <w:tab/>
        <w:t>משנה ממשיך לבאר שלשה דברים אחרים שבהם יש מחלקת אם מותר לעשות אותם בי"ט. בכלם, ראב"ע מיקל, וחכמים מחמירים.</w:t>
      </w:r>
    </w:p>
  </w:footnote>
  <w:footnote w:id="193">
    <w:p w14:paraId="3C3A5DF6" w14:textId="77777777" w:rsidR="0009007A" w:rsidRDefault="00000000">
      <w:pPr>
        <w:pStyle w:val="FootnoteText"/>
        <w:rPr>
          <w:lang w:bidi="he-IL"/>
        </w:rPr>
      </w:pPr>
      <w:r>
        <w:rPr>
          <w:rStyle w:val="FootnoteCharacters"/>
        </w:rPr>
        <w:footnoteRef/>
      </w:r>
      <w:r>
        <w:rPr>
          <w:rtl/>
          <w:lang w:bidi="he-IL"/>
        </w:rPr>
        <w:tab/>
        <w:t xml:space="preserve">גמ’ </w:t>
      </w:r>
      <w:r>
        <w:rPr>
          <w:b/>
          <w:bCs/>
          <w:u w:val="single"/>
          <w:rtl/>
          <w:lang w:bidi="he-IL"/>
        </w:rPr>
        <w:t>(כג.)</w:t>
      </w:r>
      <w:r>
        <w:rPr>
          <w:rtl/>
          <w:lang w:bidi="he-IL"/>
        </w:rPr>
        <w:t xml:space="preserve"> מוכיח שלא היתה פרתו (שהיו לו הרבה פרות), אלא היה פרה של שכנתו. נקרא על שמו כיון ששכנו הקיל מחמת פסק שלו.</w:t>
      </w:r>
    </w:p>
  </w:footnote>
  <w:footnote w:id="194">
    <w:p w14:paraId="26338933" w14:textId="77777777" w:rsidR="0009007A" w:rsidRDefault="00000000">
      <w:pPr>
        <w:pStyle w:val="FootnoteText"/>
        <w:rPr>
          <w:lang w:bidi="he-IL"/>
        </w:rPr>
      </w:pPr>
      <w:r>
        <w:rPr>
          <w:rStyle w:val="FootnoteCharacters"/>
        </w:rPr>
        <w:footnoteRef/>
      </w:r>
      <w:r>
        <w:rPr>
          <w:rtl/>
          <w:lang w:bidi="he-IL"/>
        </w:rPr>
        <w:tab/>
        <w:t>אדם מצווה על שביתת בהמתו בשבת ויו"ט. לכן, צריך לשמור שלא מוציא דבר. אבל, יש שני יוצאים מכלל זה. אם מוציא אותו כדי לשמור אותו, אינו נחשב משאוי. אם מוציא דבר לתכשיט, אינו נחשב משאוי. אבל, בכל אלו, צריך לכוון לתשמיש שלו. חולקים רב ושמואל אם לפי רבנן אסור בכל כוונה שיהיה לו או רק אם מכוון לא מכוון לשמור. לראב"ע מותר (כיון שסובר שהוא שומר, ואולי תכשיט). (יש לדון אם, לפי ראב"ע מותר בכל ציורים, לפי רב (שלפי רבנן אסור בכל ציורים) או רק אם מכוון לשמירה. מה שלא מזכיר גמ’ מחלקת באותו שיטה משמע כצד ראשון. ויש לדון.)</w:t>
      </w:r>
    </w:p>
  </w:footnote>
  <w:footnote w:id="195">
    <w:p w14:paraId="22233369" w14:textId="77777777" w:rsidR="0009007A" w:rsidRDefault="00000000">
      <w:pPr>
        <w:pStyle w:val="FootnoteText"/>
        <w:rPr>
          <w:lang w:bidi="he-IL"/>
        </w:rPr>
      </w:pPr>
      <w:r>
        <w:rPr>
          <w:rStyle w:val="FootnoteCharacters"/>
        </w:rPr>
        <w:footnoteRef/>
      </w:r>
      <w:r>
        <w:rPr>
          <w:rtl/>
          <w:lang w:bidi="he-IL"/>
        </w:rPr>
        <w:tab/>
        <w:t>רצה לומר, מתיר לפרה לצאת עם רצועה בין קרניה. הדרך שמזכיר את זה הוא שמזכיר שהקיל בזה למעשה.</w:t>
      </w:r>
    </w:p>
  </w:footnote>
  <w:footnote w:id="196">
    <w:p w14:paraId="3B77FA5E" w14:textId="77777777" w:rsidR="0009007A" w:rsidRDefault="00000000">
      <w:pPr>
        <w:pStyle w:val="FootnoteText"/>
        <w:rPr>
          <w:lang w:bidi="he-IL"/>
        </w:rPr>
      </w:pPr>
      <w:r>
        <w:rPr>
          <w:rStyle w:val="FootnoteCharacters"/>
        </w:rPr>
        <w:footnoteRef/>
      </w:r>
      <w:r>
        <w:rPr>
          <w:rtl/>
          <w:lang w:bidi="he-IL"/>
        </w:rPr>
        <w:tab/>
        <w:t xml:space="preserve">קו"מינג את הבהמה עם קו"ם שיש לה שיניים דקות. כיון שהשיניים דקות, מצוי שעושים חבורה. </w:t>
      </w:r>
      <w:r>
        <w:rPr>
          <w:b/>
          <w:bCs/>
          <w:u w:val="single"/>
          <w:rtl/>
          <w:lang w:bidi="he-IL"/>
        </w:rPr>
        <w:t>(כג.)</w:t>
      </w:r>
    </w:p>
  </w:footnote>
  <w:footnote w:id="197">
    <w:p w14:paraId="04CCBCF9" w14:textId="77777777" w:rsidR="0009007A" w:rsidRDefault="00000000">
      <w:pPr>
        <w:pStyle w:val="FootnoteText"/>
        <w:rPr>
          <w:lang w:bidi="he-IL"/>
        </w:rPr>
      </w:pPr>
      <w:r>
        <w:rPr>
          <w:rStyle w:val="FootnoteCharacters"/>
        </w:rPr>
        <w:footnoteRef/>
      </w:r>
      <w:r>
        <w:rPr>
          <w:rtl/>
          <w:lang w:bidi="he-IL"/>
        </w:rPr>
        <w:tab/>
        <w:t xml:space="preserve">סובר שאף שמצוי שיעשו חבורה, דבר שאינו מתכוון הוא, ודשא"מ מותר. </w:t>
      </w:r>
      <w:r>
        <w:rPr>
          <w:b/>
          <w:bCs/>
          <w:u w:val="single"/>
          <w:rtl/>
          <w:lang w:bidi="he-IL"/>
        </w:rPr>
        <w:t>(כג.)</w:t>
      </w:r>
    </w:p>
  </w:footnote>
  <w:footnote w:id="198">
    <w:p w14:paraId="3D7A413F" w14:textId="77777777" w:rsidR="0009007A" w:rsidRDefault="00000000">
      <w:pPr>
        <w:pStyle w:val="FootnoteText"/>
        <w:rPr>
          <w:lang w:bidi="he-IL"/>
        </w:rPr>
      </w:pPr>
      <w:r>
        <w:rPr>
          <w:rStyle w:val="FootnoteCharacters"/>
        </w:rPr>
        <w:footnoteRef/>
      </w:r>
      <w:r>
        <w:rPr>
          <w:rtl/>
          <w:lang w:bidi="he-IL"/>
        </w:rPr>
        <w:tab/>
        <w:t xml:space="preserve">כן פוסק רבא בשם ר"נ (אולי בשם שמואל). </w:t>
      </w:r>
      <w:r>
        <w:rPr>
          <w:b/>
          <w:bCs/>
          <w:u w:val="single"/>
          <w:rtl/>
          <w:lang w:bidi="he-IL"/>
        </w:rPr>
        <w:t>(כג.)</w:t>
      </w:r>
      <w:r>
        <w:rPr>
          <w:rtl/>
          <w:lang w:bidi="he-IL"/>
        </w:rPr>
        <w:t xml:space="preserve"> חלקו אמוראים בזה בשבת.</w:t>
      </w:r>
    </w:p>
  </w:footnote>
  <w:footnote w:id="199">
    <w:p w14:paraId="1625EED9" w14:textId="77777777" w:rsidR="0009007A" w:rsidRDefault="00000000">
      <w:pPr>
        <w:pStyle w:val="FootnoteText"/>
        <w:rPr>
          <w:lang w:bidi="he-IL"/>
        </w:rPr>
      </w:pPr>
      <w:r>
        <w:rPr>
          <w:rStyle w:val="FootnoteCharacters"/>
        </w:rPr>
        <w:footnoteRef/>
      </w:r>
      <w:r>
        <w:rPr>
          <w:rtl/>
          <w:lang w:bidi="he-IL"/>
        </w:rPr>
        <w:tab/>
        <w:t>גמ’ לא מפרש מהו הדיון בזה. ראיתי שקהתי כ’ שרבנן אסרו אותו משום טירחא, וראב"ע התיר (לכאו’, כיון שאין בו כ"כ טורח). גם ראיתי שתוס’ בשבת (קמא.) מפ’ שרבנן אסרו אותו משום שנראה כעובדים דחול.</w:t>
      </w:r>
    </w:p>
  </w:footnote>
  <w:footnote w:id="200">
    <w:p w14:paraId="4848AFF5" w14:textId="77777777" w:rsidR="0009007A" w:rsidRDefault="00000000">
      <w:pPr>
        <w:pStyle w:val="FootnoteText"/>
        <w:rPr>
          <w:lang w:bidi="he-IL"/>
        </w:rPr>
      </w:pPr>
      <w:r>
        <w:rPr>
          <w:rStyle w:val="FootnoteCharacters"/>
        </w:rPr>
        <w:footnoteRef/>
      </w:r>
      <w:r>
        <w:rPr>
          <w:rtl/>
          <w:lang w:bidi="he-IL"/>
        </w:rPr>
        <w:tab/>
        <w:t xml:space="preserve">רבי יהודה סובר שדשא"מ אסור. אז, אף שלא מתכוון לעשות חבורה, כיון שמצוי שיעשה חבורה, אסור לעשות בי"ט ושבת. </w:t>
      </w:r>
      <w:r>
        <w:rPr>
          <w:b/>
          <w:bCs/>
          <w:u w:val="single"/>
          <w:rtl/>
          <w:lang w:bidi="he-IL"/>
        </w:rPr>
        <w:t>(כג.)</w:t>
      </w:r>
    </w:p>
  </w:footnote>
  <w:footnote w:id="201">
    <w:p w14:paraId="27931B87" w14:textId="77777777" w:rsidR="0009007A" w:rsidRDefault="00000000">
      <w:pPr>
        <w:pStyle w:val="FootnoteText"/>
        <w:rPr>
          <w:lang w:bidi="he-IL"/>
        </w:rPr>
      </w:pPr>
      <w:r>
        <w:rPr>
          <w:rStyle w:val="FootnoteCharacters"/>
        </w:rPr>
        <w:footnoteRef/>
      </w:r>
      <w:r>
        <w:rPr>
          <w:rtl/>
          <w:lang w:bidi="he-IL"/>
        </w:rPr>
        <w:tab/>
        <w:t xml:space="preserve">קו"מינג את הבמה עם קו"ם שיש לה שיניים גסות. כיון שהשיניים גסות, לא מצוי שעושים חבורה, ואז אין איסור. </w:t>
      </w:r>
      <w:r>
        <w:rPr>
          <w:b/>
          <w:bCs/>
          <w:u w:val="single"/>
          <w:rtl/>
          <w:lang w:bidi="he-IL"/>
        </w:rPr>
        <w:t>(כג.)</w:t>
      </w:r>
    </w:p>
  </w:footnote>
  <w:footnote w:id="202">
    <w:p w14:paraId="5193D57F" w14:textId="77777777" w:rsidR="0009007A" w:rsidRDefault="00000000">
      <w:pPr>
        <w:pStyle w:val="FootnoteText"/>
        <w:rPr>
          <w:lang w:bidi="he-IL"/>
        </w:rPr>
      </w:pPr>
      <w:r>
        <w:rPr>
          <w:rStyle w:val="FootnoteCharacters"/>
        </w:rPr>
        <w:footnoteRef/>
      </w:r>
      <w:r>
        <w:rPr>
          <w:rtl/>
          <w:lang w:bidi="he-IL"/>
        </w:rPr>
        <w:tab/>
        <w:t xml:space="preserve">כיון שסוברים כרבי יהודה שדשא"מ אסור. </w:t>
      </w:r>
      <w:r>
        <w:rPr>
          <w:b/>
          <w:bCs/>
          <w:u w:val="single"/>
          <w:rtl/>
          <w:lang w:bidi="he-IL"/>
        </w:rPr>
        <w:t>(כג.)</w:t>
      </w:r>
    </w:p>
  </w:footnote>
  <w:footnote w:id="203">
    <w:p w14:paraId="2F723F9B" w14:textId="77777777" w:rsidR="0009007A" w:rsidRDefault="00000000">
      <w:pPr>
        <w:pStyle w:val="FootnoteText"/>
        <w:rPr>
          <w:lang w:bidi="he-IL"/>
        </w:rPr>
      </w:pPr>
      <w:r>
        <w:rPr>
          <w:rStyle w:val="FootnoteCharacters"/>
        </w:rPr>
        <w:footnoteRef/>
      </w:r>
      <w:r>
        <w:rPr>
          <w:rtl/>
          <w:lang w:bidi="he-IL"/>
        </w:rPr>
        <w:tab/>
        <w:t xml:space="preserve">שגוזרים קירצוף אג קירוד. </w:t>
      </w:r>
      <w:r>
        <w:rPr>
          <w:b/>
          <w:bCs/>
          <w:u w:val="single"/>
          <w:rtl/>
          <w:lang w:bidi="he-IL"/>
        </w:rPr>
        <w:t>(כג.)</w:t>
      </w:r>
    </w:p>
  </w:footnote>
  <w:footnote w:id="204">
    <w:p w14:paraId="4CFEE850"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6A231815" w14:textId="77777777" w:rsidR="0009007A" w:rsidRDefault="00000000">
      <w:pPr>
        <w:pStyle w:val="FootnoteText"/>
        <w:numPr>
          <w:ilvl w:val="0"/>
          <w:numId w:val="29"/>
        </w:numPr>
        <w:rPr>
          <w:lang w:bidi="he-IL"/>
        </w:rPr>
      </w:pPr>
      <w:r>
        <w:rPr>
          <w:rtl/>
          <w:lang w:bidi="he-IL"/>
        </w:rPr>
        <w:t>להניח לפרה לצאת עם רצועה בין קרניה:</w:t>
      </w:r>
    </w:p>
    <w:p w14:paraId="5F5FC15B" w14:textId="77777777" w:rsidR="0009007A" w:rsidRDefault="00000000">
      <w:pPr>
        <w:pStyle w:val="FootnoteText"/>
        <w:numPr>
          <w:ilvl w:val="1"/>
          <w:numId w:val="29"/>
        </w:numPr>
        <w:rPr>
          <w:lang w:bidi="he-IL"/>
        </w:rPr>
      </w:pPr>
      <w:r>
        <w:rPr>
          <w:rtl/>
          <w:lang w:bidi="he-IL"/>
        </w:rPr>
        <w:t>לשמור-</w:t>
      </w:r>
    </w:p>
    <w:p w14:paraId="7789B731" w14:textId="77777777" w:rsidR="0009007A" w:rsidRDefault="00000000">
      <w:pPr>
        <w:pStyle w:val="FootnoteText"/>
        <w:numPr>
          <w:ilvl w:val="2"/>
          <w:numId w:val="29"/>
        </w:numPr>
        <w:rPr>
          <w:lang w:bidi="he-IL"/>
        </w:rPr>
      </w:pPr>
      <w:r>
        <w:rPr>
          <w:rtl/>
          <w:lang w:bidi="he-IL"/>
        </w:rPr>
        <w:t>רבנן-</w:t>
      </w:r>
    </w:p>
    <w:p w14:paraId="7945CBA8" w14:textId="77777777" w:rsidR="0009007A" w:rsidRDefault="00000000">
      <w:pPr>
        <w:pStyle w:val="FootnoteText"/>
        <w:numPr>
          <w:ilvl w:val="3"/>
          <w:numId w:val="29"/>
        </w:numPr>
        <w:rPr>
          <w:lang w:bidi="he-IL"/>
        </w:rPr>
      </w:pPr>
      <w:r>
        <w:rPr>
          <w:rtl/>
          <w:lang w:bidi="he-IL"/>
        </w:rPr>
        <w:t>רב- אסור.</w:t>
      </w:r>
    </w:p>
    <w:p w14:paraId="05A2EBCA" w14:textId="77777777" w:rsidR="0009007A" w:rsidRDefault="00000000">
      <w:pPr>
        <w:pStyle w:val="FootnoteText"/>
        <w:numPr>
          <w:ilvl w:val="3"/>
          <w:numId w:val="29"/>
        </w:numPr>
        <w:rPr>
          <w:lang w:bidi="he-IL"/>
        </w:rPr>
      </w:pPr>
      <w:r>
        <w:rPr>
          <w:rtl/>
          <w:lang w:bidi="he-IL"/>
        </w:rPr>
        <w:t>שמואל- מותר.</w:t>
      </w:r>
    </w:p>
    <w:p w14:paraId="563C4C52" w14:textId="77777777" w:rsidR="0009007A" w:rsidRDefault="00000000">
      <w:pPr>
        <w:pStyle w:val="FootnoteText"/>
        <w:numPr>
          <w:ilvl w:val="2"/>
          <w:numId w:val="29"/>
        </w:numPr>
        <w:rPr>
          <w:lang w:bidi="he-IL"/>
        </w:rPr>
      </w:pPr>
      <w:r>
        <w:rPr>
          <w:rtl/>
          <w:lang w:bidi="he-IL"/>
        </w:rPr>
        <w:t>ראב"ע- מותר.</w:t>
      </w:r>
    </w:p>
    <w:p w14:paraId="6248B882" w14:textId="77777777" w:rsidR="0009007A" w:rsidRDefault="00000000">
      <w:pPr>
        <w:pStyle w:val="FootnoteText"/>
        <w:numPr>
          <w:ilvl w:val="1"/>
          <w:numId w:val="29"/>
        </w:numPr>
        <w:rPr>
          <w:lang w:bidi="he-IL"/>
        </w:rPr>
      </w:pPr>
      <w:r>
        <w:rPr>
          <w:rtl/>
          <w:lang w:bidi="he-IL"/>
        </w:rPr>
        <w:t>לנוי-</w:t>
      </w:r>
    </w:p>
    <w:p w14:paraId="1ADB4173" w14:textId="77777777" w:rsidR="0009007A" w:rsidRDefault="00000000">
      <w:pPr>
        <w:pStyle w:val="FootnoteText"/>
        <w:numPr>
          <w:ilvl w:val="2"/>
          <w:numId w:val="29"/>
        </w:numPr>
        <w:rPr>
          <w:lang w:bidi="he-IL"/>
        </w:rPr>
      </w:pPr>
      <w:r>
        <w:rPr>
          <w:rtl/>
          <w:lang w:bidi="he-IL"/>
        </w:rPr>
        <w:t>רבנן- אסור.</w:t>
      </w:r>
    </w:p>
    <w:p w14:paraId="686A93AB" w14:textId="77777777" w:rsidR="0009007A" w:rsidRDefault="00000000">
      <w:pPr>
        <w:pStyle w:val="FootnoteText"/>
        <w:numPr>
          <w:ilvl w:val="2"/>
          <w:numId w:val="29"/>
        </w:numPr>
        <w:rPr>
          <w:lang w:bidi="he-IL"/>
        </w:rPr>
      </w:pPr>
      <w:r>
        <w:rPr>
          <w:rtl/>
          <w:lang w:bidi="he-IL"/>
        </w:rPr>
        <w:t>ראב"ע- איני יודע. בוודאי לפי שמואל מותר, אבל יל"ד לפי רב.</w:t>
      </w:r>
    </w:p>
    <w:p w14:paraId="5BAFFE7B" w14:textId="77777777" w:rsidR="0009007A" w:rsidRDefault="00000000">
      <w:pPr>
        <w:pStyle w:val="FootnoteText"/>
        <w:numPr>
          <w:ilvl w:val="0"/>
          <w:numId w:val="29"/>
        </w:numPr>
        <w:rPr>
          <w:lang w:bidi="he-IL"/>
        </w:rPr>
      </w:pPr>
      <w:r>
        <w:rPr>
          <w:rtl/>
          <w:lang w:bidi="he-IL"/>
        </w:rPr>
        <w:t>לקו"ם לבהמה:</w:t>
      </w:r>
    </w:p>
    <w:p w14:paraId="09C29C17" w14:textId="77777777" w:rsidR="0009007A" w:rsidRDefault="00000000">
      <w:pPr>
        <w:pStyle w:val="FootnoteText"/>
        <w:numPr>
          <w:ilvl w:val="1"/>
          <w:numId w:val="29"/>
        </w:numPr>
        <w:rPr>
          <w:lang w:bidi="he-IL"/>
        </w:rPr>
      </w:pPr>
      <w:r>
        <w:rPr>
          <w:rtl/>
          <w:lang w:bidi="he-IL"/>
        </w:rPr>
        <w:t>עם קו"ם דקה-</w:t>
      </w:r>
    </w:p>
    <w:p w14:paraId="09EAC4F2" w14:textId="77777777" w:rsidR="0009007A" w:rsidRDefault="00000000">
      <w:pPr>
        <w:pStyle w:val="FootnoteText"/>
        <w:numPr>
          <w:ilvl w:val="2"/>
          <w:numId w:val="29"/>
        </w:numPr>
        <w:rPr>
          <w:lang w:bidi="he-IL"/>
        </w:rPr>
      </w:pPr>
      <w:r>
        <w:rPr>
          <w:rtl/>
          <w:lang w:bidi="he-IL"/>
        </w:rPr>
        <w:t>ראב"ע- מותר.</w:t>
      </w:r>
    </w:p>
    <w:p w14:paraId="0E92404C" w14:textId="77777777" w:rsidR="0009007A" w:rsidRDefault="00000000">
      <w:pPr>
        <w:pStyle w:val="FootnoteText"/>
        <w:numPr>
          <w:ilvl w:val="2"/>
          <w:numId w:val="29"/>
        </w:numPr>
        <w:rPr>
          <w:lang w:bidi="he-IL"/>
        </w:rPr>
      </w:pPr>
      <w:r>
        <w:rPr>
          <w:rtl/>
          <w:lang w:bidi="he-IL"/>
        </w:rPr>
        <w:t>ר"י, רבנן- אסור (דשא"מ).</w:t>
      </w:r>
    </w:p>
    <w:p w14:paraId="1BB968EC" w14:textId="77777777" w:rsidR="0009007A" w:rsidRDefault="00000000">
      <w:pPr>
        <w:pStyle w:val="FootnoteText"/>
        <w:numPr>
          <w:ilvl w:val="1"/>
          <w:numId w:val="29"/>
        </w:numPr>
        <w:rPr>
          <w:lang w:bidi="he-IL"/>
        </w:rPr>
      </w:pPr>
      <w:r>
        <w:rPr>
          <w:rtl/>
          <w:lang w:bidi="he-IL"/>
        </w:rPr>
        <w:t>עם קו"ם גסה-</w:t>
      </w:r>
    </w:p>
    <w:p w14:paraId="32FAD9E3" w14:textId="77777777" w:rsidR="0009007A" w:rsidRDefault="00000000">
      <w:pPr>
        <w:pStyle w:val="FootnoteText"/>
        <w:numPr>
          <w:ilvl w:val="2"/>
          <w:numId w:val="29"/>
        </w:numPr>
        <w:rPr>
          <w:lang w:bidi="he-IL"/>
        </w:rPr>
      </w:pPr>
      <w:r>
        <w:rPr>
          <w:rtl/>
          <w:lang w:bidi="he-IL"/>
        </w:rPr>
        <w:t>ראב"ע, ר"י- מותר.</w:t>
      </w:r>
    </w:p>
    <w:p w14:paraId="5C859D20" w14:textId="77777777" w:rsidR="0009007A" w:rsidRDefault="00000000">
      <w:pPr>
        <w:pStyle w:val="FootnoteText"/>
        <w:numPr>
          <w:ilvl w:val="2"/>
          <w:numId w:val="29"/>
        </w:numPr>
        <w:rPr>
          <w:lang w:bidi="he-IL"/>
        </w:rPr>
      </w:pPr>
      <w:r>
        <w:rPr>
          <w:rtl/>
          <w:lang w:bidi="he-IL"/>
        </w:rPr>
        <w:t>רבנן- אסור (גזי’ משום דקה).</w:t>
      </w:r>
    </w:p>
    <w:p w14:paraId="0CE9AF4B" w14:textId="77777777" w:rsidR="0009007A" w:rsidRDefault="00000000">
      <w:pPr>
        <w:pStyle w:val="FootnoteText"/>
        <w:numPr>
          <w:ilvl w:val="0"/>
          <w:numId w:val="29"/>
        </w:numPr>
        <w:rPr>
          <w:lang w:bidi="he-IL"/>
        </w:rPr>
      </w:pPr>
      <w:r>
        <w:rPr>
          <w:rtl/>
          <w:lang w:bidi="he-IL"/>
        </w:rPr>
        <w:t>לטחון פלפלים ברחים שלהם:</w:t>
      </w:r>
    </w:p>
    <w:p w14:paraId="7BF67B7A" w14:textId="77777777" w:rsidR="0009007A" w:rsidRDefault="00000000">
      <w:pPr>
        <w:pStyle w:val="FootnoteText"/>
        <w:numPr>
          <w:ilvl w:val="1"/>
          <w:numId w:val="29"/>
        </w:numPr>
        <w:rPr>
          <w:lang w:bidi="he-IL"/>
        </w:rPr>
      </w:pPr>
      <w:r>
        <w:rPr>
          <w:rtl/>
          <w:lang w:bidi="he-IL"/>
        </w:rPr>
        <w:t>ראב"ע- מותר.</w:t>
      </w:r>
    </w:p>
    <w:p w14:paraId="39EBF01B" w14:textId="77777777" w:rsidR="0009007A" w:rsidRDefault="00000000">
      <w:pPr>
        <w:pStyle w:val="FootnoteText"/>
        <w:numPr>
          <w:ilvl w:val="1"/>
          <w:numId w:val="29"/>
        </w:numPr>
        <w:rPr>
          <w:lang w:bidi="he-IL"/>
        </w:rPr>
      </w:pPr>
      <w:r>
        <w:rPr>
          <w:rtl/>
          <w:lang w:bidi="he-IL"/>
        </w:rPr>
        <w:t>רבנן- אסור.</w:t>
      </w:r>
    </w:p>
  </w:footnote>
  <w:footnote w:id="205">
    <w:p w14:paraId="2B670E28" w14:textId="77777777" w:rsidR="0009007A" w:rsidRDefault="00000000">
      <w:pPr>
        <w:pStyle w:val="FootnoteText"/>
        <w:rPr>
          <w:b/>
          <w:bCs/>
          <w:lang w:bidi="he-IL"/>
        </w:rPr>
      </w:pPr>
      <w:r>
        <w:rPr>
          <w:rStyle w:val="FootnoteCharacters"/>
        </w:rPr>
        <w:footnoteRef/>
      </w:r>
      <w:r>
        <w:rPr>
          <w:b/>
          <w:bCs/>
          <w:rtl/>
          <w:lang w:bidi="he-IL"/>
        </w:rPr>
        <w:tab/>
        <w:t>משנה ט:</w:t>
      </w:r>
    </w:p>
  </w:footnote>
  <w:footnote w:id="206">
    <w:p w14:paraId="2B96DFE9" w14:textId="77777777" w:rsidR="0009007A" w:rsidRDefault="00000000">
      <w:pPr>
        <w:pStyle w:val="FootnoteText"/>
        <w:rPr>
          <w:b/>
          <w:bCs/>
          <w:lang w:bidi="he-IL"/>
        </w:rPr>
      </w:pPr>
      <w:r>
        <w:rPr>
          <w:rStyle w:val="FootnoteCharacters"/>
        </w:rPr>
        <w:footnoteRef/>
      </w:r>
      <w:r>
        <w:rPr>
          <w:b/>
          <w:bCs/>
          <w:rtl/>
          <w:lang w:bidi="he-IL"/>
        </w:rPr>
        <w:tab/>
        <w:t>הקדמה:</w:t>
      </w:r>
    </w:p>
    <w:p w14:paraId="5618BD24" w14:textId="77777777" w:rsidR="0009007A" w:rsidRDefault="00000000">
      <w:pPr>
        <w:pStyle w:val="FootnoteText"/>
        <w:rPr>
          <w:lang w:bidi="he-IL"/>
        </w:rPr>
      </w:pPr>
      <w:r>
        <w:rPr>
          <w:rtl/>
          <w:lang w:bidi="he-IL"/>
        </w:rPr>
        <w:tab/>
        <w:t>משנה זה ממשיך ממשנה שבא לפניו. אותו משנה דיבר על דין של שחיקת ריחיים, והזכיר מחלקת בשחיקתו בכלי. אגב זה, מזכיר עוד דין בנוגע כלי שלו, והוא יכולת שלו לקבל טומאה בניתוק.</w:t>
      </w:r>
    </w:p>
  </w:footnote>
  <w:footnote w:id="207">
    <w:p w14:paraId="0E1D0392" w14:textId="77777777" w:rsidR="0009007A" w:rsidRDefault="00000000">
      <w:pPr>
        <w:pStyle w:val="FootnoteText"/>
        <w:rPr>
          <w:lang w:bidi="he-IL"/>
        </w:rPr>
      </w:pPr>
      <w:r>
        <w:rPr>
          <w:rStyle w:val="FootnoteCharacters"/>
        </w:rPr>
        <w:footnoteRef/>
      </w:r>
      <w:r>
        <w:rPr>
          <w:rtl/>
          <w:lang w:bidi="he-IL"/>
        </w:rPr>
        <w:tab/>
        <w:t>ציירנו ציור של ריחיים של פלפלים, וקראנו לו "ריחיים של פלפלים.” שם, תראה כלי העליונה למעלה, כלי אמצעית באמצע, וכלי התחתונה למטה. יש סיבה טובה לזה, כמובן.</w:t>
      </w:r>
    </w:p>
  </w:footnote>
  <w:footnote w:id="208">
    <w:p w14:paraId="0A1EA453" w14:textId="77777777" w:rsidR="0009007A" w:rsidRDefault="00000000">
      <w:pPr>
        <w:pStyle w:val="FootnoteText"/>
        <w:rPr>
          <w:lang w:bidi="he-IL"/>
        </w:rPr>
      </w:pPr>
      <w:r>
        <w:rPr>
          <w:rStyle w:val="FootnoteCharacters"/>
        </w:rPr>
        <w:footnoteRef/>
      </w:r>
      <w:r>
        <w:rPr>
          <w:rtl/>
          <w:lang w:bidi="he-IL"/>
        </w:rPr>
        <w:tab/>
        <w:t>רצה לומר, כל אחד משלשה הכלים שיש בה מקבל טומאה בפני עצמו. (מרש"י משמע שכשהם מחוברים, נחשבים כלי אחד. אבל, אפילו כשהם מנותקים, כל אחד מקבל טומאה.)</w:t>
      </w:r>
    </w:p>
  </w:footnote>
  <w:footnote w:id="209">
    <w:p w14:paraId="5492C50A" w14:textId="77777777" w:rsidR="0009007A" w:rsidRDefault="00000000">
      <w:pPr>
        <w:pStyle w:val="FootnoteText"/>
        <w:rPr>
          <w:lang w:bidi="he-IL"/>
        </w:rPr>
      </w:pPr>
      <w:r>
        <w:rPr>
          <w:rStyle w:val="FootnoteCharacters"/>
        </w:rPr>
        <w:footnoteRef/>
      </w:r>
      <w:r>
        <w:rPr>
          <w:rtl/>
          <w:lang w:bidi="he-IL"/>
        </w:rPr>
        <w:tab/>
        <w:t xml:space="preserve">כלי התחתון יש לו בית קיבול. אף שהוא של עץ, מקבל טומאה מדאו’, שכלי עץ שיש בו בית קיבול מקבל טומאה. </w:t>
      </w:r>
      <w:r>
        <w:rPr>
          <w:b/>
          <w:bCs/>
          <w:u w:val="single"/>
          <w:rtl/>
          <w:lang w:bidi="he-IL"/>
        </w:rPr>
        <w:t>(כג:)</w:t>
      </w:r>
    </w:p>
  </w:footnote>
  <w:footnote w:id="210">
    <w:p w14:paraId="1D9DF603" w14:textId="77777777" w:rsidR="0009007A" w:rsidRDefault="00000000">
      <w:pPr>
        <w:pStyle w:val="FootnoteText"/>
        <w:rPr>
          <w:lang w:bidi="he-IL"/>
        </w:rPr>
      </w:pPr>
      <w:r>
        <w:rPr>
          <w:rStyle w:val="FootnoteCharacters"/>
        </w:rPr>
        <w:footnoteRef/>
      </w:r>
      <w:r>
        <w:rPr>
          <w:rtl/>
          <w:lang w:bidi="he-IL"/>
        </w:rPr>
        <w:tab/>
        <w:t xml:space="preserve">כלי העליון יש לו חיפוי מתכת שבו כותשים. אותו מתכת חשוב, ונחשב הכל של מתכת. מטמא מדאו’, שפשוטי כלי מתכת מטמאים. </w:t>
      </w:r>
      <w:r>
        <w:rPr>
          <w:b/>
          <w:bCs/>
          <w:u w:val="single"/>
          <w:rtl/>
          <w:lang w:bidi="he-IL"/>
        </w:rPr>
        <w:t>(כג:)</w:t>
      </w:r>
    </w:p>
  </w:footnote>
  <w:footnote w:id="211">
    <w:p w14:paraId="4FF3A1B6" w14:textId="77777777" w:rsidR="0009007A" w:rsidRDefault="00000000">
      <w:pPr>
        <w:pStyle w:val="FootnoteText"/>
        <w:rPr>
          <w:lang w:bidi="he-IL"/>
        </w:rPr>
      </w:pPr>
      <w:r>
        <w:rPr>
          <w:rStyle w:val="FootnoteCharacters"/>
        </w:rPr>
        <w:footnoteRef/>
      </w:r>
      <w:r>
        <w:rPr>
          <w:rtl/>
          <w:lang w:bidi="he-IL"/>
        </w:rPr>
        <w:tab/>
        <w:t xml:space="preserve">כלי האמצע יש לו כברה, ונראה כארוג. כיון שארוג מטמא מדאו’, זה, שהוא רק עץ, ולא בגד, מטמא מדרבנן. </w:t>
      </w:r>
      <w:r>
        <w:rPr>
          <w:b/>
          <w:bCs/>
          <w:u w:val="single"/>
          <w:rtl/>
          <w:lang w:bidi="he-IL"/>
        </w:rPr>
        <w:t>(כג:)</w:t>
      </w:r>
    </w:p>
  </w:footnote>
  <w:footnote w:id="212">
    <w:p w14:paraId="508FAE0A"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3149731" w14:textId="77777777" w:rsidR="0009007A" w:rsidRDefault="00000000">
      <w:pPr>
        <w:pStyle w:val="FootnoteText"/>
        <w:rPr>
          <w:lang w:bidi="he-IL"/>
        </w:rPr>
      </w:pPr>
      <w:r>
        <w:rPr>
          <w:rtl/>
          <w:lang w:bidi="he-IL"/>
        </w:rPr>
        <w:tab/>
        <w:t>מצאנו שלש מיני כלי שמקבלים טומאה:</w:t>
      </w:r>
    </w:p>
    <w:p w14:paraId="37F8F94F" w14:textId="77777777" w:rsidR="0009007A" w:rsidRDefault="00000000">
      <w:pPr>
        <w:pStyle w:val="FootnoteText"/>
        <w:numPr>
          <w:ilvl w:val="0"/>
          <w:numId w:val="30"/>
        </w:numPr>
        <w:rPr>
          <w:lang w:bidi="he-IL"/>
        </w:rPr>
      </w:pPr>
      <w:r>
        <w:rPr>
          <w:rtl/>
          <w:lang w:bidi="he-IL"/>
        </w:rPr>
        <w:t>כלי עץ- רק אם יש לו בית קיבול. (הוא מדאו’.)</w:t>
      </w:r>
    </w:p>
    <w:p w14:paraId="6581229D" w14:textId="77777777" w:rsidR="0009007A" w:rsidRDefault="00000000">
      <w:pPr>
        <w:pStyle w:val="FootnoteText"/>
        <w:numPr>
          <w:ilvl w:val="0"/>
          <w:numId w:val="30"/>
        </w:numPr>
        <w:rPr>
          <w:lang w:bidi="he-IL"/>
        </w:rPr>
      </w:pPr>
      <w:r>
        <w:rPr>
          <w:rtl/>
          <w:lang w:bidi="he-IL"/>
        </w:rPr>
        <w:t>כלי מתכת- תמיד. (הוא מדאו’.)</w:t>
      </w:r>
    </w:p>
    <w:p w14:paraId="2619D5DA" w14:textId="77777777" w:rsidR="0009007A" w:rsidRDefault="00000000">
      <w:pPr>
        <w:pStyle w:val="FootnoteText"/>
        <w:numPr>
          <w:ilvl w:val="0"/>
          <w:numId w:val="30"/>
        </w:numPr>
        <w:rPr>
          <w:lang w:bidi="he-IL"/>
        </w:rPr>
      </w:pPr>
      <w:r>
        <w:rPr>
          <w:rtl/>
          <w:lang w:bidi="he-IL"/>
        </w:rPr>
        <w:t>כלי ארוג-</w:t>
      </w:r>
    </w:p>
    <w:p w14:paraId="482DC67D" w14:textId="77777777" w:rsidR="0009007A" w:rsidRDefault="00000000">
      <w:pPr>
        <w:pStyle w:val="FootnoteText"/>
        <w:numPr>
          <w:ilvl w:val="1"/>
          <w:numId w:val="30"/>
        </w:numPr>
        <w:rPr>
          <w:lang w:bidi="he-IL"/>
        </w:rPr>
      </w:pPr>
      <w:r>
        <w:rPr>
          <w:rtl/>
          <w:lang w:bidi="he-IL"/>
        </w:rPr>
        <w:t>בגד- מדאו’.</w:t>
      </w:r>
    </w:p>
    <w:p w14:paraId="1F248F64" w14:textId="77777777" w:rsidR="0009007A" w:rsidRDefault="00000000">
      <w:pPr>
        <w:pStyle w:val="FootnoteText"/>
        <w:numPr>
          <w:ilvl w:val="1"/>
          <w:numId w:val="30"/>
        </w:numPr>
        <w:rPr>
          <w:lang w:bidi="he-IL"/>
        </w:rPr>
      </w:pPr>
      <w:r>
        <w:rPr>
          <w:rtl/>
          <w:lang w:bidi="he-IL"/>
        </w:rPr>
        <w:t>עץ- מדרבנן.</w:t>
      </w:r>
    </w:p>
  </w:footnote>
  <w:footnote w:id="213">
    <w:p w14:paraId="589DAAF8" w14:textId="77777777" w:rsidR="0009007A" w:rsidRDefault="00000000">
      <w:pPr>
        <w:pStyle w:val="FootnoteText"/>
        <w:rPr>
          <w:b/>
          <w:bCs/>
          <w:lang w:bidi="he-IL"/>
        </w:rPr>
      </w:pPr>
      <w:r>
        <w:rPr>
          <w:rStyle w:val="FootnoteCharacters"/>
        </w:rPr>
        <w:footnoteRef/>
      </w:r>
      <w:r>
        <w:rPr>
          <w:b/>
          <w:bCs/>
          <w:rtl/>
          <w:lang w:bidi="he-IL"/>
        </w:rPr>
        <w:tab/>
        <w:t>משנה י:</w:t>
      </w:r>
    </w:p>
  </w:footnote>
  <w:footnote w:id="214">
    <w:p w14:paraId="33B4DC6A" w14:textId="77777777" w:rsidR="0009007A" w:rsidRDefault="00000000">
      <w:pPr>
        <w:pStyle w:val="FootnoteText"/>
        <w:rPr>
          <w:b/>
          <w:bCs/>
          <w:lang w:bidi="he-IL"/>
        </w:rPr>
      </w:pPr>
      <w:r>
        <w:rPr>
          <w:rStyle w:val="FootnoteCharacters"/>
        </w:rPr>
        <w:footnoteRef/>
      </w:r>
      <w:r>
        <w:rPr>
          <w:b/>
          <w:bCs/>
          <w:rtl/>
          <w:lang w:bidi="he-IL"/>
        </w:rPr>
        <w:tab/>
        <w:t>הקדמה:</w:t>
      </w:r>
    </w:p>
    <w:p w14:paraId="3C788CB3" w14:textId="77777777" w:rsidR="0009007A" w:rsidRDefault="00000000">
      <w:pPr>
        <w:pStyle w:val="FootnoteText"/>
        <w:rPr>
          <w:b/>
          <w:bCs/>
          <w:lang w:bidi="he-IL"/>
        </w:rPr>
      </w:pPr>
      <w:r>
        <w:rPr>
          <w:rtl/>
          <w:lang w:bidi="he-IL"/>
        </w:rPr>
        <w:tab/>
        <w:t>משנה שלנו מדבר בדין עגלה של קטן. דן בו לענין שלש דינים- טומאתו, מוקצה, וגררתו. (מסתבר שדן בו כאן כיון שהוא דשא"מ, והיה דן בזה לפני כן. יש להעיר שגם יוצא שדן בדין טומאה מיד אחרי שדן בדין טומאה.)</w:t>
      </w:r>
    </w:p>
    <w:p w14:paraId="77BA7FB9" w14:textId="77777777" w:rsidR="0009007A" w:rsidRDefault="00000000">
      <w:pPr>
        <w:pStyle w:val="FootnoteText"/>
        <w:rPr>
          <w:b/>
          <w:bCs/>
          <w:lang w:bidi="he-IL"/>
        </w:rPr>
      </w:pPr>
      <w:r>
        <w:rPr>
          <w:rtl/>
          <w:lang w:bidi="he-IL"/>
        </w:rPr>
        <w:tab/>
        <w:t>אם זב יושב על דבר המיוחד לישיבה, אותו דבר נטמא להיות אב הטומאה. משנה מחדש שהעגלה מיוחד לישיבה, ולכן נטמא אם יושב עליו הקטן כשיושב עליו. שאר הדינים לא צריכים הקדמה.</w:t>
      </w:r>
    </w:p>
  </w:footnote>
  <w:footnote w:id="215">
    <w:p w14:paraId="48C2CE19" w14:textId="77777777" w:rsidR="0009007A" w:rsidRDefault="00000000">
      <w:pPr>
        <w:pStyle w:val="FootnoteText"/>
        <w:rPr>
          <w:lang w:bidi="he-IL"/>
        </w:rPr>
      </w:pPr>
      <w:r>
        <w:rPr>
          <w:rStyle w:val="FootnoteCharacters"/>
        </w:rPr>
        <w:footnoteRef/>
      </w:r>
      <w:r>
        <w:rPr>
          <w:rtl/>
          <w:lang w:bidi="he-IL"/>
        </w:rPr>
        <w:tab/>
        <w:t>עגלה שעושים לקטן לשבת בתוכה לשחוק. (כפרש"י; וע’ בתוס’.)</w:t>
      </w:r>
    </w:p>
  </w:footnote>
  <w:footnote w:id="216">
    <w:p w14:paraId="74697284" w14:textId="77777777" w:rsidR="0009007A" w:rsidRDefault="00000000">
      <w:pPr>
        <w:pStyle w:val="FootnoteText"/>
        <w:rPr>
          <w:lang w:bidi="he-IL"/>
        </w:rPr>
      </w:pPr>
      <w:r>
        <w:rPr>
          <w:rStyle w:val="FootnoteCharacters"/>
        </w:rPr>
        <w:footnoteRef/>
      </w:r>
      <w:r>
        <w:rPr>
          <w:rtl/>
          <w:lang w:bidi="he-IL"/>
        </w:rPr>
        <w:tab/>
        <w:t xml:space="preserve">כיון שיושב עליו, ומיוחד הוא לישיבה. </w:t>
      </w:r>
      <w:r>
        <w:rPr>
          <w:b/>
          <w:bCs/>
          <w:u w:val="single"/>
          <w:rtl/>
          <w:lang w:bidi="he-IL"/>
        </w:rPr>
        <w:t>(כג:)</w:t>
      </w:r>
    </w:p>
  </w:footnote>
  <w:footnote w:id="217">
    <w:p w14:paraId="0C5B1F34" w14:textId="77777777" w:rsidR="0009007A" w:rsidRDefault="00000000">
      <w:pPr>
        <w:pStyle w:val="FootnoteText"/>
        <w:rPr>
          <w:lang w:bidi="he-IL"/>
        </w:rPr>
      </w:pPr>
      <w:r>
        <w:rPr>
          <w:rStyle w:val="FootnoteCharacters"/>
        </w:rPr>
        <w:footnoteRef/>
      </w:r>
      <w:r>
        <w:rPr>
          <w:rtl/>
          <w:lang w:bidi="he-IL"/>
        </w:rPr>
        <w:tab/>
        <w:t>אם הקטן ישב עליו. (נראה שאם אחר ישב עליו, לא יטמא, שמיוחד לישיבת הקטן.)</w:t>
      </w:r>
    </w:p>
  </w:footnote>
  <w:footnote w:id="218">
    <w:p w14:paraId="1EC8BB13" w14:textId="77777777" w:rsidR="0009007A" w:rsidRDefault="00000000">
      <w:pPr>
        <w:pStyle w:val="FootnoteText"/>
        <w:rPr>
          <w:lang w:bidi="he-IL"/>
        </w:rPr>
      </w:pPr>
      <w:r>
        <w:rPr>
          <w:rStyle w:val="FootnoteCharacters"/>
        </w:rPr>
        <w:footnoteRef/>
      </w:r>
      <w:r>
        <w:rPr>
          <w:rtl/>
          <w:lang w:bidi="he-IL"/>
        </w:rPr>
        <w:tab/>
        <w:t xml:space="preserve">כיון שהיא כלי (יש לו תשמיש), אינה מוקצה. </w:t>
      </w:r>
      <w:r>
        <w:rPr>
          <w:b/>
          <w:bCs/>
          <w:u w:val="single"/>
          <w:rtl/>
          <w:lang w:bidi="he-IL"/>
        </w:rPr>
        <w:t>(כג:)</w:t>
      </w:r>
    </w:p>
  </w:footnote>
  <w:footnote w:id="219">
    <w:p w14:paraId="15BD8FB0" w14:textId="77777777" w:rsidR="0009007A" w:rsidRDefault="00000000">
      <w:pPr>
        <w:pStyle w:val="FootnoteText"/>
        <w:rPr>
          <w:lang w:bidi="he-IL"/>
        </w:rPr>
      </w:pPr>
      <w:r>
        <w:rPr>
          <w:rStyle w:val="FootnoteCharacters"/>
        </w:rPr>
        <w:footnoteRef/>
      </w:r>
      <w:r>
        <w:rPr>
          <w:rtl/>
          <w:lang w:bidi="he-IL"/>
        </w:rPr>
        <w:tab/>
        <w:t xml:space="preserve">תנא זו סובר שדשא"מ אסור, ולכן אוסר לגרור אותו על הארץ, שיעשה תלמים (והוא חורש). </w:t>
      </w:r>
      <w:r>
        <w:rPr>
          <w:b/>
          <w:bCs/>
          <w:u w:val="single"/>
          <w:rtl/>
          <w:lang w:bidi="he-IL"/>
        </w:rPr>
        <w:t>(כג:)</w:t>
      </w:r>
    </w:p>
  </w:footnote>
  <w:footnote w:id="220">
    <w:p w14:paraId="243E06DD" w14:textId="77777777" w:rsidR="0009007A" w:rsidRDefault="00000000">
      <w:pPr>
        <w:pStyle w:val="FootnoteText"/>
        <w:rPr>
          <w:lang w:bidi="he-IL"/>
        </w:rPr>
      </w:pPr>
      <w:r>
        <w:rPr>
          <w:rStyle w:val="FootnoteCharacters"/>
        </w:rPr>
        <w:footnoteRef/>
      </w:r>
      <w:r>
        <w:rPr>
          <w:rtl/>
          <w:lang w:bidi="he-IL"/>
        </w:rPr>
        <w:tab/>
        <w:t xml:space="preserve">מפני שעשויים לעשות תלמים, ודשא"מ אסור. </w:t>
      </w:r>
      <w:r>
        <w:rPr>
          <w:b/>
          <w:bCs/>
          <w:u w:val="single"/>
          <w:rtl/>
          <w:lang w:bidi="he-IL"/>
        </w:rPr>
        <w:t>(כג:)</w:t>
      </w:r>
    </w:p>
  </w:footnote>
  <w:footnote w:id="221">
    <w:p w14:paraId="7A9A2167" w14:textId="77777777" w:rsidR="0009007A" w:rsidRDefault="00000000">
      <w:pPr>
        <w:pStyle w:val="FootnoteText"/>
        <w:rPr>
          <w:lang w:bidi="he-IL"/>
        </w:rPr>
      </w:pPr>
      <w:r>
        <w:rPr>
          <w:rStyle w:val="FootnoteCharacters"/>
        </w:rPr>
        <w:footnoteRef/>
      </w:r>
      <w:r>
        <w:rPr>
          <w:rtl/>
          <w:lang w:bidi="he-IL"/>
        </w:rPr>
        <w:tab/>
        <w:t xml:space="preserve">לא מזיז את העפר, אלא כובש אותו, ואין זה דומה לחורש. </w:t>
      </w:r>
      <w:r>
        <w:rPr>
          <w:b/>
          <w:bCs/>
          <w:u w:val="single"/>
          <w:rtl/>
          <w:lang w:bidi="he-IL"/>
        </w:rPr>
        <w:t>(כג:)</w:t>
      </w:r>
    </w:p>
  </w:footnote>
  <w:footnote w:id="222">
    <w:p w14:paraId="06005373"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558E0CF6" w14:textId="77777777" w:rsidR="0009007A" w:rsidRDefault="00000000">
      <w:pPr>
        <w:pStyle w:val="FootnoteText"/>
        <w:numPr>
          <w:ilvl w:val="0"/>
          <w:numId w:val="31"/>
        </w:numPr>
        <w:rPr>
          <w:lang w:bidi="he-IL"/>
        </w:rPr>
      </w:pPr>
      <w:r>
        <w:rPr>
          <w:rtl/>
          <w:lang w:bidi="he-IL"/>
        </w:rPr>
        <w:t>עגלה של קטן:</w:t>
      </w:r>
    </w:p>
    <w:p w14:paraId="45941D52" w14:textId="77777777" w:rsidR="0009007A" w:rsidRDefault="00000000">
      <w:pPr>
        <w:pStyle w:val="FootnoteText"/>
        <w:numPr>
          <w:ilvl w:val="1"/>
          <w:numId w:val="31"/>
        </w:numPr>
        <w:rPr>
          <w:lang w:bidi="he-IL"/>
        </w:rPr>
      </w:pPr>
      <w:r>
        <w:rPr>
          <w:rtl/>
          <w:lang w:bidi="he-IL"/>
        </w:rPr>
        <w:t>מדרס- טמא.</w:t>
      </w:r>
    </w:p>
    <w:p w14:paraId="5E35B877" w14:textId="77777777" w:rsidR="0009007A" w:rsidRDefault="00000000">
      <w:pPr>
        <w:pStyle w:val="FootnoteText"/>
        <w:numPr>
          <w:ilvl w:val="1"/>
          <w:numId w:val="31"/>
        </w:numPr>
        <w:rPr>
          <w:lang w:bidi="he-IL"/>
        </w:rPr>
      </w:pPr>
      <w:r>
        <w:rPr>
          <w:rtl/>
          <w:lang w:bidi="he-IL"/>
        </w:rPr>
        <w:t>מוקצה- טהור.</w:t>
      </w:r>
    </w:p>
    <w:p w14:paraId="4DF299BA" w14:textId="77777777" w:rsidR="0009007A" w:rsidRDefault="00000000">
      <w:pPr>
        <w:pStyle w:val="FootnoteText"/>
        <w:numPr>
          <w:ilvl w:val="1"/>
          <w:numId w:val="31"/>
        </w:numPr>
        <w:rPr>
          <w:lang w:bidi="he-IL"/>
        </w:rPr>
      </w:pPr>
      <w:r>
        <w:rPr>
          <w:rtl/>
          <w:lang w:bidi="he-IL"/>
        </w:rPr>
        <w:t>גרירתו:</w:t>
      </w:r>
    </w:p>
    <w:p w14:paraId="6F004F02" w14:textId="77777777" w:rsidR="0009007A" w:rsidRDefault="00000000">
      <w:pPr>
        <w:pStyle w:val="FootnoteText"/>
        <w:numPr>
          <w:ilvl w:val="2"/>
          <w:numId w:val="31"/>
        </w:numPr>
        <w:rPr>
          <w:lang w:bidi="he-IL"/>
        </w:rPr>
      </w:pPr>
      <w:r>
        <w:rPr>
          <w:rtl/>
          <w:lang w:bidi="he-IL"/>
        </w:rPr>
        <w:t>רבי שמעון, רבי יהודה- מותר.</w:t>
      </w:r>
    </w:p>
    <w:p w14:paraId="79E3E2C7" w14:textId="77777777" w:rsidR="0009007A" w:rsidRDefault="00000000">
      <w:pPr>
        <w:pStyle w:val="FootnoteText"/>
        <w:numPr>
          <w:ilvl w:val="2"/>
          <w:numId w:val="31"/>
        </w:numPr>
        <w:rPr>
          <w:lang w:bidi="he-IL"/>
        </w:rPr>
      </w:pPr>
      <w:r>
        <w:rPr>
          <w:rtl/>
          <w:lang w:bidi="he-IL"/>
        </w:rPr>
        <w:t>רבנן- אסור.</w:t>
      </w:r>
    </w:p>
  </w:footnote>
  <w:footnote w:id="223">
    <w:p w14:paraId="367FF197" w14:textId="77777777" w:rsidR="0009007A" w:rsidRDefault="00000000">
      <w:pPr>
        <w:pStyle w:val="FootnoteText"/>
        <w:jc w:val="center"/>
        <w:rPr>
          <w:b/>
          <w:bCs/>
          <w:u w:val="single"/>
          <w:lang w:bidi="he-IL"/>
        </w:rPr>
      </w:pPr>
      <w:r>
        <w:rPr>
          <w:rStyle w:val="FootnoteCharacters"/>
        </w:rPr>
        <w:footnoteRef/>
      </w:r>
      <w:r>
        <w:rPr>
          <w:b/>
          <w:bCs/>
          <w:u w:val="single"/>
          <w:rtl/>
          <w:lang w:bidi="he-IL"/>
        </w:rPr>
        <w:tab/>
        <w:t>פרק שלישי</w:t>
      </w:r>
    </w:p>
  </w:footnote>
  <w:footnote w:id="224">
    <w:p w14:paraId="65640D16" w14:textId="77777777" w:rsidR="0009007A" w:rsidRDefault="00000000">
      <w:pPr>
        <w:pStyle w:val="FootnoteText"/>
        <w:rPr>
          <w:b/>
          <w:bCs/>
          <w:lang w:bidi="he-IL"/>
        </w:rPr>
      </w:pPr>
      <w:r>
        <w:rPr>
          <w:rStyle w:val="FootnoteCharacters"/>
        </w:rPr>
        <w:footnoteRef/>
      </w:r>
      <w:r>
        <w:rPr>
          <w:b/>
          <w:bCs/>
          <w:rtl/>
          <w:lang w:bidi="he-IL"/>
        </w:rPr>
        <w:tab/>
        <w:t>משנה א:</w:t>
      </w:r>
    </w:p>
  </w:footnote>
  <w:footnote w:id="225">
    <w:p w14:paraId="4A570006" w14:textId="77777777" w:rsidR="0009007A" w:rsidRDefault="00000000">
      <w:pPr>
        <w:pStyle w:val="FootnoteText"/>
        <w:rPr>
          <w:lang w:bidi="he-IL"/>
        </w:rPr>
      </w:pPr>
      <w:r>
        <w:rPr>
          <w:rStyle w:val="FootnoteCharacters"/>
        </w:rPr>
        <w:footnoteRef/>
      </w:r>
      <w:r>
        <w:rPr>
          <w:b/>
          <w:bCs/>
          <w:rtl/>
          <w:lang w:bidi="he-IL"/>
        </w:rPr>
        <w:tab/>
        <w:t>הקדמה:</w:t>
      </w:r>
    </w:p>
    <w:p w14:paraId="06A8C9C3" w14:textId="77777777" w:rsidR="0009007A" w:rsidRDefault="00000000">
      <w:pPr>
        <w:pStyle w:val="FootnoteText"/>
        <w:rPr>
          <w:lang w:bidi="he-IL"/>
        </w:rPr>
      </w:pPr>
      <w:r>
        <w:rPr>
          <w:b/>
          <w:bCs/>
          <w:rtl/>
          <w:lang w:bidi="he-IL"/>
        </w:rPr>
        <w:tab/>
      </w:r>
      <w:r>
        <w:rPr>
          <w:rtl/>
          <w:lang w:bidi="he-IL"/>
        </w:rPr>
        <w:t>אסור לצוד בי"ט, ואפילו לצורך אוכל נפש, כיון שהיה לו לצוד לפני י"ט. משנה שלנו מדבר על איסור זה. דרכם לא היה לצוד בהמות מן היער ולאכול, אלא להכניס בהמות לביבר (מקום מכונס), ושוב להביא משם. הכלל הוא שאם בהמה כבר ניצוד (שיכול לקחת אותו בקל), מותר לו לקחת אותו, ולא נחשב צד. אז, משנה יבאר דין ביברים- מתי כבר נחשב צד, ומותר לקחת, ומתי לא נחשב צד, ואסור לקחת. משנה גם מבאר דין נתינת אוכלים לבהמה, ונבאר לקמן על מה זה תלוי.</w:t>
      </w:r>
    </w:p>
  </w:footnote>
  <w:footnote w:id="226">
    <w:p w14:paraId="145100AE" w14:textId="77777777" w:rsidR="0009007A" w:rsidRDefault="00000000">
      <w:pPr>
        <w:pStyle w:val="FootnoteText"/>
        <w:rPr>
          <w:lang w:bidi="he-IL"/>
        </w:rPr>
      </w:pPr>
      <w:r>
        <w:rPr>
          <w:rStyle w:val="FootnoteCharacters"/>
        </w:rPr>
        <w:footnoteRef/>
      </w:r>
      <w:r>
        <w:rPr>
          <w:rtl/>
          <w:lang w:bidi="he-IL"/>
        </w:rPr>
        <w:tab/>
        <w:t>מרש"י משמע שרק אוסר מלאכות שהותרו לאכ"נ בשבילם. רש"י פי’ שיש מח’ לעיל אם מלאכות אכ"נ מותר לבהמה או אסור לבהמה, שכ’, “לכם.” משנה שלנו מתיר לפעמים, וצריך לומר שסובר שמלאכות אכ"נ מותר לבהמה. אבל, זה רק אם מזונתם עליך, שאתה צריך להביא להם מזונות. אבל, תמיד אין צרכי דגים עליך, שאוכלים עשבי הים וכדו’.</w:t>
      </w:r>
    </w:p>
  </w:footnote>
  <w:footnote w:id="227">
    <w:p w14:paraId="0293C797" w14:textId="77777777" w:rsidR="0009007A" w:rsidRDefault="00000000">
      <w:pPr>
        <w:pStyle w:val="FootnoteText"/>
        <w:rPr>
          <w:lang w:bidi="he-IL"/>
        </w:rPr>
      </w:pPr>
      <w:r>
        <w:rPr>
          <w:rStyle w:val="FootnoteCharacters"/>
        </w:rPr>
        <w:footnoteRef/>
      </w:r>
      <w:r>
        <w:rPr>
          <w:rtl/>
          <w:lang w:bidi="he-IL"/>
        </w:rPr>
        <w:tab/>
        <w:t xml:space="preserve">רבי יהודה חולק על דין זה, ואומר שאין חיה נחשבת ניצוד בתוך ביבר, אלא רק בתוך בית. </w:t>
      </w:r>
      <w:r>
        <w:rPr>
          <w:b/>
          <w:bCs/>
          <w:u w:val="single"/>
          <w:rtl/>
          <w:lang w:bidi="he-IL"/>
        </w:rPr>
        <w:t>(כד.)</w:t>
      </w:r>
    </w:p>
  </w:footnote>
  <w:footnote w:id="228">
    <w:p w14:paraId="7A5C9E0E" w14:textId="77777777" w:rsidR="0009007A" w:rsidRDefault="00000000">
      <w:pPr>
        <w:pStyle w:val="FootnoteText"/>
        <w:rPr>
          <w:lang w:bidi="he-IL"/>
        </w:rPr>
      </w:pPr>
      <w:r>
        <w:rPr>
          <w:rStyle w:val="FootnoteCharacters"/>
        </w:rPr>
        <w:footnoteRef/>
      </w:r>
      <w:r>
        <w:rPr>
          <w:rtl/>
          <w:lang w:bidi="he-IL"/>
        </w:rPr>
        <w:tab/>
        <w:t xml:space="preserve">זה רק נכון בצפור סתם, אבל בצפור דרור, צריך להיות במגדל עד שיכול לצוד אותו. </w:t>
      </w:r>
      <w:r>
        <w:rPr>
          <w:b/>
          <w:bCs/>
          <w:u w:val="single"/>
          <w:rtl/>
          <w:lang w:bidi="he-IL"/>
        </w:rPr>
        <w:t>(כד.)</w:t>
      </w:r>
    </w:p>
  </w:footnote>
  <w:footnote w:id="229">
    <w:p w14:paraId="4E2873C0" w14:textId="77777777" w:rsidR="0009007A" w:rsidRDefault="00000000">
      <w:pPr>
        <w:pStyle w:val="FootnoteText"/>
        <w:rPr>
          <w:lang w:bidi="he-IL"/>
        </w:rPr>
      </w:pPr>
      <w:r>
        <w:rPr>
          <w:rStyle w:val="FootnoteCharacters"/>
        </w:rPr>
        <w:footnoteRef/>
      </w:r>
      <w:r>
        <w:rPr>
          <w:rtl/>
          <w:lang w:bidi="he-IL"/>
        </w:rPr>
        <w:tab/>
        <w:t>גמ’ מפרש שרק מותר לצוד אותם מביבר קטן. חולקים מהו ביבר קטן:</w:t>
      </w:r>
    </w:p>
    <w:p w14:paraId="00ED767A" w14:textId="77777777" w:rsidR="0009007A" w:rsidRDefault="00000000">
      <w:pPr>
        <w:pStyle w:val="FootnoteText"/>
        <w:numPr>
          <w:ilvl w:val="0"/>
          <w:numId w:val="32"/>
        </w:numPr>
      </w:pPr>
      <w:r>
        <w:rPr>
          <w:rtl/>
          <w:lang w:bidi="he-IL"/>
        </w:rPr>
        <w:t>שיכול לרוץ אחריו ולהגיע בו בפסיעה אחת.</w:t>
      </w:r>
    </w:p>
    <w:p w14:paraId="30E6E51D" w14:textId="77777777" w:rsidR="0009007A" w:rsidRDefault="00000000">
      <w:pPr>
        <w:pStyle w:val="FootnoteText"/>
        <w:numPr>
          <w:ilvl w:val="0"/>
          <w:numId w:val="32"/>
        </w:numPr>
      </w:pPr>
      <w:r>
        <w:rPr>
          <w:rtl/>
          <w:lang w:bidi="he-IL"/>
        </w:rPr>
        <w:t>שאין קרנות במחיצות.</w:t>
      </w:r>
    </w:p>
    <w:p w14:paraId="24F04542" w14:textId="77777777" w:rsidR="0009007A" w:rsidRDefault="00000000">
      <w:pPr>
        <w:pStyle w:val="FootnoteText"/>
        <w:numPr>
          <w:ilvl w:val="0"/>
          <w:numId w:val="32"/>
        </w:numPr>
      </w:pPr>
      <w:r>
        <w:rPr>
          <w:rtl/>
          <w:lang w:bidi="he-IL"/>
        </w:rPr>
        <w:t xml:space="preserve">שמגיע הצל ממחיצה אחת לחברו. </w:t>
      </w:r>
      <w:r>
        <w:rPr>
          <w:b/>
          <w:bCs/>
          <w:u w:val="single"/>
          <w:rtl/>
          <w:lang w:bidi="he-IL"/>
        </w:rPr>
        <w:t>(כד.)</w:t>
      </w:r>
    </w:p>
    <w:p w14:paraId="309DAB0A" w14:textId="77777777" w:rsidR="0009007A" w:rsidRDefault="00000000">
      <w:pPr>
        <w:pStyle w:val="FootnoteText"/>
      </w:pPr>
      <w:r>
        <w:rPr>
          <w:rtl/>
          <w:lang w:bidi="he-IL"/>
        </w:rPr>
        <w:tab/>
        <w:t>לקמן, גמ’ מבאר גדר זה במילים אחרים</w:t>
      </w:r>
    </w:p>
  </w:footnote>
  <w:footnote w:id="230">
    <w:p w14:paraId="2BB7675A" w14:textId="77777777" w:rsidR="0009007A" w:rsidRDefault="00000000">
      <w:pPr>
        <w:pStyle w:val="FootnoteText"/>
        <w:rPr>
          <w:lang w:bidi="he-IL"/>
        </w:rPr>
      </w:pPr>
      <w:r>
        <w:rPr>
          <w:rStyle w:val="FootnoteCharacters"/>
        </w:rPr>
        <w:footnoteRef/>
      </w:r>
      <w:r>
        <w:rPr>
          <w:rtl/>
          <w:lang w:bidi="he-IL"/>
        </w:rPr>
        <w:tab/>
        <w:t>רש"י פי’ שזה רק בימי החורף או במקום שלא מצוי עשבים (כמו אם יש הרבה בנ"א דורסים שם), שרק אז צריך מזונות.</w:t>
      </w:r>
    </w:p>
  </w:footnote>
  <w:footnote w:id="231">
    <w:p w14:paraId="3604B92E" w14:textId="77777777" w:rsidR="0009007A" w:rsidRDefault="00000000">
      <w:pPr>
        <w:pStyle w:val="FootnoteText"/>
        <w:rPr>
          <w:lang w:bidi="he-IL"/>
        </w:rPr>
      </w:pPr>
      <w:r>
        <w:rPr>
          <w:rStyle w:val="FootnoteCharacters"/>
        </w:rPr>
        <w:footnoteRef/>
      </w:r>
      <w:r>
        <w:rPr>
          <w:rtl/>
          <w:lang w:bidi="he-IL"/>
        </w:rPr>
        <w:tab/>
        <w:t>מגמ’ יוצא שרבנן לא חולקים על זה.</w:t>
      </w:r>
    </w:p>
  </w:footnote>
  <w:footnote w:id="232">
    <w:p w14:paraId="6E40F4DC" w14:textId="77777777" w:rsidR="0009007A" w:rsidRDefault="00000000">
      <w:pPr>
        <w:pStyle w:val="FootnoteText"/>
        <w:rPr>
          <w:lang w:bidi="he-IL"/>
        </w:rPr>
      </w:pPr>
      <w:r>
        <w:rPr>
          <w:rStyle w:val="FootnoteCharacters"/>
        </w:rPr>
        <w:footnoteRef/>
      </w:r>
      <w:r>
        <w:rPr>
          <w:rtl/>
          <w:lang w:bidi="he-IL"/>
        </w:rPr>
        <w:tab/>
        <w:t>יש להעיר שנראה שיש בכלל זה חידוש, שהוה אמינא שצד הוא רק כשעושה השינוי להביא אותו מלא ניצוד כלל לניצוד. אבל, לא יחייב אם מביא אותו מקצת ניצוד (שעכשיו יותר קל לצוד אותו) לניצוד.</w:t>
      </w:r>
    </w:p>
  </w:footnote>
  <w:footnote w:id="233">
    <w:p w14:paraId="4CFE87AB" w14:textId="77777777" w:rsidR="0009007A" w:rsidRDefault="00000000">
      <w:pPr>
        <w:pStyle w:val="FootnoteText"/>
        <w:rPr>
          <w:lang w:bidi="he-IL"/>
        </w:rPr>
      </w:pPr>
      <w:r>
        <w:rPr>
          <w:rStyle w:val="FootnoteCharacters"/>
        </w:rPr>
        <w:footnoteRef/>
      </w:r>
      <w:r>
        <w:rPr>
          <w:rtl/>
          <w:lang w:bidi="he-IL"/>
        </w:rPr>
        <w:tab/>
        <w:t>נראה שיש בדין זה חידוש, שהוה אמיא שעושה אותו יותר ניצוד, ועל זה חייב (כמו מי שמוסיף בישול).</w:t>
      </w:r>
    </w:p>
  </w:footnote>
  <w:footnote w:id="234">
    <w:p w14:paraId="5BA78CC0"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45CF9597" w14:textId="77777777" w:rsidR="0009007A" w:rsidRDefault="00000000">
      <w:pPr>
        <w:pStyle w:val="FootnoteText"/>
        <w:numPr>
          <w:ilvl w:val="0"/>
          <w:numId w:val="33"/>
        </w:numPr>
        <w:rPr>
          <w:lang w:bidi="he-IL"/>
        </w:rPr>
      </w:pPr>
      <w:r>
        <w:rPr>
          <w:rtl/>
          <w:lang w:bidi="he-IL"/>
        </w:rPr>
        <w:t>לצוד בהמה חיה עוף ודג- מותר רק אם כבר ניצוד. מצאנו הגדרות בזה:</w:t>
      </w:r>
    </w:p>
    <w:p w14:paraId="47AA94A7" w14:textId="77777777" w:rsidR="0009007A" w:rsidRDefault="00000000">
      <w:pPr>
        <w:pStyle w:val="FootnoteText"/>
        <w:numPr>
          <w:ilvl w:val="1"/>
          <w:numId w:val="33"/>
        </w:numPr>
        <w:rPr>
          <w:lang w:bidi="he-IL"/>
        </w:rPr>
      </w:pPr>
      <w:r>
        <w:rPr>
          <w:rtl/>
          <w:lang w:bidi="he-IL"/>
        </w:rPr>
        <w:t>דגים-</w:t>
      </w:r>
    </w:p>
    <w:p w14:paraId="7615997D" w14:textId="77777777" w:rsidR="0009007A" w:rsidRDefault="00000000">
      <w:pPr>
        <w:pStyle w:val="FootnoteText"/>
        <w:numPr>
          <w:ilvl w:val="2"/>
          <w:numId w:val="33"/>
        </w:numPr>
        <w:rPr>
          <w:lang w:bidi="he-IL"/>
        </w:rPr>
      </w:pPr>
      <w:r>
        <w:rPr>
          <w:rtl/>
          <w:lang w:bidi="he-IL"/>
        </w:rPr>
        <w:t>ביברים- אסור.</w:t>
      </w:r>
    </w:p>
    <w:p w14:paraId="35AE53E9" w14:textId="77777777" w:rsidR="0009007A" w:rsidRDefault="00000000">
      <w:pPr>
        <w:pStyle w:val="FootnoteText"/>
        <w:numPr>
          <w:ilvl w:val="1"/>
          <w:numId w:val="33"/>
        </w:numPr>
        <w:rPr>
          <w:lang w:bidi="he-IL"/>
        </w:rPr>
      </w:pPr>
      <w:r>
        <w:rPr>
          <w:rtl/>
          <w:lang w:bidi="he-IL"/>
        </w:rPr>
        <w:t>חיה-</w:t>
      </w:r>
    </w:p>
    <w:p w14:paraId="7BD5E317" w14:textId="77777777" w:rsidR="0009007A" w:rsidRDefault="00000000">
      <w:pPr>
        <w:pStyle w:val="FootnoteText"/>
        <w:numPr>
          <w:ilvl w:val="2"/>
          <w:numId w:val="33"/>
        </w:numPr>
        <w:rPr>
          <w:lang w:bidi="he-IL"/>
        </w:rPr>
      </w:pPr>
      <w:r>
        <w:rPr>
          <w:rtl/>
          <w:lang w:bidi="he-IL"/>
        </w:rPr>
        <w:t>ביברים-</w:t>
      </w:r>
    </w:p>
    <w:p w14:paraId="5775D434" w14:textId="77777777" w:rsidR="0009007A" w:rsidRDefault="00000000">
      <w:pPr>
        <w:pStyle w:val="FootnoteText"/>
        <w:numPr>
          <w:ilvl w:val="3"/>
          <w:numId w:val="33"/>
        </w:numPr>
        <w:rPr>
          <w:lang w:bidi="he-IL"/>
        </w:rPr>
      </w:pPr>
      <w:r>
        <w:rPr>
          <w:rtl/>
          <w:lang w:bidi="he-IL"/>
        </w:rPr>
        <w:t>גדולים- אסור.</w:t>
      </w:r>
    </w:p>
    <w:p w14:paraId="5E5AA9A1" w14:textId="77777777" w:rsidR="0009007A" w:rsidRDefault="00000000">
      <w:pPr>
        <w:pStyle w:val="FootnoteText"/>
        <w:numPr>
          <w:ilvl w:val="3"/>
          <w:numId w:val="33"/>
        </w:numPr>
        <w:rPr>
          <w:lang w:bidi="he-IL"/>
        </w:rPr>
      </w:pPr>
      <w:r>
        <w:rPr>
          <w:rtl/>
          <w:lang w:bidi="he-IL"/>
        </w:rPr>
        <w:t>קטנים-</w:t>
      </w:r>
    </w:p>
    <w:p w14:paraId="572A5E0D" w14:textId="77777777" w:rsidR="0009007A" w:rsidRDefault="00000000">
      <w:pPr>
        <w:pStyle w:val="FootnoteText"/>
        <w:numPr>
          <w:ilvl w:val="4"/>
          <w:numId w:val="33"/>
        </w:numPr>
        <w:rPr>
          <w:lang w:bidi="he-IL"/>
        </w:rPr>
      </w:pPr>
      <w:r>
        <w:rPr>
          <w:rtl/>
          <w:lang w:bidi="he-IL"/>
        </w:rPr>
        <w:t>רבנן- מותר.</w:t>
      </w:r>
    </w:p>
    <w:p w14:paraId="0F670D64" w14:textId="77777777" w:rsidR="0009007A" w:rsidRDefault="00000000">
      <w:pPr>
        <w:pStyle w:val="FootnoteText"/>
        <w:numPr>
          <w:ilvl w:val="4"/>
          <w:numId w:val="33"/>
        </w:numPr>
        <w:rPr>
          <w:lang w:bidi="he-IL"/>
        </w:rPr>
      </w:pPr>
      <w:r>
        <w:rPr>
          <w:rtl/>
          <w:lang w:bidi="he-IL"/>
        </w:rPr>
        <w:t>רבי יהודה- אסור.</w:t>
      </w:r>
    </w:p>
    <w:p w14:paraId="7F7961AF" w14:textId="77777777" w:rsidR="0009007A" w:rsidRDefault="00000000">
      <w:pPr>
        <w:pStyle w:val="FootnoteText"/>
        <w:numPr>
          <w:ilvl w:val="1"/>
          <w:numId w:val="33"/>
        </w:numPr>
        <w:rPr>
          <w:lang w:bidi="he-IL"/>
        </w:rPr>
      </w:pPr>
      <w:r>
        <w:rPr>
          <w:rtl/>
          <w:lang w:bidi="he-IL"/>
        </w:rPr>
        <w:t>בהמה-</w:t>
      </w:r>
    </w:p>
    <w:p w14:paraId="6EA564CB" w14:textId="77777777" w:rsidR="0009007A" w:rsidRDefault="00000000">
      <w:pPr>
        <w:pStyle w:val="FootnoteText"/>
        <w:numPr>
          <w:ilvl w:val="2"/>
          <w:numId w:val="33"/>
        </w:numPr>
        <w:rPr>
          <w:lang w:bidi="he-IL"/>
        </w:rPr>
      </w:pPr>
      <w:r>
        <w:rPr>
          <w:rtl/>
          <w:lang w:bidi="he-IL"/>
        </w:rPr>
        <w:t>ביברים-</w:t>
      </w:r>
    </w:p>
    <w:p w14:paraId="5A18A114" w14:textId="77777777" w:rsidR="0009007A" w:rsidRDefault="00000000">
      <w:pPr>
        <w:pStyle w:val="FootnoteText"/>
        <w:numPr>
          <w:ilvl w:val="3"/>
          <w:numId w:val="33"/>
        </w:numPr>
        <w:rPr>
          <w:lang w:bidi="he-IL"/>
        </w:rPr>
      </w:pPr>
      <w:r>
        <w:rPr>
          <w:rtl/>
          <w:lang w:bidi="he-IL"/>
        </w:rPr>
        <w:t xml:space="preserve">גדולים- אסור. </w:t>
      </w:r>
    </w:p>
    <w:p w14:paraId="7DE8544E" w14:textId="77777777" w:rsidR="0009007A" w:rsidRDefault="00000000">
      <w:pPr>
        <w:pStyle w:val="FootnoteText"/>
        <w:numPr>
          <w:ilvl w:val="3"/>
          <w:numId w:val="33"/>
        </w:numPr>
        <w:rPr>
          <w:lang w:bidi="he-IL"/>
        </w:rPr>
      </w:pPr>
      <w:r>
        <w:rPr>
          <w:rtl/>
          <w:lang w:bidi="he-IL"/>
        </w:rPr>
        <w:t>קטנים- מותר.</w:t>
      </w:r>
    </w:p>
    <w:p w14:paraId="54F71E95" w14:textId="77777777" w:rsidR="0009007A" w:rsidRDefault="00000000">
      <w:pPr>
        <w:pStyle w:val="FootnoteText"/>
        <w:numPr>
          <w:ilvl w:val="1"/>
          <w:numId w:val="33"/>
        </w:numPr>
        <w:rPr>
          <w:lang w:bidi="he-IL"/>
        </w:rPr>
      </w:pPr>
      <w:r>
        <w:rPr>
          <w:rtl/>
          <w:lang w:bidi="he-IL"/>
        </w:rPr>
        <w:t>עוף-</w:t>
      </w:r>
    </w:p>
    <w:p w14:paraId="275D29D9" w14:textId="77777777" w:rsidR="0009007A" w:rsidRDefault="00000000">
      <w:pPr>
        <w:pStyle w:val="FootnoteText"/>
        <w:numPr>
          <w:ilvl w:val="2"/>
          <w:numId w:val="33"/>
        </w:numPr>
        <w:rPr>
          <w:lang w:bidi="he-IL"/>
        </w:rPr>
      </w:pPr>
      <w:r>
        <w:rPr>
          <w:rtl/>
          <w:lang w:bidi="he-IL"/>
        </w:rPr>
        <w:t>עוף-</w:t>
      </w:r>
    </w:p>
    <w:p w14:paraId="3C1B3D01" w14:textId="77777777" w:rsidR="0009007A" w:rsidRDefault="00000000">
      <w:pPr>
        <w:pStyle w:val="FootnoteText"/>
        <w:numPr>
          <w:ilvl w:val="3"/>
          <w:numId w:val="33"/>
        </w:numPr>
        <w:rPr>
          <w:lang w:bidi="he-IL"/>
        </w:rPr>
      </w:pPr>
      <w:r>
        <w:rPr>
          <w:rtl/>
          <w:lang w:bidi="he-IL"/>
        </w:rPr>
        <w:t>ביברים-</w:t>
      </w:r>
    </w:p>
    <w:p w14:paraId="7C001AAA" w14:textId="77777777" w:rsidR="0009007A" w:rsidRDefault="00000000">
      <w:pPr>
        <w:pStyle w:val="FootnoteText"/>
        <w:numPr>
          <w:ilvl w:val="4"/>
          <w:numId w:val="33"/>
        </w:numPr>
        <w:rPr>
          <w:lang w:bidi="he-IL"/>
        </w:rPr>
      </w:pPr>
      <w:r>
        <w:rPr>
          <w:rtl/>
          <w:lang w:bidi="he-IL"/>
        </w:rPr>
        <w:t>גדולים- אסור. (ע’ בדיון שכ’ גבי בהמה.)</w:t>
      </w:r>
    </w:p>
    <w:p w14:paraId="2B0BDAA7" w14:textId="77777777" w:rsidR="0009007A" w:rsidRDefault="00000000">
      <w:pPr>
        <w:pStyle w:val="FootnoteText"/>
        <w:numPr>
          <w:ilvl w:val="4"/>
          <w:numId w:val="33"/>
        </w:numPr>
        <w:rPr>
          <w:lang w:bidi="he-IL"/>
        </w:rPr>
      </w:pPr>
      <w:r>
        <w:rPr>
          <w:rtl/>
          <w:lang w:bidi="he-IL"/>
        </w:rPr>
        <w:t>קטנים- מותר.</w:t>
      </w:r>
    </w:p>
    <w:p w14:paraId="00D00BEB" w14:textId="77777777" w:rsidR="0009007A" w:rsidRDefault="00000000">
      <w:pPr>
        <w:pStyle w:val="FootnoteText"/>
        <w:numPr>
          <w:ilvl w:val="2"/>
          <w:numId w:val="33"/>
        </w:numPr>
        <w:rPr>
          <w:lang w:bidi="he-IL"/>
        </w:rPr>
      </w:pPr>
      <w:r>
        <w:rPr>
          <w:rtl/>
          <w:lang w:bidi="he-IL"/>
        </w:rPr>
        <w:t>צפור דרור-</w:t>
      </w:r>
    </w:p>
    <w:p w14:paraId="4865E247" w14:textId="77777777" w:rsidR="0009007A" w:rsidRDefault="00000000">
      <w:pPr>
        <w:pStyle w:val="FootnoteText"/>
        <w:numPr>
          <w:ilvl w:val="3"/>
          <w:numId w:val="33"/>
        </w:numPr>
        <w:rPr>
          <w:lang w:bidi="he-IL"/>
        </w:rPr>
      </w:pPr>
      <w:r>
        <w:rPr>
          <w:rtl/>
          <w:lang w:bidi="he-IL"/>
        </w:rPr>
        <w:t>ביברים- אסור.</w:t>
      </w:r>
    </w:p>
    <w:p w14:paraId="07A6A892" w14:textId="77777777" w:rsidR="0009007A" w:rsidRDefault="00000000">
      <w:pPr>
        <w:pStyle w:val="FootnoteText"/>
        <w:numPr>
          <w:ilvl w:val="3"/>
          <w:numId w:val="33"/>
        </w:numPr>
        <w:rPr>
          <w:lang w:bidi="he-IL"/>
        </w:rPr>
      </w:pPr>
      <w:r>
        <w:rPr>
          <w:rtl/>
          <w:lang w:bidi="he-IL"/>
        </w:rPr>
        <w:t>בית- אסור.</w:t>
      </w:r>
    </w:p>
    <w:p w14:paraId="1F9DA1C3" w14:textId="77777777" w:rsidR="0009007A" w:rsidRDefault="00000000">
      <w:pPr>
        <w:pStyle w:val="FootnoteText"/>
        <w:numPr>
          <w:ilvl w:val="3"/>
          <w:numId w:val="33"/>
        </w:numPr>
        <w:rPr>
          <w:lang w:bidi="he-IL"/>
        </w:rPr>
      </w:pPr>
      <w:r>
        <w:rPr>
          <w:rtl/>
          <w:lang w:bidi="he-IL"/>
        </w:rPr>
        <w:t>מגדל- מותר.</w:t>
      </w:r>
    </w:p>
    <w:p w14:paraId="7D537C92" w14:textId="77777777" w:rsidR="0009007A" w:rsidRDefault="00000000">
      <w:pPr>
        <w:pStyle w:val="FootnoteText"/>
        <w:numPr>
          <w:ilvl w:val="0"/>
          <w:numId w:val="33"/>
        </w:numPr>
        <w:rPr>
          <w:lang w:bidi="he-IL"/>
        </w:rPr>
      </w:pPr>
      <w:r>
        <w:rPr>
          <w:rtl/>
          <w:lang w:bidi="he-IL"/>
        </w:rPr>
        <w:t>להכין מזונות לבהמה שלו:</w:t>
      </w:r>
    </w:p>
    <w:p w14:paraId="06DED8DD" w14:textId="77777777" w:rsidR="0009007A" w:rsidRDefault="00000000">
      <w:pPr>
        <w:pStyle w:val="FootnoteText"/>
        <w:numPr>
          <w:ilvl w:val="1"/>
          <w:numId w:val="33"/>
        </w:numPr>
        <w:rPr>
          <w:lang w:bidi="he-IL"/>
        </w:rPr>
      </w:pPr>
      <w:r>
        <w:rPr>
          <w:rtl/>
          <w:lang w:bidi="he-IL"/>
        </w:rPr>
        <w:t>דגים- אסור.</w:t>
      </w:r>
    </w:p>
    <w:p w14:paraId="2E325873" w14:textId="77777777" w:rsidR="0009007A" w:rsidRDefault="00000000">
      <w:pPr>
        <w:pStyle w:val="FootnoteText"/>
        <w:numPr>
          <w:ilvl w:val="1"/>
          <w:numId w:val="33"/>
        </w:numPr>
        <w:rPr>
          <w:lang w:bidi="he-IL"/>
        </w:rPr>
      </w:pPr>
      <w:r>
        <w:rPr>
          <w:rtl/>
          <w:lang w:bidi="he-IL"/>
        </w:rPr>
        <w:t>שאר בהמות- מותר.</w:t>
      </w:r>
    </w:p>
  </w:footnote>
  <w:footnote w:id="235">
    <w:p w14:paraId="5C77F62A" w14:textId="77777777" w:rsidR="0009007A" w:rsidRDefault="00000000">
      <w:pPr>
        <w:pStyle w:val="FootnoteText"/>
        <w:rPr>
          <w:b/>
          <w:bCs/>
          <w:lang w:bidi="he-IL"/>
        </w:rPr>
      </w:pPr>
      <w:r>
        <w:rPr>
          <w:rStyle w:val="FootnoteCharacters"/>
        </w:rPr>
        <w:footnoteRef/>
      </w:r>
      <w:r>
        <w:rPr>
          <w:b/>
          <w:bCs/>
          <w:rtl/>
          <w:lang w:bidi="he-IL"/>
        </w:rPr>
        <w:tab/>
        <w:t>משנה ב:</w:t>
      </w:r>
    </w:p>
  </w:footnote>
  <w:footnote w:id="236">
    <w:p w14:paraId="012B808E" w14:textId="77777777" w:rsidR="0009007A" w:rsidRDefault="00000000">
      <w:pPr>
        <w:pStyle w:val="FootnoteText"/>
        <w:rPr>
          <w:b/>
          <w:bCs/>
          <w:lang w:bidi="he-IL"/>
        </w:rPr>
      </w:pPr>
      <w:r>
        <w:rPr>
          <w:rStyle w:val="FootnoteCharacters"/>
        </w:rPr>
        <w:footnoteRef/>
      </w:r>
      <w:r>
        <w:rPr>
          <w:b/>
          <w:bCs/>
          <w:rtl/>
          <w:lang w:bidi="he-IL"/>
        </w:rPr>
        <w:tab/>
        <w:t>הקדמה:</w:t>
      </w:r>
    </w:p>
    <w:p w14:paraId="7CEF6C26" w14:textId="77777777" w:rsidR="0009007A" w:rsidRDefault="00000000">
      <w:pPr>
        <w:pStyle w:val="FootnoteText"/>
        <w:rPr>
          <w:lang w:bidi="he-IL"/>
        </w:rPr>
      </w:pPr>
      <w:r>
        <w:rPr>
          <w:rtl/>
          <w:lang w:bidi="he-IL"/>
        </w:rPr>
        <w:tab/>
        <w:t>משנה שלנו יבאר ספק של דין מוקצה.</w:t>
      </w:r>
    </w:p>
  </w:footnote>
  <w:footnote w:id="237">
    <w:p w14:paraId="0814E03A" w14:textId="77777777" w:rsidR="0009007A" w:rsidRDefault="00000000">
      <w:pPr>
        <w:pStyle w:val="FootnoteText"/>
        <w:rPr>
          <w:lang w:bidi="he-IL"/>
        </w:rPr>
      </w:pPr>
      <w:r>
        <w:rPr>
          <w:rStyle w:val="FootnoteCharacters"/>
        </w:rPr>
        <w:footnoteRef/>
      </w:r>
      <w:r>
        <w:rPr>
          <w:rtl/>
          <w:lang w:bidi="he-IL"/>
        </w:rPr>
        <w:tab/>
        <w:t xml:space="preserve">לא תמיד צריך להכין בהמות מע"ש. יש אומרים שכל זמן שהוא במקום מכונס, לא צריך זימון. יש חולקים ואומרים שאם עשה מעשה כבר לתת אותם במקום יותר קטן, לא צריכים הכנה. אם לא יכול לברוח, וידע בה, לא צריך זימון. </w:t>
      </w:r>
      <w:r>
        <w:rPr>
          <w:b/>
          <w:bCs/>
          <w:u w:val="single"/>
          <w:rtl/>
          <w:lang w:bidi="he-IL"/>
        </w:rPr>
        <w:t>(כה.)</w:t>
      </w:r>
    </w:p>
  </w:footnote>
  <w:footnote w:id="238">
    <w:p w14:paraId="23EAB7CF" w14:textId="77777777" w:rsidR="0009007A" w:rsidRDefault="00000000">
      <w:pPr>
        <w:pStyle w:val="FootnoteText"/>
        <w:rPr>
          <w:lang w:bidi="he-IL"/>
        </w:rPr>
      </w:pPr>
      <w:r>
        <w:rPr>
          <w:rStyle w:val="FootnoteCharacters"/>
        </w:rPr>
        <w:footnoteRef/>
      </w:r>
      <w:r>
        <w:rPr>
          <w:rtl/>
          <w:lang w:bidi="he-IL"/>
        </w:rPr>
        <w:tab/>
        <w:t>כוונתו לומר שספק מוקצה אסור. לכאו’, זה מפני שדבר שיש לו מתירים הוא (מותר למחר), ואז ספקו אסור. (עיין בשיטת רב אשי בפ”ק.) גם אפשר שסובר שמוקצה הוא דין חמור מדרבנן, עד שגזרו על ספקו.</w:t>
      </w:r>
    </w:p>
  </w:footnote>
  <w:footnote w:id="239">
    <w:p w14:paraId="7E9A5683" w14:textId="77777777" w:rsidR="0009007A" w:rsidRDefault="00000000">
      <w:pPr>
        <w:pStyle w:val="FootnoteText"/>
        <w:rPr>
          <w:lang w:bidi="he-IL"/>
        </w:rPr>
      </w:pPr>
      <w:r>
        <w:rPr>
          <w:rStyle w:val="FootnoteCharacters"/>
        </w:rPr>
        <w:footnoteRef/>
      </w:r>
      <w:r>
        <w:rPr>
          <w:rtl/>
          <w:lang w:bidi="he-IL"/>
        </w:rPr>
        <w:tab/>
        <w:t xml:space="preserve">גמ’ מוסיף שאם נכרי עשה מלאכה לצורך ישראל, אותו ישראל לא יכול להנות ממנו עד אחר כדי שיעשו, כדי שלא ישאל לגוי לעבור בעדו. </w:t>
      </w:r>
      <w:r>
        <w:rPr>
          <w:b/>
          <w:bCs/>
          <w:u w:val="single"/>
          <w:rtl/>
          <w:lang w:bidi="he-IL"/>
        </w:rPr>
        <w:t>(כד:)</w:t>
      </w:r>
    </w:p>
  </w:footnote>
  <w:footnote w:id="240">
    <w:p w14:paraId="01F5E963" w14:textId="77777777" w:rsidR="0009007A" w:rsidRDefault="00000000">
      <w:pPr>
        <w:pStyle w:val="FootnoteText"/>
        <w:rPr>
          <w:lang w:bidi="he-IL"/>
        </w:rPr>
      </w:pPr>
      <w:r>
        <w:rPr>
          <w:rStyle w:val="FootnoteCharacters"/>
        </w:rPr>
        <w:footnoteRef/>
      </w:r>
      <w:r>
        <w:rPr>
          <w:rtl/>
          <w:lang w:bidi="he-IL"/>
        </w:rPr>
        <w:tab/>
        <w:t xml:space="preserve">גמ’ מקשה על המשך של המשנה, שמתחיל לומר שאסור לקחת מגוי באופן כזה, ושוב מביא סיפור שבו מתיר ר"ג לקחת מן הגוי. לכן, משנה את הגי’ שבמשנה להוסיף שאומר שר"ג חולק, ולזה מביא מעשה. </w:t>
      </w:r>
      <w:r>
        <w:rPr>
          <w:b/>
          <w:bCs/>
          <w:u w:val="single"/>
          <w:rtl/>
          <w:lang w:bidi="he-IL"/>
        </w:rPr>
        <w:t>(כד.)</w:t>
      </w:r>
    </w:p>
  </w:footnote>
  <w:footnote w:id="241">
    <w:p w14:paraId="52072FF0" w14:textId="77777777" w:rsidR="0009007A" w:rsidRDefault="00000000">
      <w:pPr>
        <w:pStyle w:val="FootnoteText"/>
        <w:rPr>
          <w:lang w:bidi="he-IL"/>
        </w:rPr>
      </w:pPr>
      <w:r>
        <w:rPr>
          <w:rStyle w:val="FootnoteCharacters"/>
        </w:rPr>
        <w:footnoteRef/>
      </w:r>
      <w:r>
        <w:rPr>
          <w:rtl/>
          <w:lang w:bidi="he-IL"/>
        </w:rPr>
        <w:tab/>
        <w:t>היו ספק מוקצה.</w:t>
      </w:r>
    </w:p>
  </w:footnote>
  <w:footnote w:id="242">
    <w:p w14:paraId="78C6F423" w14:textId="77777777" w:rsidR="0009007A" w:rsidRDefault="00000000">
      <w:pPr>
        <w:pStyle w:val="FootnoteText"/>
        <w:rPr>
          <w:lang w:bidi="he-IL"/>
        </w:rPr>
      </w:pPr>
      <w:r>
        <w:rPr>
          <w:rStyle w:val="FootnoteCharacters"/>
        </w:rPr>
        <w:footnoteRef/>
      </w:r>
      <w:r>
        <w:rPr>
          <w:rtl/>
          <w:lang w:bidi="he-IL"/>
        </w:rPr>
        <w:tab/>
        <w:t>רש"י פי’</w:t>
      </w:r>
      <w:r>
        <w:rPr>
          <w:b/>
          <w:bCs/>
          <w:u w:val="single"/>
          <w:rtl/>
          <w:lang w:bidi="he-IL"/>
        </w:rPr>
        <w:t xml:space="preserve"> (כד.)</w:t>
      </w:r>
      <w:r>
        <w:rPr>
          <w:rtl/>
          <w:lang w:bidi="he-IL"/>
        </w:rPr>
        <w:t xml:space="preserve"> שהיה שונא אותו, ולא רצה לקבל ממנו. גם היה אפשר לומר שרצה להחמיר על עצמו, אבל חשב שאין זה מן הדין.</w:t>
      </w:r>
    </w:p>
  </w:footnote>
  <w:footnote w:id="243">
    <w:p w14:paraId="0390CD6B" w14:textId="77777777" w:rsidR="0009007A" w:rsidRDefault="00000000">
      <w:pPr>
        <w:pStyle w:val="FootnoteText"/>
        <w:rPr>
          <w:lang w:bidi="he-IL"/>
        </w:rPr>
      </w:pPr>
      <w:r>
        <w:rPr>
          <w:rStyle w:val="FootnoteCharacters"/>
        </w:rPr>
        <w:footnoteRef/>
      </w:r>
      <w:r>
        <w:rPr>
          <w:rtl/>
          <w:lang w:bidi="he-IL"/>
        </w:rPr>
        <w:tab/>
        <w:t xml:space="preserve">גמ’ פוסק </w:t>
      </w:r>
      <w:r>
        <w:rPr>
          <w:b/>
          <w:bCs/>
          <w:u w:val="single"/>
          <w:rtl/>
          <w:lang w:bidi="he-IL"/>
        </w:rPr>
        <w:t>(כד.)</w:t>
      </w:r>
      <w:r>
        <w:rPr>
          <w:rtl/>
          <w:lang w:bidi="he-IL"/>
        </w:rPr>
        <w:t xml:space="preserve"> נגד ר"ג.</w:t>
      </w:r>
    </w:p>
  </w:footnote>
  <w:footnote w:id="244">
    <w:p w14:paraId="65252828" w14:textId="77777777" w:rsidR="0009007A" w:rsidRDefault="00000000">
      <w:pPr>
        <w:pStyle w:val="FootnoteText"/>
        <w:rPr>
          <w:lang w:bidi="he-IL"/>
        </w:rPr>
      </w:pPr>
      <w:r>
        <w:rPr>
          <w:rStyle w:val="FootnoteCharacters"/>
        </w:rPr>
        <w:footnoteRef/>
      </w:r>
      <w:r>
        <w:rPr>
          <w:rtl/>
          <w:lang w:bidi="he-IL"/>
        </w:rPr>
        <w:tab/>
        <w:t xml:space="preserve">נמצא שרבן גמליאל מתיר ספק מוקצה. חולקים </w:t>
      </w:r>
      <w:r>
        <w:rPr>
          <w:b/>
          <w:bCs/>
          <w:u w:val="single"/>
          <w:rtl/>
          <w:lang w:bidi="he-IL"/>
        </w:rPr>
        <w:t>(כד:)</w:t>
      </w:r>
      <w:r>
        <w:rPr>
          <w:rtl/>
          <w:lang w:bidi="he-IL"/>
        </w:rPr>
        <w:t xml:space="preserve"> לוי ורב אם רק מותרים בטלטול או אף באכילה. (יש להוסיף שרב טוען שלוי טעה במציאות, שאמר כהו"א של רבי קודם שחזר בו.)</w:t>
      </w:r>
    </w:p>
  </w:footnote>
  <w:footnote w:id="245">
    <w:p w14:paraId="5D827FC4"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26C57FE" w14:textId="77777777" w:rsidR="0009007A" w:rsidRDefault="00000000">
      <w:pPr>
        <w:pStyle w:val="FootnoteText"/>
        <w:numPr>
          <w:ilvl w:val="0"/>
          <w:numId w:val="34"/>
        </w:numPr>
        <w:rPr>
          <w:lang w:bidi="he-IL"/>
        </w:rPr>
      </w:pPr>
      <w:r>
        <w:rPr>
          <w:rtl/>
          <w:lang w:bidi="he-IL"/>
        </w:rPr>
        <w:t>ספק מוקצה:</w:t>
      </w:r>
    </w:p>
    <w:p w14:paraId="4178AAA7" w14:textId="77777777" w:rsidR="0009007A" w:rsidRDefault="00000000">
      <w:pPr>
        <w:pStyle w:val="FootnoteText"/>
        <w:numPr>
          <w:ilvl w:val="1"/>
          <w:numId w:val="34"/>
        </w:numPr>
        <w:rPr>
          <w:lang w:bidi="he-IL"/>
        </w:rPr>
      </w:pPr>
      <w:r>
        <w:rPr>
          <w:rtl/>
          <w:lang w:bidi="he-IL"/>
        </w:rPr>
        <w:t>רבנן- אסור.</w:t>
      </w:r>
    </w:p>
    <w:p w14:paraId="4D379A6A" w14:textId="77777777" w:rsidR="0009007A" w:rsidRDefault="00000000">
      <w:pPr>
        <w:pStyle w:val="FootnoteText"/>
        <w:numPr>
          <w:ilvl w:val="1"/>
          <w:numId w:val="34"/>
        </w:numPr>
        <w:rPr>
          <w:lang w:bidi="he-IL"/>
        </w:rPr>
      </w:pPr>
      <w:r>
        <w:rPr>
          <w:rtl/>
          <w:lang w:bidi="he-IL"/>
        </w:rPr>
        <w:t>רבנן גמליאל:</w:t>
      </w:r>
    </w:p>
    <w:p w14:paraId="692BB4DD" w14:textId="77777777" w:rsidR="0009007A" w:rsidRDefault="00000000">
      <w:pPr>
        <w:pStyle w:val="FootnoteText"/>
        <w:numPr>
          <w:ilvl w:val="2"/>
          <w:numId w:val="34"/>
        </w:numPr>
        <w:rPr>
          <w:lang w:bidi="he-IL"/>
        </w:rPr>
      </w:pPr>
      <w:r>
        <w:rPr>
          <w:rtl/>
          <w:lang w:bidi="he-IL"/>
        </w:rPr>
        <w:t>טלטול- מותר.</w:t>
      </w:r>
    </w:p>
    <w:p w14:paraId="4CC672C1" w14:textId="77777777" w:rsidR="0009007A" w:rsidRDefault="00000000">
      <w:pPr>
        <w:pStyle w:val="FootnoteText"/>
        <w:numPr>
          <w:ilvl w:val="2"/>
          <w:numId w:val="34"/>
        </w:numPr>
        <w:rPr>
          <w:lang w:bidi="he-IL"/>
        </w:rPr>
      </w:pPr>
      <w:r>
        <w:rPr>
          <w:rtl/>
          <w:lang w:bidi="he-IL"/>
        </w:rPr>
        <w:t>אכילה-</w:t>
      </w:r>
    </w:p>
    <w:p w14:paraId="742D223D" w14:textId="77777777" w:rsidR="0009007A" w:rsidRDefault="00000000">
      <w:pPr>
        <w:pStyle w:val="FootnoteText"/>
        <w:numPr>
          <w:ilvl w:val="3"/>
          <w:numId w:val="34"/>
        </w:numPr>
        <w:rPr>
          <w:lang w:bidi="he-IL"/>
        </w:rPr>
      </w:pPr>
      <w:r>
        <w:rPr>
          <w:rtl/>
          <w:lang w:bidi="he-IL"/>
        </w:rPr>
        <w:t>לוי- אסור.</w:t>
      </w:r>
    </w:p>
    <w:p w14:paraId="02876CFC" w14:textId="77777777" w:rsidR="0009007A" w:rsidRDefault="00000000">
      <w:pPr>
        <w:pStyle w:val="FootnoteText"/>
        <w:numPr>
          <w:ilvl w:val="3"/>
          <w:numId w:val="34"/>
        </w:numPr>
        <w:rPr>
          <w:lang w:bidi="he-IL"/>
        </w:rPr>
      </w:pPr>
      <w:r>
        <w:rPr>
          <w:rtl/>
          <w:lang w:bidi="he-IL"/>
        </w:rPr>
        <w:t>רב- מותר.</w:t>
      </w:r>
    </w:p>
  </w:footnote>
  <w:footnote w:id="246">
    <w:p w14:paraId="206CA58A" w14:textId="77777777" w:rsidR="0009007A" w:rsidRDefault="00000000">
      <w:pPr>
        <w:pStyle w:val="FootnoteText"/>
        <w:rPr>
          <w:b/>
          <w:bCs/>
          <w:lang w:bidi="he-IL"/>
        </w:rPr>
      </w:pPr>
      <w:r>
        <w:rPr>
          <w:rStyle w:val="FootnoteCharacters"/>
        </w:rPr>
        <w:footnoteRef/>
      </w:r>
      <w:r>
        <w:rPr>
          <w:b/>
          <w:bCs/>
          <w:rtl/>
          <w:lang w:bidi="he-IL"/>
        </w:rPr>
        <w:tab/>
        <w:t>משנה ג:</w:t>
      </w:r>
    </w:p>
  </w:footnote>
  <w:footnote w:id="247">
    <w:p w14:paraId="03175623" w14:textId="77777777" w:rsidR="0009007A" w:rsidRDefault="00000000">
      <w:pPr>
        <w:pStyle w:val="FootnoteText"/>
        <w:rPr>
          <w:b/>
          <w:bCs/>
          <w:lang w:bidi="he-IL"/>
        </w:rPr>
      </w:pPr>
      <w:r>
        <w:rPr>
          <w:rStyle w:val="FootnoteCharacters"/>
        </w:rPr>
        <w:footnoteRef/>
      </w:r>
      <w:r>
        <w:rPr>
          <w:b/>
          <w:bCs/>
          <w:rtl/>
          <w:lang w:bidi="he-IL"/>
        </w:rPr>
        <w:tab/>
        <w:t>הקדמה:</w:t>
      </w:r>
    </w:p>
    <w:p w14:paraId="31502D45" w14:textId="77777777" w:rsidR="0009007A" w:rsidRDefault="00000000">
      <w:pPr>
        <w:pStyle w:val="FootnoteText"/>
        <w:rPr>
          <w:lang w:bidi="he-IL"/>
        </w:rPr>
      </w:pPr>
      <w:r>
        <w:rPr>
          <w:rtl/>
          <w:lang w:bidi="he-IL"/>
        </w:rPr>
        <w:tab/>
        <w:t>משנה זה לא מדבר עוד על דיני מוקצה או צידה, אלא ממשיך לבאר בדיני אכילת בהמה בשבת. משנה דן במלאכות שמותרים לעשות בי"ט לצורכי י"ט. דן מתי נחשב לצורך י"ט, ומתי לא נחשב לצורך י"ט.</w:t>
      </w:r>
    </w:p>
  </w:footnote>
  <w:footnote w:id="248">
    <w:p w14:paraId="6BE57E84" w14:textId="77777777" w:rsidR="0009007A" w:rsidRDefault="00000000">
      <w:pPr>
        <w:pStyle w:val="FootnoteText"/>
        <w:rPr>
          <w:lang w:bidi="he-IL"/>
        </w:rPr>
      </w:pPr>
      <w:r>
        <w:rPr>
          <w:rStyle w:val="FootnoteCharacters"/>
        </w:rPr>
        <w:footnoteRef/>
      </w:r>
      <w:r>
        <w:rPr>
          <w:rtl/>
          <w:lang w:bidi="he-IL"/>
        </w:rPr>
        <w:tab/>
        <w:t>כדי לעשות מלאכה בי"ט, צריך להיות לצורך אוכל נפש. אז, צריך להיות שיאכל כזית (שהוא שיעור אכילה)ממנו בי"ט. לא יאכל ממנו כזית חי ממנו, ואז צריך לבשל אותו. הדרך הכי מהר לבשל הוא על ידי צלייה, ואז מותר אם יש לו זמן לצלות ולאכל כזית אחד.</w:t>
      </w:r>
    </w:p>
  </w:footnote>
  <w:footnote w:id="249">
    <w:p w14:paraId="5E33859D" w14:textId="77777777" w:rsidR="0009007A" w:rsidRDefault="00000000">
      <w:pPr>
        <w:pStyle w:val="FootnoteText"/>
        <w:rPr>
          <w:lang w:bidi="he-IL"/>
        </w:rPr>
      </w:pPr>
      <w:r>
        <w:rPr>
          <w:rStyle w:val="FootnoteCharacters"/>
        </w:rPr>
        <w:footnoteRef/>
      </w:r>
      <w:r>
        <w:rPr>
          <w:rtl/>
          <w:lang w:bidi="he-IL"/>
        </w:rPr>
        <w:tab/>
        <w:t>חולקים בפסחים (מו:) אם רק צריך להיות שיש לו זמן לאכול כזית צלי (שהואיל ומותר אם היה רוצה, מותר אף כשלא רוצה) או שרוצה לאכול כזית צלי (שלא אומרים הואיל). לשון משנה משמע כראשון; גמ’ מבאר שלצד שני, יכול להשתמש בלשון זה, כיון שכל אדם יאכל, כדי שלא יפסד ממונו.</w:t>
      </w:r>
    </w:p>
  </w:footnote>
  <w:footnote w:id="250">
    <w:p w14:paraId="7999B505" w14:textId="77777777" w:rsidR="0009007A" w:rsidRDefault="00000000">
      <w:pPr>
        <w:pStyle w:val="FootnoteText"/>
        <w:rPr>
          <w:lang w:bidi="he-IL"/>
        </w:rPr>
      </w:pPr>
      <w:r>
        <w:rPr>
          <w:rStyle w:val="FootnoteCharacters"/>
        </w:rPr>
        <w:footnoteRef/>
      </w:r>
      <w:r>
        <w:rPr>
          <w:rtl/>
          <w:lang w:bidi="he-IL"/>
        </w:rPr>
        <w:tab/>
        <w:t xml:space="preserve">רצה לומר, ממקום שנטבח, בלי שום שינוי. אז, אומר שרק צריך להיות זמן לאכול משם, אף בלי הפשט וניתוח. </w:t>
      </w:r>
      <w:r>
        <w:rPr>
          <w:b/>
          <w:bCs/>
          <w:u w:val="single"/>
          <w:rtl/>
          <w:lang w:bidi="he-IL"/>
        </w:rPr>
        <w:t>(כו.)</w:t>
      </w:r>
      <w:r>
        <w:rPr>
          <w:rtl/>
          <w:lang w:bidi="he-IL"/>
        </w:rPr>
        <w:t xml:space="preserve"> איני יודע למה נקט אותו מקום, שלכאו’ אינו יותר מהר לאכול משם. (וע’ בחולין (לג.).)</w:t>
      </w:r>
    </w:p>
  </w:footnote>
  <w:footnote w:id="251">
    <w:p w14:paraId="18C26A9E" w14:textId="77777777" w:rsidR="0009007A" w:rsidRDefault="00000000">
      <w:pPr>
        <w:pStyle w:val="FootnoteText"/>
        <w:rPr>
          <w:lang w:bidi="he-IL"/>
        </w:rPr>
      </w:pPr>
      <w:r>
        <w:rPr>
          <w:rStyle w:val="FootnoteCharacters"/>
        </w:rPr>
        <w:footnoteRef/>
      </w:r>
      <w:r>
        <w:rPr>
          <w:rtl/>
          <w:lang w:bidi="he-IL"/>
        </w:rPr>
        <w:tab/>
        <w:t xml:space="preserve">אף שאין דרך ארץ לאכול כן (קודם הפשט וניתוח), יאכל כן כדי שלא יפסיד.  </w:t>
      </w:r>
      <w:r>
        <w:rPr>
          <w:b/>
          <w:bCs/>
          <w:u w:val="single"/>
          <w:rtl/>
          <w:lang w:bidi="he-IL"/>
        </w:rPr>
        <w:t>(כו.)</w:t>
      </w:r>
    </w:p>
  </w:footnote>
  <w:footnote w:id="252">
    <w:p w14:paraId="7580F527" w14:textId="77777777" w:rsidR="0009007A" w:rsidRDefault="00000000">
      <w:pPr>
        <w:pStyle w:val="FootnoteText"/>
        <w:rPr>
          <w:lang w:bidi="he-IL"/>
        </w:rPr>
      </w:pPr>
      <w:r>
        <w:rPr>
          <w:rStyle w:val="FootnoteCharacters"/>
        </w:rPr>
        <w:footnoteRef/>
      </w:r>
      <w:r>
        <w:rPr>
          <w:rtl/>
          <w:lang w:bidi="he-IL"/>
        </w:rPr>
        <w:tab/>
        <w:t xml:space="preserve">הם כלים שמשתמשים בהם לעשות אותו יותר קל להביא דברים. כיון שצריכים שני בני אדם להביא אותם, </w:t>
      </w:r>
      <w:r>
        <w:rPr>
          <w:rtl/>
          <w:lang w:bidi="he-IL"/>
        </w:rPr>
        <w:tab/>
        <w:t xml:space="preserve"> מילתא. (רש"י</w:t>
      </w:r>
      <w:r>
        <w:rPr>
          <w:b/>
          <w:bCs/>
          <w:u w:val="single"/>
          <w:rtl/>
          <w:lang w:bidi="he-IL"/>
        </w:rPr>
        <w:t xml:space="preserve"> כה.</w:t>
      </w:r>
      <w:r>
        <w:rPr>
          <w:rtl/>
          <w:lang w:bidi="he-IL"/>
        </w:rPr>
        <w:t xml:space="preserve">) </w:t>
      </w:r>
    </w:p>
  </w:footnote>
  <w:footnote w:id="253">
    <w:p w14:paraId="6F49DD7D" w14:textId="77777777" w:rsidR="0009007A" w:rsidRDefault="00000000">
      <w:pPr>
        <w:pStyle w:val="FootnoteText"/>
        <w:rPr>
          <w:lang w:bidi="he-IL"/>
        </w:rPr>
      </w:pPr>
      <w:r>
        <w:rPr>
          <w:rStyle w:val="FootnoteCharacters"/>
        </w:rPr>
        <w:footnoteRef/>
      </w:r>
      <w:r>
        <w:rPr>
          <w:rtl/>
          <w:lang w:bidi="he-IL"/>
        </w:rPr>
        <w:tab/>
        <w:t>לכאו’, לפי מה שבארנו לעיל (בארנו על פי מה שמשע מרש"י), מה שמביא אותו אברים אברים אינו סיבת ההיתר, אלא כיון שלא יביא אותו עם אחר, מוכרח להביא אותו אבר אבר.</w:t>
      </w:r>
    </w:p>
  </w:footnote>
  <w:footnote w:id="254">
    <w:p w14:paraId="7FC2FC38"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652DB43" w14:textId="77777777" w:rsidR="0009007A" w:rsidRDefault="00000000">
      <w:pPr>
        <w:pStyle w:val="FootnoteText"/>
        <w:numPr>
          <w:ilvl w:val="0"/>
          <w:numId w:val="35"/>
        </w:numPr>
        <w:rPr>
          <w:lang w:bidi="he-IL"/>
        </w:rPr>
      </w:pPr>
      <w:r>
        <w:rPr>
          <w:rtl/>
          <w:lang w:bidi="he-IL"/>
        </w:rPr>
        <w:t>לשחוט בהמה מי"ט:</w:t>
      </w:r>
    </w:p>
    <w:p w14:paraId="63B2A155" w14:textId="77777777" w:rsidR="0009007A" w:rsidRDefault="00000000">
      <w:pPr>
        <w:pStyle w:val="FootnoteText"/>
        <w:numPr>
          <w:ilvl w:val="1"/>
          <w:numId w:val="35"/>
        </w:numPr>
        <w:rPr>
          <w:lang w:bidi="he-IL"/>
        </w:rPr>
      </w:pPr>
      <w:r>
        <w:rPr>
          <w:rtl/>
          <w:lang w:bidi="he-IL"/>
        </w:rPr>
        <w:t>אם יאכל (או יש זמן לאכול) כזית צלי- מותר.</w:t>
      </w:r>
    </w:p>
    <w:p w14:paraId="56E42DCB" w14:textId="77777777" w:rsidR="0009007A" w:rsidRDefault="00000000">
      <w:pPr>
        <w:pStyle w:val="FootnoteText"/>
        <w:numPr>
          <w:ilvl w:val="1"/>
          <w:numId w:val="35"/>
        </w:numPr>
        <w:rPr>
          <w:lang w:bidi="he-IL"/>
        </w:rPr>
      </w:pPr>
      <w:r>
        <w:rPr>
          <w:rtl/>
          <w:lang w:bidi="he-IL"/>
        </w:rPr>
        <w:t xml:space="preserve">אם יאכל (או יש זמן לאכול) כזית חי- </w:t>
      </w:r>
    </w:p>
    <w:p w14:paraId="0ABD9E84" w14:textId="77777777" w:rsidR="0009007A" w:rsidRDefault="00000000">
      <w:pPr>
        <w:pStyle w:val="FootnoteText"/>
        <w:numPr>
          <w:ilvl w:val="2"/>
          <w:numId w:val="35"/>
        </w:numPr>
        <w:rPr>
          <w:lang w:bidi="he-IL"/>
        </w:rPr>
      </w:pPr>
      <w:r>
        <w:rPr>
          <w:rtl/>
          <w:lang w:bidi="he-IL"/>
        </w:rPr>
        <w:t>רבנן- אסור.</w:t>
      </w:r>
    </w:p>
    <w:p w14:paraId="2776D24C" w14:textId="77777777" w:rsidR="0009007A" w:rsidRDefault="00000000">
      <w:pPr>
        <w:pStyle w:val="FootnoteText"/>
        <w:numPr>
          <w:ilvl w:val="2"/>
          <w:numId w:val="35"/>
        </w:numPr>
        <w:rPr>
          <w:lang w:bidi="he-IL"/>
        </w:rPr>
      </w:pPr>
      <w:r>
        <w:rPr>
          <w:rtl/>
          <w:lang w:bidi="he-IL"/>
        </w:rPr>
        <w:t>ר"ע- מותר.</w:t>
      </w:r>
    </w:p>
    <w:p w14:paraId="146E64C2" w14:textId="77777777" w:rsidR="0009007A" w:rsidRDefault="00000000">
      <w:pPr>
        <w:pStyle w:val="FootnoteText"/>
        <w:numPr>
          <w:ilvl w:val="0"/>
          <w:numId w:val="35"/>
        </w:numPr>
        <w:rPr>
          <w:lang w:bidi="he-IL"/>
        </w:rPr>
      </w:pPr>
      <w:r>
        <w:rPr>
          <w:rtl/>
          <w:lang w:bidi="he-IL"/>
        </w:rPr>
        <w:t>להביא בהמה ששחט בי"ט:</w:t>
      </w:r>
    </w:p>
    <w:p w14:paraId="6A1C3453" w14:textId="77777777" w:rsidR="0009007A" w:rsidRDefault="00000000">
      <w:pPr>
        <w:pStyle w:val="FootnoteText"/>
        <w:numPr>
          <w:ilvl w:val="1"/>
          <w:numId w:val="35"/>
        </w:numPr>
        <w:rPr>
          <w:lang w:bidi="he-IL"/>
        </w:rPr>
      </w:pPr>
      <w:r>
        <w:rPr>
          <w:rtl/>
          <w:lang w:bidi="he-IL"/>
        </w:rPr>
        <w:t>עם שני בנ"א- אסור.</w:t>
      </w:r>
    </w:p>
    <w:p w14:paraId="571049CA" w14:textId="77777777" w:rsidR="0009007A" w:rsidRDefault="00000000">
      <w:pPr>
        <w:pStyle w:val="FootnoteText"/>
        <w:numPr>
          <w:ilvl w:val="1"/>
          <w:numId w:val="35"/>
        </w:numPr>
        <w:rPr>
          <w:lang w:bidi="he-IL"/>
        </w:rPr>
      </w:pPr>
      <w:r>
        <w:rPr>
          <w:rtl/>
          <w:lang w:bidi="he-IL"/>
        </w:rPr>
        <w:t>בפני עצמו- מותר.</w:t>
      </w:r>
    </w:p>
  </w:footnote>
  <w:footnote w:id="255">
    <w:p w14:paraId="26EBAAF8" w14:textId="77777777" w:rsidR="0009007A" w:rsidRDefault="00000000">
      <w:pPr>
        <w:pStyle w:val="FootnoteText"/>
        <w:rPr>
          <w:b/>
          <w:bCs/>
          <w:lang w:bidi="he-IL"/>
        </w:rPr>
      </w:pPr>
      <w:r>
        <w:rPr>
          <w:rStyle w:val="FootnoteCharacters"/>
        </w:rPr>
        <w:footnoteRef/>
      </w:r>
      <w:r>
        <w:rPr>
          <w:b/>
          <w:bCs/>
          <w:rtl/>
          <w:lang w:bidi="he-IL"/>
        </w:rPr>
        <w:tab/>
        <w:t>משנה ד:</w:t>
      </w:r>
    </w:p>
  </w:footnote>
  <w:footnote w:id="256">
    <w:p w14:paraId="3A0AA4BD" w14:textId="77777777" w:rsidR="0009007A" w:rsidRDefault="00000000">
      <w:pPr>
        <w:pStyle w:val="FootnoteText"/>
        <w:rPr>
          <w:lang w:bidi="he-IL"/>
        </w:rPr>
      </w:pPr>
      <w:r>
        <w:rPr>
          <w:rStyle w:val="FootnoteCharacters"/>
        </w:rPr>
        <w:footnoteRef/>
      </w:r>
      <w:r>
        <w:rPr>
          <w:b/>
          <w:bCs/>
          <w:rtl/>
          <w:lang w:bidi="he-IL"/>
        </w:rPr>
        <w:tab/>
        <w:t>הקדמה:</w:t>
      </w:r>
    </w:p>
    <w:p w14:paraId="455ECCCA" w14:textId="77777777" w:rsidR="0009007A" w:rsidRDefault="00000000">
      <w:pPr>
        <w:pStyle w:val="FootnoteText"/>
        <w:rPr>
          <w:lang w:bidi="he-IL"/>
        </w:rPr>
      </w:pPr>
      <w:r>
        <w:rPr>
          <w:b/>
          <w:bCs/>
          <w:rtl/>
          <w:lang w:bidi="he-IL"/>
        </w:rPr>
        <w:tab/>
      </w:r>
      <w:r>
        <w:rPr>
          <w:rtl/>
          <w:lang w:bidi="he-IL"/>
        </w:rPr>
        <w:t>בכור תם הוא קרבן, ואם שחט אותו בחוץ, עבר על לאו של שחיטת קדשים בחוץ וחייב כרת. אבל, אם יש בו מום, מותר לשחוט אותו. כדי להתיר אותו בשחיטה, צריך להראות את המום לכהן. משנה זה דן בעיקר באם מותר להראות אותו לחכם בשבת.</w:t>
      </w:r>
    </w:p>
  </w:footnote>
  <w:footnote w:id="257">
    <w:p w14:paraId="60E32AF6" w14:textId="77777777" w:rsidR="0009007A" w:rsidRDefault="00000000">
      <w:pPr>
        <w:pStyle w:val="FootnoteText"/>
        <w:rPr>
          <w:lang w:bidi="he-IL"/>
        </w:rPr>
      </w:pPr>
      <w:r>
        <w:rPr>
          <w:rStyle w:val="FootnoteCharacters"/>
        </w:rPr>
        <w:footnoteRef/>
      </w:r>
      <w:r>
        <w:rPr>
          <w:rtl/>
          <w:lang w:bidi="he-IL"/>
        </w:rPr>
        <w:tab/>
        <w:t>כאן, מחדש רבי יהודה שמותר לראות מומים בי"ט, ולא חוששים שנראה כמתקן.</w:t>
      </w:r>
    </w:p>
  </w:footnote>
  <w:footnote w:id="258">
    <w:p w14:paraId="05F40772" w14:textId="77777777" w:rsidR="0009007A" w:rsidRDefault="00000000">
      <w:pPr>
        <w:pStyle w:val="FootnoteText"/>
        <w:rPr>
          <w:lang w:bidi="he-IL"/>
        </w:rPr>
      </w:pPr>
      <w:r>
        <w:rPr>
          <w:rStyle w:val="FootnoteCharacters"/>
        </w:rPr>
        <w:footnoteRef/>
      </w:r>
      <w:r>
        <w:rPr>
          <w:rtl/>
          <w:lang w:bidi="he-IL"/>
        </w:rPr>
        <w:tab/>
        <w:t>שמותר לטרוח ביום טוב להעלות אותו לצורך שחיטה. כיון שמצא בו מום, מותר לשחוט אותו.</w:t>
      </w:r>
    </w:p>
  </w:footnote>
  <w:footnote w:id="259">
    <w:p w14:paraId="7DCE5F5A" w14:textId="77777777" w:rsidR="0009007A" w:rsidRDefault="00000000">
      <w:pPr>
        <w:pStyle w:val="FootnoteText"/>
        <w:rPr>
          <w:lang w:bidi="he-IL"/>
        </w:rPr>
      </w:pPr>
      <w:r>
        <w:rPr>
          <w:rStyle w:val="FootnoteCharacters"/>
        </w:rPr>
        <w:footnoteRef/>
      </w:r>
      <w:r>
        <w:rPr>
          <w:rtl/>
          <w:lang w:bidi="he-IL"/>
        </w:rPr>
        <w:tab/>
        <w:t xml:space="preserve">כאן, מחדש רבי יהודה שאף אם נולד בו מום אחרי שהעלה אותו, לא מותר לשחוט. וא"ת הרי זה פשוט, שרבי יהודה סובר שיש מוקצה, ולא היה בו מום ביה"ש. וי"ל שמדברים בציור שהיה לו מום עראי אז, ולכן לא היה מוקצה. </w:t>
      </w:r>
      <w:r>
        <w:rPr>
          <w:b/>
          <w:bCs/>
          <w:u w:val="single"/>
          <w:rtl/>
          <w:lang w:bidi="he-IL"/>
        </w:rPr>
        <w:t>(כו.)</w:t>
      </w:r>
    </w:p>
  </w:footnote>
  <w:footnote w:id="260">
    <w:p w14:paraId="712CEFB6" w14:textId="77777777" w:rsidR="0009007A" w:rsidRDefault="00000000">
      <w:pPr>
        <w:pStyle w:val="FootnoteText"/>
        <w:rPr>
          <w:lang w:bidi="he-IL"/>
        </w:rPr>
      </w:pPr>
      <w:r>
        <w:rPr>
          <w:rStyle w:val="FootnoteCharacters"/>
        </w:rPr>
        <w:footnoteRef/>
      </w:r>
      <w:r>
        <w:rPr>
          <w:rtl/>
          <w:lang w:bidi="he-IL"/>
        </w:rPr>
        <w:tab/>
        <w:t xml:space="preserve">לא רצה לומר שאינו מוכן מחמת מוקצה, אלא רק רצה לומר שאין חכם רואה אותו, שנראה כמתקן אותו. </w:t>
      </w:r>
      <w:r>
        <w:rPr>
          <w:b/>
          <w:bCs/>
          <w:u w:val="single"/>
          <w:rtl/>
          <w:lang w:bidi="he-IL"/>
        </w:rPr>
        <w:t>(כו.)</w:t>
      </w:r>
      <w:r>
        <w:rPr>
          <w:rtl/>
          <w:lang w:bidi="he-IL"/>
        </w:rPr>
        <w:t xml:space="preserve"> גמ’ מפרש שאם רואה אותו, לא ניתר. </w:t>
      </w:r>
      <w:r>
        <w:rPr>
          <w:b/>
          <w:bCs/>
          <w:u w:val="single"/>
          <w:rtl/>
          <w:lang w:bidi="he-IL"/>
        </w:rPr>
        <w:t>(כו:)</w:t>
      </w:r>
      <w:r>
        <w:rPr>
          <w:rtl/>
          <w:lang w:bidi="he-IL"/>
        </w:rPr>
        <w:t xml:space="preserve"> </w:t>
      </w:r>
    </w:p>
  </w:footnote>
  <w:footnote w:id="261">
    <w:p w14:paraId="63F5083C" w14:textId="77777777" w:rsidR="0009007A" w:rsidRDefault="00000000">
      <w:pPr>
        <w:pStyle w:val="FootnoteText"/>
        <w:rPr>
          <w:lang w:bidi="he-IL"/>
        </w:rPr>
      </w:pPr>
      <w:r>
        <w:rPr>
          <w:rStyle w:val="FootnoteCharacters"/>
        </w:rPr>
        <w:footnoteRef/>
      </w:r>
      <w:r>
        <w:rPr>
          <w:rtl/>
          <w:lang w:bidi="he-IL"/>
        </w:rPr>
        <w:tab/>
        <w:t xml:space="preserve">גמ’ מבאר שאם נולד עם מום, אין הדין כן. חולקים אם לפי ר"ש מותר לראות אותו לכתחילה או רק מועיל בדיעבד. גם דן גמ’ אם זה רק אם דיינים יושבים שם ודנים עליו מיד כשנולד (שאז לא נדחה). </w:t>
      </w:r>
      <w:r>
        <w:rPr>
          <w:b/>
          <w:bCs/>
          <w:u w:val="single"/>
          <w:rtl/>
          <w:lang w:bidi="he-IL"/>
        </w:rPr>
        <w:t>(כו:)</w:t>
      </w:r>
    </w:p>
  </w:footnote>
  <w:footnote w:id="262">
    <w:p w14:paraId="4A49CE06" w14:textId="77777777" w:rsidR="0009007A" w:rsidRDefault="00000000">
      <w:pPr>
        <w:pStyle w:val="FootnoteText"/>
        <w:rPr>
          <w:lang w:bidi="he-IL"/>
        </w:rPr>
      </w:pPr>
      <w:r>
        <w:rPr>
          <w:rStyle w:val="FootnoteCharacters"/>
        </w:rPr>
        <w:footnoteRef/>
      </w:r>
      <w:r>
        <w:rPr>
          <w:rtl/>
          <w:lang w:bidi="he-IL"/>
        </w:rPr>
        <w:tab/>
        <w:t xml:space="preserve">חולקים מהו הל’. יש שפסקו כרבי יהודה, אבל יש שאמרו שמס’ לומר כרבי שמעון. </w:t>
      </w:r>
      <w:r>
        <w:rPr>
          <w:b/>
          <w:bCs/>
          <w:u w:val="single"/>
          <w:rtl/>
          <w:lang w:bidi="he-IL"/>
        </w:rPr>
        <w:t>(כז.)</w:t>
      </w:r>
    </w:p>
  </w:footnote>
  <w:footnote w:id="263">
    <w:p w14:paraId="0C71890F"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AA3C5DC" w14:textId="77777777" w:rsidR="0009007A" w:rsidRDefault="00000000">
      <w:pPr>
        <w:pStyle w:val="FootnoteText"/>
        <w:numPr>
          <w:ilvl w:val="0"/>
          <w:numId w:val="36"/>
        </w:numPr>
        <w:rPr>
          <w:lang w:bidi="he-IL"/>
        </w:rPr>
      </w:pPr>
      <w:r>
        <w:rPr>
          <w:rtl/>
          <w:lang w:bidi="he-IL"/>
        </w:rPr>
        <w:t>להראות בכור למומחה בי”ט:</w:t>
      </w:r>
    </w:p>
    <w:p w14:paraId="77EA78B6" w14:textId="77777777" w:rsidR="0009007A" w:rsidRDefault="00000000">
      <w:pPr>
        <w:pStyle w:val="FootnoteText"/>
        <w:numPr>
          <w:ilvl w:val="1"/>
          <w:numId w:val="36"/>
        </w:numPr>
        <w:rPr>
          <w:lang w:bidi="he-IL"/>
        </w:rPr>
      </w:pPr>
      <w:r>
        <w:rPr>
          <w:rtl/>
          <w:lang w:bidi="he-IL"/>
        </w:rPr>
        <w:t>לרבי יהודה- מותר.</w:t>
      </w:r>
    </w:p>
    <w:p w14:paraId="7925DE9E" w14:textId="77777777" w:rsidR="0009007A" w:rsidRDefault="00000000">
      <w:pPr>
        <w:pStyle w:val="FootnoteText"/>
        <w:numPr>
          <w:ilvl w:val="1"/>
          <w:numId w:val="36"/>
        </w:numPr>
        <w:rPr>
          <w:lang w:bidi="he-IL"/>
        </w:rPr>
      </w:pPr>
      <w:r>
        <w:rPr>
          <w:rtl/>
          <w:lang w:bidi="he-IL"/>
        </w:rPr>
        <w:t>לרבי שמעון- אסור. (י"א שמותר אם נולד עם מום, אבל נראה מגמ’ שזה נדחה.)</w:t>
      </w:r>
    </w:p>
    <w:p w14:paraId="3CDA4105" w14:textId="77777777" w:rsidR="0009007A" w:rsidRDefault="00000000">
      <w:pPr>
        <w:pStyle w:val="FootnoteText"/>
        <w:numPr>
          <w:ilvl w:val="0"/>
          <w:numId w:val="36"/>
        </w:numPr>
        <w:rPr>
          <w:lang w:bidi="he-IL"/>
        </w:rPr>
      </w:pPr>
      <w:r>
        <w:rPr>
          <w:rtl/>
          <w:lang w:bidi="he-IL"/>
        </w:rPr>
        <w:t>אם הראה בכור למומחה בי"ט:</w:t>
      </w:r>
    </w:p>
    <w:p w14:paraId="1BFD2CC4" w14:textId="77777777" w:rsidR="0009007A" w:rsidRDefault="00000000">
      <w:pPr>
        <w:pStyle w:val="FootnoteText"/>
        <w:numPr>
          <w:ilvl w:val="1"/>
          <w:numId w:val="36"/>
        </w:numPr>
        <w:rPr>
          <w:lang w:bidi="he-IL"/>
        </w:rPr>
      </w:pPr>
      <w:r>
        <w:rPr>
          <w:rtl/>
          <w:lang w:bidi="he-IL"/>
        </w:rPr>
        <w:t>לרבי יהודה- מותר.</w:t>
      </w:r>
    </w:p>
    <w:p w14:paraId="5AAB2DC6" w14:textId="77777777" w:rsidR="0009007A" w:rsidRDefault="00000000">
      <w:pPr>
        <w:pStyle w:val="FootnoteText"/>
        <w:numPr>
          <w:ilvl w:val="1"/>
          <w:numId w:val="36"/>
        </w:numPr>
        <w:rPr>
          <w:lang w:bidi="he-IL"/>
        </w:rPr>
      </w:pPr>
      <w:r>
        <w:rPr>
          <w:rtl/>
          <w:lang w:bidi="he-IL"/>
        </w:rPr>
        <w:t>לרבי שמעון-</w:t>
      </w:r>
    </w:p>
    <w:p w14:paraId="7407E536" w14:textId="77777777" w:rsidR="0009007A" w:rsidRDefault="00000000">
      <w:pPr>
        <w:pStyle w:val="FootnoteText"/>
        <w:numPr>
          <w:ilvl w:val="2"/>
          <w:numId w:val="36"/>
        </w:numPr>
        <w:rPr>
          <w:lang w:bidi="he-IL"/>
        </w:rPr>
      </w:pPr>
      <w:r>
        <w:rPr>
          <w:rtl/>
          <w:lang w:bidi="he-IL"/>
        </w:rPr>
        <w:t>אם נולד עם מום- מותר.</w:t>
      </w:r>
    </w:p>
    <w:p w14:paraId="6DF1321D" w14:textId="77777777" w:rsidR="0009007A" w:rsidRDefault="00000000">
      <w:pPr>
        <w:pStyle w:val="FootnoteText"/>
        <w:numPr>
          <w:ilvl w:val="2"/>
          <w:numId w:val="36"/>
        </w:numPr>
        <w:rPr>
          <w:lang w:bidi="he-IL"/>
        </w:rPr>
      </w:pPr>
      <w:r>
        <w:rPr>
          <w:rtl/>
          <w:lang w:bidi="he-IL"/>
        </w:rPr>
        <w:t>אם נולד בלי מום- אסור.</w:t>
      </w:r>
    </w:p>
    <w:p w14:paraId="591C7925" w14:textId="77777777" w:rsidR="0009007A" w:rsidRDefault="00000000">
      <w:pPr>
        <w:pStyle w:val="FootnoteText"/>
        <w:numPr>
          <w:ilvl w:val="0"/>
          <w:numId w:val="36"/>
        </w:numPr>
        <w:rPr>
          <w:lang w:bidi="he-IL"/>
        </w:rPr>
      </w:pPr>
      <w:r>
        <w:rPr>
          <w:rtl/>
          <w:lang w:bidi="he-IL"/>
        </w:rPr>
        <w:t>אם מותר להעלות בכור מן הבור:</w:t>
      </w:r>
    </w:p>
    <w:p w14:paraId="34606EF6" w14:textId="77777777" w:rsidR="0009007A" w:rsidRDefault="00000000">
      <w:pPr>
        <w:pStyle w:val="FootnoteText"/>
        <w:numPr>
          <w:ilvl w:val="1"/>
          <w:numId w:val="36"/>
        </w:numPr>
        <w:rPr>
          <w:lang w:bidi="he-IL"/>
        </w:rPr>
      </w:pPr>
      <w:r>
        <w:rPr>
          <w:rtl/>
          <w:lang w:bidi="he-IL"/>
        </w:rPr>
        <w:t xml:space="preserve">רבי יהושע- מותר. </w:t>
      </w:r>
    </w:p>
    <w:p w14:paraId="728DAA22" w14:textId="77777777" w:rsidR="0009007A" w:rsidRDefault="00000000">
      <w:pPr>
        <w:pStyle w:val="FootnoteText"/>
        <w:numPr>
          <w:ilvl w:val="1"/>
          <w:numId w:val="36"/>
        </w:numPr>
        <w:rPr>
          <w:lang w:bidi="he-IL"/>
        </w:rPr>
      </w:pPr>
      <w:r>
        <w:rPr>
          <w:rtl/>
          <w:lang w:bidi="he-IL"/>
        </w:rPr>
        <w:t>רבי יהודה, רבי שמעון- אסור.</w:t>
      </w:r>
    </w:p>
    <w:p w14:paraId="3FC4C13A" w14:textId="77777777" w:rsidR="0009007A" w:rsidRDefault="00000000">
      <w:pPr>
        <w:pStyle w:val="FootnoteText"/>
        <w:numPr>
          <w:ilvl w:val="0"/>
          <w:numId w:val="36"/>
        </w:numPr>
        <w:rPr>
          <w:lang w:bidi="he-IL"/>
        </w:rPr>
      </w:pPr>
      <w:r>
        <w:rPr>
          <w:rtl/>
          <w:lang w:bidi="he-IL"/>
        </w:rPr>
        <w:t>אם העלה בכור באיסור מבור- אסור לשחוט אותו באותו י"ט.</w:t>
      </w:r>
    </w:p>
  </w:footnote>
  <w:footnote w:id="264">
    <w:p w14:paraId="7A35B70B" w14:textId="77777777" w:rsidR="0009007A" w:rsidRDefault="00000000">
      <w:pPr>
        <w:pStyle w:val="FootnoteText"/>
        <w:rPr>
          <w:b/>
          <w:bCs/>
          <w:lang w:bidi="he-IL"/>
        </w:rPr>
      </w:pPr>
      <w:r>
        <w:rPr>
          <w:rStyle w:val="FootnoteCharacters"/>
        </w:rPr>
        <w:footnoteRef/>
      </w:r>
      <w:r>
        <w:rPr>
          <w:b/>
          <w:bCs/>
          <w:rtl/>
          <w:lang w:bidi="he-IL"/>
        </w:rPr>
        <w:tab/>
        <w:t>משנה ה:</w:t>
      </w:r>
    </w:p>
  </w:footnote>
  <w:footnote w:id="265">
    <w:p w14:paraId="79BC0D30" w14:textId="77777777" w:rsidR="0009007A" w:rsidRDefault="00000000">
      <w:pPr>
        <w:pStyle w:val="FootnoteText"/>
        <w:rPr>
          <w:b/>
          <w:bCs/>
          <w:lang w:bidi="he-IL"/>
        </w:rPr>
      </w:pPr>
      <w:r>
        <w:rPr>
          <w:rStyle w:val="FootnoteCharacters"/>
        </w:rPr>
        <w:footnoteRef/>
      </w:r>
      <w:r>
        <w:rPr>
          <w:b/>
          <w:bCs/>
          <w:rtl/>
          <w:lang w:bidi="he-IL"/>
        </w:rPr>
        <w:tab/>
        <w:t>הקדמה:</w:t>
      </w:r>
    </w:p>
    <w:p w14:paraId="3E52F5BB" w14:textId="77777777" w:rsidR="0009007A" w:rsidRDefault="00000000">
      <w:pPr>
        <w:pStyle w:val="FootnoteText"/>
        <w:rPr>
          <w:b/>
          <w:bCs/>
          <w:lang w:bidi="he-IL"/>
        </w:rPr>
      </w:pPr>
      <w:r>
        <w:rPr>
          <w:b/>
          <w:bCs/>
          <w:rtl/>
          <w:lang w:bidi="he-IL"/>
        </w:rPr>
        <w:tab/>
      </w:r>
      <w:r>
        <w:rPr>
          <w:rtl/>
          <w:lang w:bidi="he-IL"/>
        </w:rPr>
        <w:t>משנה זה מבאר דברים המוקצים, כיון שאסורים בהנאה (כמו שנבאר בפי’ המשנה).</w:t>
      </w:r>
    </w:p>
  </w:footnote>
  <w:footnote w:id="266">
    <w:p w14:paraId="0FA9D430" w14:textId="77777777" w:rsidR="0009007A" w:rsidRDefault="00000000">
      <w:pPr>
        <w:pStyle w:val="FootnoteText"/>
        <w:rPr>
          <w:lang w:bidi="he-IL"/>
        </w:rPr>
      </w:pPr>
      <w:r>
        <w:rPr>
          <w:rStyle w:val="FootnoteCharacters"/>
        </w:rPr>
        <w:footnoteRef/>
      </w:r>
      <w:r>
        <w:rPr>
          <w:rtl/>
          <w:lang w:bidi="he-IL"/>
        </w:rPr>
        <w:tab/>
        <w:t>מוקצה הוא. גמ’ נותן שלש ביאורים למה הוא מוקצה:</w:t>
      </w:r>
    </w:p>
    <w:p w14:paraId="013DF355" w14:textId="77777777" w:rsidR="0009007A" w:rsidRDefault="00000000">
      <w:pPr>
        <w:pStyle w:val="FootnoteText"/>
        <w:numPr>
          <w:ilvl w:val="0"/>
          <w:numId w:val="37"/>
        </w:numPr>
        <w:rPr>
          <w:lang w:bidi="he-IL"/>
        </w:rPr>
      </w:pPr>
      <w:r>
        <w:rPr>
          <w:rtl/>
          <w:lang w:bidi="he-IL"/>
        </w:rPr>
        <w:t>משנה זה הוא שיטת רבי יהודה, שסובר שיש מוקצה. כיון שלא הכין אותו מדעתו, שלא סבר שהיה מת בי"ט, הוא מוקצה.</w:t>
      </w:r>
    </w:p>
    <w:p w14:paraId="40ACB8B4" w14:textId="77777777" w:rsidR="0009007A" w:rsidRDefault="00000000">
      <w:pPr>
        <w:pStyle w:val="FootnoteText"/>
        <w:numPr>
          <w:ilvl w:val="0"/>
          <w:numId w:val="37"/>
        </w:numPr>
        <w:rPr>
          <w:lang w:bidi="he-IL"/>
        </w:rPr>
      </w:pPr>
      <w:r>
        <w:rPr>
          <w:rtl/>
          <w:lang w:bidi="he-IL"/>
        </w:rPr>
        <w:t>משנה הוא גם שיטת רבי שמעון, שאין דעת אדם על בעלי חיים שלא מסוכנים.</w:t>
      </w:r>
    </w:p>
    <w:p w14:paraId="3D36AD67" w14:textId="77777777" w:rsidR="0009007A" w:rsidRDefault="00000000">
      <w:pPr>
        <w:pStyle w:val="FootnoteText"/>
        <w:numPr>
          <w:ilvl w:val="0"/>
          <w:numId w:val="37"/>
        </w:numPr>
        <w:rPr>
          <w:lang w:bidi="he-IL"/>
        </w:rPr>
      </w:pPr>
      <w:r>
        <w:rPr>
          <w:rtl/>
          <w:lang w:bidi="he-IL"/>
        </w:rPr>
        <w:t>משנה הוא גם שיטת רבי שמעון, והוא בבהמה של קדשים, שמוקצה כיון שאסור בהנאה.</w:t>
      </w:r>
    </w:p>
    <w:p w14:paraId="75A72FD1" w14:textId="77777777" w:rsidR="0009007A" w:rsidRDefault="00000000">
      <w:pPr>
        <w:pStyle w:val="FootnoteText"/>
        <w:rPr>
          <w:lang w:bidi="he-IL"/>
        </w:rPr>
      </w:pPr>
      <w:r>
        <w:rPr>
          <w:rtl/>
          <w:lang w:bidi="he-IL"/>
        </w:rPr>
        <w:tab/>
        <w:t xml:space="preserve">גמ’ מדייק כצד שלישי מדמיון לחלה. (אבל, עדיין אפשר לומר שדין של </w:t>
      </w:r>
      <w:r>
        <w:rPr>
          <w:lang w:bidi="he-IL"/>
        </w:rPr>
        <w:t>2</w:t>
      </w:r>
      <w:r>
        <w:rPr>
          <w:rtl/>
          <w:lang w:bidi="he-IL"/>
        </w:rPr>
        <w:t xml:space="preserve"> נכון, אלא שרצה למצוא ציור שאף מסוכנת מוקצה.) נמצא, אז, שמשנתינו הוא כרבי שמעון. </w:t>
      </w:r>
    </w:p>
  </w:footnote>
  <w:footnote w:id="267">
    <w:p w14:paraId="29E2583E" w14:textId="77777777" w:rsidR="0009007A" w:rsidRDefault="00000000">
      <w:pPr>
        <w:pStyle w:val="FootnoteText"/>
        <w:rPr>
          <w:lang w:bidi="he-IL"/>
        </w:rPr>
      </w:pPr>
      <w:r>
        <w:rPr>
          <w:rStyle w:val="FootnoteCharacters"/>
        </w:rPr>
        <w:footnoteRef/>
      </w:r>
      <w:r>
        <w:rPr>
          <w:rtl/>
          <w:lang w:bidi="he-IL"/>
        </w:rPr>
        <w:tab/>
        <w:t>על בהמה שמתה בי"ט.</w:t>
      </w:r>
    </w:p>
  </w:footnote>
  <w:footnote w:id="268">
    <w:p w14:paraId="6B600AFA" w14:textId="77777777" w:rsidR="0009007A" w:rsidRDefault="00000000">
      <w:pPr>
        <w:pStyle w:val="FootnoteText"/>
        <w:rPr>
          <w:lang w:bidi="he-IL"/>
        </w:rPr>
      </w:pPr>
      <w:r>
        <w:rPr>
          <w:rStyle w:val="FootnoteCharacters"/>
        </w:rPr>
        <w:footnoteRef/>
      </w:r>
      <w:r>
        <w:rPr>
          <w:rtl/>
          <w:lang w:bidi="he-IL"/>
        </w:rPr>
        <w:tab/>
        <w:t xml:space="preserve">חלה היא אחת ממתנות כהונה. אם נטמאה, אין נהנים ממנה, וטעונה שריפה. אז, מוקצה הו"א. וא"ת יכולים להנות משריפתה. וי"ל שאינו כן, אלא בי"ט אסור לשרוף קדשים. (רשי </w:t>
      </w:r>
      <w:r>
        <w:rPr>
          <w:b/>
          <w:bCs/>
          <w:u w:val="single"/>
          <w:rtl/>
          <w:lang w:bidi="he-IL"/>
        </w:rPr>
        <w:t>כז:</w:t>
      </w:r>
      <w:r>
        <w:rPr>
          <w:rtl/>
          <w:lang w:bidi="he-IL"/>
        </w:rPr>
        <w:t>)</w:t>
      </w:r>
    </w:p>
  </w:footnote>
  <w:footnote w:id="269">
    <w:p w14:paraId="5E920B76" w14:textId="77777777" w:rsidR="0009007A" w:rsidRDefault="00000000">
      <w:pPr>
        <w:pStyle w:val="FootnoteText"/>
        <w:rPr>
          <w:lang w:bidi="he-IL"/>
        </w:rPr>
      </w:pPr>
      <w:r>
        <w:rPr>
          <w:rStyle w:val="FootnoteCharacters"/>
        </w:rPr>
        <w:footnoteRef/>
      </w:r>
      <w:r>
        <w:rPr>
          <w:rtl/>
          <w:lang w:bidi="he-IL"/>
        </w:rPr>
        <w:tab/>
        <w:t>ר’ טרפון לא ידע את הדין, ואז נכנס לבי"מ לשאל את הלומדים שם, שאולי אחד מהם ידע את הדין.</w:t>
      </w:r>
    </w:p>
  </w:footnote>
  <w:footnote w:id="270">
    <w:p w14:paraId="23CE8469"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44BA821E" w14:textId="77777777" w:rsidR="0009007A" w:rsidRDefault="00000000">
      <w:pPr>
        <w:pStyle w:val="FootnoteText"/>
        <w:numPr>
          <w:ilvl w:val="0"/>
          <w:numId w:val="38"/>
        </w:numPr>
        <w:rPr>
          <w:lang w:bidi="he-IL"/>
        </w:rPr>
      </w:pPr>
      <w:r>
        <w:rPr>
          <w:rtl/>
          <w:lang w:bidi="he-IL"/>
        </w:rPr>
        <w:t>בהמה מסוכנת בביה"ש שמת-</w:t>
      </w:r>
    </w:p>
    <w:p w14:paraId="421E87CC" w14:textId="77777777" w:rsidR="0009007A" w:rsidRDefault="00000000">
      <w:pPr>
        <w:pStyle w:val="FootnoteText"/>
        <w:numPr>
          <w:ilvl w:val="1"/>
          <w:numId w:val="38"/>
        </w:numPr>
        <w:rPr>
          <w:lang w:bidi="he-IL"/>
        </w:rPr>
      </w:pPr>
      <w:r>
        <w:rPr>
          <w:rtl/>
          <w:lang w:bidi="he-IL"/>
        </w:rPr>
        <w:t>רבי יהודה- מוקצה.</w:t>
      </w:r>
    </w:p>
    <w:p w14:paraId="284C8137" w14:textId="77777777" w:rsidR="0009007A" w:rsidRDefault="00000000">
      <w:pPr>
        <w:pStyle w:val="FootnoteText"/>
        <w:numPr>
          <w:ilvl w:val="1"/>
          <w:numId w:val="38"/>
        </w:numPr>
        <w:rPr>
          <w:lang w:bidi="he-IL"/>
        </w:rPr>
      </w:pPr>
      <w:r>
        <w:rPr>
          <w:rtl/>
          <w:lang w:bidi="he-IL"/>
        </w:rPr>
        <w:t>רבי שמעון- אינו מוקצה.</w:t>
      </w:r>
    </w:p>
    <w:p w14:paraId="1A05E83C" w14:textId="77777777" w:rsidR="0009007A" w:rsidRDefault="00000000">
      <w:pPr>
        <w:pStyle w:val="FootnoteText"/>
        <w:numPr>
          <w:ilvl w:val="0"/>
          <w:numId w:val="38"/>
        </w:numPr>
        <w:rPr>
          <w:lang w:bidi="he-IL"/>
        </w:rPr>
      </w:pPr>
      <w:r>
        <w:rPr>
          <w:rtl/>
          <w:lang w:bidi="he-IL"/>
        </w:rPr>
        <w:t>בהמה בריאה ביה"ש שמת-</w:t>
      </w:r>
    </w:p>
    <w:p w14:paraId="6FAB03AF" w14:textId="77777777" w:rsidR="0009007A" w:rsidRDefault="00000000">
      <w:pPr>
        <w:pStyle w:val="FootnoteText"/>
        <w:numPr>
          <w:ilvl w:val="1"/>
          <w:numId w:val="38"/>
        </w:numPr>
        <w:rPr>
          <w:lang w:bidi="he-IL"/>
        </w:rPr>
      </w:pPr>
      <w:r>
        <w:rPr>
          <w:rtl/>
          <w:lang w:bidi="he-IL"/>
        </w:rPr>
        <w:t>רבי יהודה- מוקצה.</w:t>
      </w:r>
    </w:p>
    <w:p w14:paraId="0EB95221" w14:textId="77777777" w:rsidR="0009007A" w:rsidRDefault="00000000">
      <w:pPr>
        <w:pStyle w:val="FootnoteText"/>
        <w:numPr>
          <w:ilvl w:val="1"/>
          <w:numId w:val="38"/>
        </w:numPr>
        <w:rPr>
          <w:lang w:bidi="he-IL"/>
        </w:rPr>
      </w:pPr>
      <w:r>
        <w:rPr>
          <w:rtl/>
          <w:lang w:bidi="he-IL"/>
        </w:rPr>
        <w:t>רבי שמעון-</w:t>
      </w:r>
    </w:p>
    <w:p w14:paraId="769071B5" w14:textId="77777777" w:rsidR="0009007A" w:rsidRDefault="00000000">
      <w:pPr>
        <w:pStyle w:val="FootnoteText"/>
        <w:numPr>
          <w:ilvl w:val="2"/>
          <w:numId w:val="38"/>
        </w:numPr>
        <w:rPr>
          <w:lang w:bidi="he-IL"/>
        </w:rPr>
      </w:pPr>
      <w:r>
        <w:rPr>
          <w:rtl/>
          <w:lang w:bidi="he-IL"/>
        </w:rPr>
        <w:t>שיטה אחת- מוקצה.</w:t>
      </w:r>
    </w:p>
    <w:p w14:paraId="1E673606" w14:textId="77777777" w:rsidR="0009007A" w:rsidRDefault="00000000">
      <w:pPr>
        <w:pStyle w:val="FootnoteText"/>
        <w:numPr>
          <w:ilvl w:val="2"/>
          <w:numId w:val="38"/>
        </w:numPr>
        <w:rPr>
          <w:lang w:bidi="he-IL"/>
        </w:rPr>
      </w:pPr>
      <w:r>
        <w:rPr>
          <w:rtl/>
          <w:lang w:bidi="he-IL"/>
        </w:rPr>
        <w:t>שיטה שנית- אינו מוקצה.</w:t>
      </w:r>
    </w:p>
    <w:p w14:paraId="78905506" w14:textId="77777777" w:rsidR="0009007A" w:rsidRDefault="00000000">
      <w:pPr>
        <w:pStyle w:val="FootnoteText"/>
        <w:numPr>
          <w:ilvl w:val="0"/>
          <w:numId w:val="38"/>
        </w:numPr>
        <w:rPr>
          <w:lang w:bidi="he-IL"/>
        </w:rPr>
      </w:pPr>
      <w:r>
        <w:rPr>
          <w:rtl/>
          <w:lang w:bidi="he-IL"/>
        </w:rPr>
        <w:t>דבר שאסוב בהנאה (כמו חלה בי"ט וקדשים שמתו)- מוקצה.</w:t>
      </w:r>
    </w:p>
  </w:footnote>
  <w:footnote w:id="271">
    <w:p w14:paraId="541AC702" w14:textId="77777777" w:rsidR="0009007A" w:rsidRDefault="00000000">
      <w:pPr>
        <w:pStyle w:val="FootnoteText"/>
        <w:rPr>
          <w:b/>
          <w:bCs/>
          <w:lang w:bidi="he-IL"/>
        </w:rPr>
      </w:pPr>
      <w:r>
        <w:rPr>
          <w:rStyle w:val="FootnoteCharacters"/>
        </w:rPr>
        <w:footnoteRef/>
      </w:r>
      <w:r>
        <w:rPr>
          <w:b/>
          <w:bCs/>
          <w:rtl/>
          <w:lang w:bidi="he-IL"/>
        </w:rPr>
        <w:tab/>
        <w:t>משנה ו:</w:t>
      </w:r>
    </w:p>
  </w:footnote>
  <w:footnote w:id="272">
    <w:p w14:paraId="22516D12" w14:textId="77777777" w:rsidR="0009007A" w:rsidRDefault="00000000">
      <w:pPr>
        <w:pStyle w:val="FootnoteText"/>
        <w:rPr>
          <w:b/>
          <w:bCs/>
          <w:lang w:bidi="he-IL"/>
        </w:rPr>
      </w:pPr>
      <w:r>
        <w:rPr>
          <w:rStyle w:val="FootnoteCharacters"/>
        </w:rPr>
        <w:footnoteRef/>
      </w:r>
      <w:r>
        <w:rPr>
          <w:b/>
          <w:bCs/>
          <w:rtl/>
          <w:lang w:bidi="he-IL"/>
        </w:rPr>
        <w:tab/>
        <w:t>הקדמה:</w:t>
      </w:r>
    </w:p>
    <w:p w14:paraId="28D2211C" w14:textId="77777777" w:rsidR="0009007A" w:rsidRDefault="00000000">
      <w:pPr>
        <w:pStyle w:val="FootnoteText"/>
        <w:rPr>
          <w:b/>
          <w:bCs/>
          <w:lang w:bidi="he-IL"/>
        </w:rPr>
      </w:pPr>
      <w:r>
        <w:rPr>
          <w:rtl/>
          <w:lang w:bidi="he-IL"/>
        </w:rPr>
        <w:tab/>
        <w:t xml:space="preserve">אסור לעסוק במקח וממכר בשבת. (רשי במק"א (כז:) מביא קרא בנחמיה, ורשי במק"א (לז) מביא קרא בישעיה)) רישא של המשנה מבאר מה נחשב מקח וממכר, ומה לא נחשב מקח וממכר. </w:t>
      </w:r>
    </w:p>
    <w:p w14:paraId="204CF349" w14:textId="77777777" w:rsidR="0009007A" w:rsidRDefault="00000000">
      <w:pPr>
        <w:pStyle w:val="FootnoteText"/>
        <w:rPr>
          <w:b/>
          <w:bCs/>
          <w:lang w:bidi="he-IL"/>
        </w:rPr>
      </w:pPr>
      <w:r>
        <w:rPr>
          <w:rtl/>
          <w:lang w:bidi="he-IL"/>
        </w:rPr>
        <w:tab/>
        <w:t xml:space="preserve">סיפא של המשנה מבאר דברים שנאסרים מחמת שהם עובדים של חול. </w:t>
      </w:r>
      <w:r>
        <w:rPr>
          <w:b/>
          <w:bCs/>
          <w:u w:val="single"/>
          <w:rtl/>
          <w:lang w:bidi="he-IL"/>
        </w:rPr>
        <w:t>(כט.)</w:t>
      </w:r>
    </w:p>
  </w:footnote>
  <w:footnote w:id="273">
    <w:p w14:paraId="431DEF44" w14:textId="77777777" w:rsidR="0009007A" w:rsidRDefault="00000000">
      <w:pPr>
        <w:pStyle w:val="FootnoteText"/>
        <w:rPr>
          <w:lang w:bidi="he-IL"/>
        </w:rPr>
      </w:pPr>
      <w:r>
        <w:rPr>
          <w:rStyle w:val="FootnoteCharacters"/>
        </w:rPr>
        <w:footnoteRef/>
      </w:r>
      <w:r>
        <w:rPr>
          <w:rtl/>
          <w:lang w:bidi="he-IL"/>
        </w:rPr>
        <w:tab/>
        <w:t>אין פוסקים דמים (לומר, “אקח בהמה זו למאתיים זוז") בי"ט, כיון שהוא מקח וממכר.</w:t>
      </w:r>
    </w:p>
  </w:footnote>
  <w:footnote w:id="274">
    <w:p w14:paraId="6E70E2EF" w14:textId="77777777" w:rsidR="0009007A" w:rsidRDefault="00000000">
      <w:pPr>
        <w:pStyle w:val="FootnoteText"/>
        <w:rPr>
          <w:lang w:bidi="he-IL"/>
        </w:rPr>
      </w:pPr>
      <w:r>
        <w:rPr>
          <w:rStyle w:val="FootnoteCharacters"/>
        </w:rPr>
        <w:footnoteRef/>
      </w:r>
      <w:r>
        <w:rPr>
          <w:rtl/>
          <w:lang w:bidi="he-IL"/>
        </w:rPr>
        <w:tab/>
        <w:t>שנים אלו שני תקנות הם. יכולים לפסוק דמים קודם יום טוב, וגם יכולים לפסוק בי"ט על ידי דמיון בהמות (שיביא שני בהמות דומות, וישחוט אחת, ולאחר י"ט, יחפשו כמה שווה האחר).</w:t>
      </w:r>
    </w:p>
  </w:footnote>
  <w:footnote w:id="275">
    <w:p w14:paraId="7BBEE5DA" w14:textId="77777777" w:rsidR="0009007A" w:rsidRDefault="00000000">
      <w:pPr>
        <w:pStyle w:val="FootnoteText"/>
        <w:rPr>
          <w:lang w:bidi="he-IL"/>
        </w:rPr>
      </w:pPr>
      <w:r>
        <w:rPr>
          <w:rStyle w:val="FootnoteCharacters"/>
        </w:rPr>
        <w:footnoteRef/>
      </w:r>
      <w:r>
        <w:rPr>
          <w:rtl/>
          <w:lang w:bidi="he-IL"/>
        </w:rPr>
        <w:tab/>
        <w:t>בדרך כלל, בחול, שוקלים כנגד משקל, ולא כנגד כלי. לכן, בי"ט מותר לשקול כנגד כלי שידוע משקל שלו, שאינו דרך חול.</w:t>
      </w:r>
    </w:p>
  </w:footnote>
  <w:footnote w:id="276">
    <w:p w14:paraId="6584E649" w14:textId="77777777" w:rsidR="0009007A" w:rsidRDefault="00000000">
      <w:pPr>
        <w:pStyle w:val="FootnoteText"/>
        <w:rPr>
          <w:lang w:bidi="he-IL"/>
        </w:rPr>
      </w:pPr>
      <w:r>
        <w:rPr>
          <w:rStyle w:val="FootnoteCharacters"/>
        </w:rPr>
        <w:footnoteRef/>
      </w:r>
      <w:r>
        <w:rPr>
          <w:rtl/>
          <w:lang w:bidi="he-IL"/>
        </w:rPr>
        <w:tab/>
        <w:t xml:space="preserve">גמ’ מפרש שלא מתיר כנגד כל דבר, אלא גם אוסר כנגד מנה אחר של בשר (כיון שזהו דרך חילוק בחול). </w:t>
      </w:r>
      <w:r>
        <w:rPr>
          <w:b/>
          <w:bCs/>
          <w:u w:val="single"/>
          <w:rtl/>
          <w:lang w:bidi="he-IL"/>
        </w:rPr>
        <w:t>(כח.)</w:t>
      </w:r>
      <w:r>
        <w:rPr>
          <w:rtl/>
          <w:lang w:bidi="he-IL"/>
        </w:rPr>
        <w:t xml:space="preserve"> רבי יהושע חולק על רבי יהודה, ומתיר אף בזה. נמצא, אז, שלש שיטות.</w:t>
      </w:r>
    </w:p>
  </w:footnote>
  <w:footnote w:id="277">
    <w:p w14:paraId="368375BB" w14:textId="77777777" w:rsidR="0009007A" w:rsidRDefault="00000000">
      <w:pPr>
        <w:pStyle w:val="FootnoteText"/>
        <w:rPr>
          <w:lang w:bidi="he-IL"/>
        </w:rPr>
      </w:pPr>
      <w:r>
        <w:rPr>
          <w:rStyle w:val="FootnoteCharacters"/>
        </w:rPr>
        <w:footnoteRef/>
      </w:r>
      <w:r>
        <w:rPr>
          <w:rtl/>
          <w:lang w:bidi="he-IL"/>
        </w:rPr>
        <w:tab/>
        <w:t xml:space="preserve">אין נותנים שום דבר במשקל, ואפילו רק לשמור אותו דבר. </w:t>
      </w:r>
      <w:r>
        <w:rPr>
          <w:b/>
          <w:bCs/>
          <w:u w:val="single"/>
          <w:rtl/>
          <w:lang w:bidi="he-IL"/>
        </w:rPr>
        <w:t>(כח.)</w:t>
      </w:r>
    </w:p>
  </w:footnote>
  <w:footnote w:id="278">
    <w:p w14:paraId="6C486065" w14:textId="77777777" w:rsidR="0009007A" w:rsidRDefault="00000000">
      <w:pPr>
        <w:pStyle w:val="FootnoteText"/>
        <w:rPr>
          <w:lang w:bidi="he-IL"/>
        </w:rPr>
      </w:pPr>
      <w:r>
        <w:rPr>
          <w:rStyle w:val="FootnoteCharacters"/>
        </w:rPr>
        <w:footnoteRef/>
      </w:r>
      <w:r>
        <w:rPr>
          <w:rtl/>
          <w:lang w:bidi="he-IL"/>
        </w:rPr>
        <w:tab/>
        <w:t xml:space="preserve">גמ’ מבאר </w:t>
      </w:r>
      <w:r>
        <w:rPr>
          <w:b/>
          <w:bCs/>
          <w:u w:val="single"/>
          <w:rtl/>
          <w:lang w:bidi="he-IL"/>
        </w:rPr>
        <w:t>(כח.)</w:t>
      </w:r>
      <w:r>
        <w:rPr>
          <w:rtl/>
          <w:lang w:bidi="he-IL"/>
        </w:rPr>
        <w:t xml:space="preserve"> שרק אסור להשתמש בו אם תלוי הוא. אבל, אם אינו תלוי, מותר לתת בו דבר.</w:t>
      </w:r>
    </w:p>
  </w:footnote>
  <w:footnote w:id="279">
    <w:p w14:paraId="2FA6FE40" w14:textId="77777777" w:rsidR="0009007A" w:rsidRDefault="00000000">
      <w:pPr>
        <w:pStyle w:val="FootnoteText"/>
        <w:rPr>
          <w:lang w:bidi="he-IL"/>
        </w:rPr>
      </w:pPr>
      <w:r>
        <w:rPr>
          <w:rStyle w:val="FootnoteCharacters"/>
        </w:rPr>
        <w:footnoteRef/>
      </w:r>
      <w:r>
        <w:rPr>
          <w:rtl/>
          <w:lang w:bidi="he-IL"/>
        </w:rPr>
        <w:tab/>
        <w:t xml:space="preserve">גמ’ מוסיף </w:t>
      </w:r>
      <w:r>
        <w:rPr>
          <w:b/>
          <w:bCs/>
          <w:u w:val="single"/>
          <w:rtl/>
          <w:lang w:bidi="he-IL"/>
        </w:rPr>
        <w:t>(כח.)</w:t>
      </w:r>
      <w:r>
        <w:rPr>
          <w:rtl/>
          <w:lang w:bidi="he-IL"/>
        </w:rPr>
        <w:t xml:space="preserve"> דברים אחרים שהם אסורים מאותו הטעם:</w:t>
      </w:r>
    </w:p>
    <w:p w14:paraId="3474A4F5" w14:textId="77777777" w:rsidR="0009007A" w:rsidRDefault="00000000">
      <w:pPr>
        <w:pStyle w:val="FootnoteText"/>
        <w:numPr>
          <w:ilvl w:val="0"/>
          <w:numId w:val="39"/>
        </w:numPr>
        <w:rPr>
          <w:lang w:bidi="he-IL"/>
        </w:rPr>
      </w:pPr>
      <w:r>
        <w:rPr>
          <w:rtl/>
          <w:lang w:bidi="he-IL"/>
        </w:rPr>
        <w:t>אסור לאומן לשקול ביד.</w:t>
      </w:r>
    </w:p>
    <w:p w14:paraId="79E91E52" w14:textId="77777777" w:rsidR="0009007A" w:rsidRDefault="00000000">
      <w:pPr>
        <w:pStyle w:val="FootnoteText"/>
        <w:numPr>
          <w:ilvl w:val="0"/>
          <w:numId w:val="39"/>
        </w:numPr>
        <w:rPr>
          <w:lang w:bidi="he-IL"/>
        </w:rPr>
      </w:pPr>
      <w:r>
        <w:rPr>
          <w:rtl/>
          <w:lang w:bidi="he-IL"/>
        </w:rPr>
        <w:t>אסור לאומן לשקול במים. (שיקול במים הוא שנותנים אותו בתוך כוס מים שיש לו שנתו. מראיית כמה מים יוצא, יכולים להוכיח גודל הבשר.</w:t>
      </w:r>
    </w:p>
    <w:p w14:paraId="7F3D2F63" w14:textId="77777777" w:rsidR="0009007A" w:rsidRDefault="00000000">
      <w:pPr>
        <w:pStyle w:val="FootnoteText"/>
        <w:numPr>
          <w:ilvl w:val="0"/>
          <w:numId w:val="39"/>
        </w:numPr>
        <w:rPr>
          <w:lang w:bidi="he-IL"/>
        </w:rPr>
      </w:pPr>
      <w:r>
        <w:rPr>
          <w:rtl/>
          <w:lang w:bidi="he-IL"/>
        </w:rPr>
        <w:t>אסור לעשות בסכין בית יד בתוך חתכת בשר.</w:t>
      </w:r>
    </w:p>
  </w:footnote>
  <w:footnote w:id="280">
    <w:p w14:paraId="694FF60D"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B9F5220" w14:textId="77777777" w:rsidR="0009007A" w:rsidRDefault="00000000">
      <w:pPr>
        <w:pStyle w:val="FootnoteText"/>
        <w:numPr>
          <w:ilvl w:val="0"/>
          <w:numId w:val="40"/>
        </w:numPr>
        <w:rPr>
          <w:lang w:bidi="he-IL"/>
        </w:rPr>
      </w:pPr>
      <w:r>
        <w:rPr>
          <w:rtl/>
          <w:lang w:bidi="he-IL"/>
        </w:rPr>
        <w:t>כדי לקבוע דמים לבהמה:</w:t>
      </w:r>
    </w:p>
    <w:p w14:paraId="6A1E63B3" w14:textId="77777777" w:rsidR="0009007A" w:rsidRDefault="00000000">
      <w:pPr>
        <w:pStyle w:val="FootnoteText"/>
        <w:numPr>
          <w:ilvl w:val="1"/>
          <w:numId w:val="40"/>
        </w:numPr>
        <w:rPr>
          <w:lang w:bidi="he-IL"/>
        </w:rPr>
      </w:pPr>
      <w:r>
        <w:rPr>
          <w:rtl/>
          <w:lang w:bidi="he-IL"/>
        </w:rPr>
        <w:t>לפסוק דמים בי"ט- אסור.</w:t>
      </w:r>
    </w:p>
    <w:p w14:paraId="2AE3AE35" w14:textId="77777777" w:rsidR="0009007A" w:rsidRDefault="00000000">
      <w:pPr>
        <w:pStyle w:val="FootnoteText"/>
        <w:numPr>
          <w:ilvl w:val="1"/>
          <w:numId w:val="40"/>
        </w:numPr>
        <w:rPr>
          <w:lang w:bidi="he-IL"/>
        </w:rPr>
      </w:pPr>
      <w:r>
        <w:rPr>
          <w:rtl/>
          <w:lang w:bidi="he-IL"/>
        </w:rPr>
        <w:t>לפסוק דמים קודם י"ט- מותר.</w:t>
      </w:r>
    </w:p>
    <w:p w14:paraId="7B9EFB78" w14:textId="77777777" w:rsidR="0009007A" w:rsidRDefault="00000000">
      <w:pPr>
        <w:pStyle w:val="FootnoteText"/>
        <w:numPr>
          <w:ilvl w:val="1"/>
          <w:numId w:val="40"/>
        </w:numPr>
        <w:rPr>
          <w:lang w:bidi="he-IL"/>
        </w:rPr>
      </w:pPr>
      <w:r>
        <w:rPr>
          <w:rtl/>
          <w:lang w:bidi="he-IL"/>
        </w:rPr>
        <w:t>לדמות אותו לבהמה אחרת, ולפסק דמים אחרי י"ט- מותר.</w:t>
      </w:r>
    </w:p>
    <w:p w14:paraId="1D223118" w14:textId="77777777" w:rsidR="0009007A" w:rsidRDefault="00000000">
      <w:pPr>
        <w:pStyle w:val="FootnoteText"/>
        <w:numPr>
          <w:ilvl w:val="0"/>
          <w:numId w:val="40"/>
        </w:numPr>
        <w:rPr>
          <w:lang w:bidi="he-IL"/>
        </w:rPr>
      </w:pPr>
      <w:r>
        <w:rPr>
          <w:rtl/>
          <w:lang w:bidi="he-IL"/>
        </w:rPr>
        <w:t>לשקול-</w:t>
      </w:r>
    </w:p>
    <w:p w14:paraId="43C21AFE" w14:textId="77777777" w:rsidR="0009007A" w:rsidRDefault="00000000">
      <w:pPr>
        <w:pStyle w:val="FootnoteText"/>
        <w:numPr>
          <w:ilvl w:val="1"/>
          <w:numId w:val="40"/>
        </w:numPr>
        <w:rPr>
          <w:lang w:bidi="he-IL"/>
        </w:rPr>
      </w:pPr>
      <w:r>
        <w:rPr>
          <w:rtl/>
          <w:lang w:bidi="he-IL"/>
        </w:rPr>
        <w:t>כנגד משקל- אסור.</w:t>
      </w:r>
    </w:p>
    <w:p w14:paraId="089261BC" w14:textId="77777777" w:rsidR="0009007A" w:rsidRDefault="00000000">
      <w:pPr>
        <w:pStyle w:val="FootnoteText"/>
        <w:numPr>
          <w:ilvl w:val="1"/>
          <w:numId w:val="40"/>
        </w:numPr>
        <w:rPr>
          <w:lang w:bidi="he-IL"/>
        </w:rPr>
      </w:pPr>
      <w:r>
        <w:rPr>
          <w:rtl/>
          <w:lang w:bidi="he-IL"/>
        </w:rPr>
        <w:t>כנגד מנה-</w:t>
      </w:r>
    </w:p>
    <w:p w14:paraId="72BC2C81" w14:textId="77777777" w:rsidR="0009007A" w:rsidRDefault="00000000">
      <w:pPr>
        <w:pStyle w:val="FootnoteText"/>
        <w:numPr>
          <w:ilvl w:val="2"/>
          <w:numId w:val="40"/>
        </w:numPr>
        <w:rPr>
          <w:lang w:bidi="he-IL"/>
        </w:rPr>
      </w:pPr>
      <w:r>
        <w:rPr>
          <w:rtl/>
          <w:lang w:bidi="he-IL"/>
        </w:rPr>
        <w:t>רבי יהושע- מותר.</w:t>
      </w:r>
    </w:p>
    <w:p w14:paraId="38044E72" w14:textId="77777777" w:rsidR="0009007A" w:rsidRDefault="00000000">
      <w:pPr>
        <w:pStyle w:val="FootnoteText"/>
        <w:numPr>
          <w:ilvl w:val="2"/>
          <w:numId w:val="40"/>
        </w:numPr>
        <w:rPr>
          <w:lang w:bidi="he-IL"/>
        </w:rPr>
      </w:pPr>
      <w:r>
        <w:rPr>
          <w:rtl/>
          <w:lang w:bidi="he-IL"/>
        </w:rPr>
        <w:t>רבי יהודה, חכמים- אסור.</w:t>
      </w:r>
    </w:p>
    <w:p w14:paraId="18422F60" w14:textId="77777777" w:rsidR="0009007A" w:rsidRDefault="00000000">
      <w:pPr>
        <w:pStyle w:val="FootnoteText"/>
        <w:numPr>
          <w:ilvl w:val="1"/>
          <w:numId w:val="40"/>
        </w:numPr>
        <w:rPr>
          <w:lang w:bidi="he-IL"/>
        </w:rPr>
      </w:pPr>
      <w:r>
        <w:rPr>
          <w:rtl/>
          <w:lang w:bidi="he-IL"/>
        </w:rPr>
        <w:t>כנגד כלי-</w:t>
      </w:r>
    </w:p>
    <w:p w14:paraId="3E20460C" w14:textId="77777777" w:rsidR="0009007A" w:rsidRDefault="00000000">
      <w:pPr>
        <w:pStyle w:val="FootnoteText"/>
        <w:numPr>
          <w:ilvl w:val="2"/>
          <w:numId w:val="40"/>
        </w:numPr>
        <w:rPr>
          <w:lang w:bidi="he-IL"/>
        </w:rPr>
      </w:pPr>
      <w:r>
        <w:rPr>
          <w:rtl/>
          <w:lang w:bidi="he-IL"/>
        </w:rPr>
        <w:t>רבי יהושע, רבי יהודה- מותר.</w:t>
      </w:r>
    </w:p>
    <w:p w14:paraId="772C21D5" w14:textId="77777777" w:rsidR="0009007A" w:rsidRDefault="00000000">
      <w:pPr>
        <w:pStyle w:val="FootnoteText"/>
        <w:numPr>
          <w:ilvl w:val="2"/>
          <w:numId w:val="40"/>
        </w:numPr>
        <w:rPr>
          <w:lang w:bidi="he-IL"/>
        </w:rPr>
      </w:pPr>
      <w:r>
        <w:rPr>
          <w:rtl/>
          <w:lang w:bidi="he-IL"/>
        </w:rPr>
        <w:t>חכמים- אסור.</w:t>
      </w:r>
    </w:p>
    <w:p w14:paraId="731AE2A9" w14:textId="77777777" w:rsidR="0009007A" w:rsidRDefault="00000000">
      <w:pPr>
        <w:pStyle w:val="FootnoteText"/>
        <w:numPr>
          <w:ilvl w:val="1"/>
          <w:numId w:val="40"/>
        </w:numPr>
        <w:rPr>
          <w:lang w:bidi="he-IL"/>
        </w:rPr>
      </w:pPr>
      <w:r>
        <w:rPr>
          <w:rtl/>
          <w:lang w:bidi="he-IL"/>
        </w:rPr>
        <w:t>ביד-</w:t>
      </w:r>
    </w:p>
    <w:p w14:paraId="69765804" w14:textId="77777777" w:rsidR="0009007A" w:rsidRDefault="00000000">
      <w:pPr>
        <w:pStyle w:val="FootnoteText"/>
        <w:numPr>
          <w:ilvl w:val="2"/>
          <w:numId w:val="40"/>
        </w:numPr>
        <w:rPr>
          <w:lang w:bidi="he-IL"/>
        </w:rPr>
      </w:pPr>
      <w:r>
        <w:rPr>
          <w:rtl/>
          <w:lang w:bidi="he-IL"/>
        </w:rPr>
        <w:t>אומן- אסור.</w:t>
      </w:r>
    </w:p>
    <w:p w14:paraId="7C1B7D92" w14:textId="77777777" w:rsidR="0009007A" w:rsidRDefault="00000000">
      <w:pPr>
        <w:pStyle w:val="FootnoteText"/>
        <w:numPr>
          <w:ilvl w:val="2"/>
          <w:numId w:val="40"/>
        </w:numPr>
        <w:rPr>
          <w:lang w:bidi="he-IL"/>
        </w:rPr>
      </w:pPr>
      <w:r>
        <w:rPr>
          <w:rtl/>
          <w:lang w:bidi="he-IL"/>
        </w:rPr>
        <w:t>אחר- מותר.</w:t>
      </w:r>
    </w:p>
    <w:p w14:paraId="45AD4E5D" w14:textId="77777777" w:rsidR="0009007A" w:rsidRDefault="00000000">
      <w:pPr>
        <w:pStyle w:val="FootnoteText"/>
        <w:numPr>
          <w:ilvl w:val="1"/>
          <w:numId w:val="40"/>
        </w:numPr>
        <w:rPr>
          <w:lang w:bidi="he-IL"/>
        </w:rPr>
      </w:pPr>
      <w:r>
        <w:rPr>
          <w:rtl/>
          <w:lang w:bidi="he-IL"/>
        </w:rPr>
        <w:t>במים-</w:t>
      </w:r>
    </w:p>
    <w:p w14:paraId="24A4173C" w14:textId="77777777" w:rsidR="0009007A" w:rsidRDefault="00000000">
      <w:pPr>
        <w:pStyle w:val="FootnoteText"/>
        <w:numPr>
          <w:ilvl w:val="2"/>
          <w:numId w:val="40"/>
        </w:numPr>
        <w:rPr>
          <w:lang w:bidi="he-IL"/>
        </w:rPr>
      </w:pPr>
      <w:r>
        <w:rPr>
          <w:rtl/>
          <w:lang w:bidi="he-IL"/>
        </w:rPr>
        <w:t>אומן- אסור.</w:t>
      </w:r>
    </w:p>
    <w:p w14:paraId="461C1D48" w14:textId="77777777" w:rsidR="0009007A" w:rsidRDefault="00000000">
      <w:pPr>
        <w:pStyle w:val="FootnoteText"/>
        <w:numPr>
          <w:ilvl w:val="2"/>
          <w:numId w:val="40"/>
        </w:numPr>
        <w:rPr>
          <w:lang w:bidi="he-IL"/>
        </w:rPr>
      </w:pPr>
      <w:r>
        <w:rPr>
          <w:rtl/>
          <w:lang w:bidi="he-IL"/>
        </w:rPr>
        <w:t>אחר- מותר (אבל תלוי בגי’).</w:t>
      </w:r>
    </w:p>
    <w:p w14:paraId="3F9C2DBF" w14:textId="77777777" w:rsidR="0009007A" w:rsidRDefault="00000000">
      <w:pPr>
        <w:pStyle w:val="FootnoteText"/>
        <w:numPr>
          <w:ilvl w:val="0"/>
          <w:numId w:val="40"/>
        </w:numPr>
        <w:rPr>
          <w:lang w:bidi="he-IL"/>
        </w:rPr>
      </w:pPr>
      <w:r>
        <w:rPr>
          <w:rtl/>
          <w:lang w:bidi="he-IL"/>
        </w:rPr>
        <w:t>לשמור דבר במשקולת:</w:t>
      </w:r>
    </w:p>
    <w:p w14:paraId="6593C303" w14:textId="77777777" w:rsidR="0009007A" w:rsidRDefault="00000000">
      <w:pPr>
        <w:pStyle w:val="FootnoteText"/>
        <w:numPr>
          <w:ilvl w:val="1"/>
          <w:numId w:val="40"/>
        </w:numPr>
        <w:rPr>
          <w:lang w:bidi="he-IL"/>
        </w:rPr>
      </w:pPr>
      <w:r>
        <w:rPr>
          <w:rtl/>
          <w:lang w:bidi="he-IL"/>
        </w:rPr>
        <w:t>רבי יהודה ורבי יהושע- אסור.</w:t>
      </w:r>
    </w:p>
    <w:p w14:paraId="70AD46FE" w14:textId="77777777" w:rsidR="0009007A" w:rsidRDefault="00000000">
      <w:pPr>
        <w:pStyle w:val="FootnoteText"/>
        <w:numPr>
          <w:ilvl w:val="1"/>
          <w:numId w:val="40"/>
        </w:numPr>
        <w:rPr>
          <w:lang w:bidi="he-IL"/>
        </w:rPr>
      </w:pPr>
      <w:r>
        <w:rPr>
          <w:rtl/>
          <w:lang w:bidi="he-IL"/>
        </w:rPr>
        <w:t>רבנן-</w:t>
      </w:r>
    </w:p>
    <w:p w14:paraId="4289769C" w14:textId="77777777" w:rsidR="0009007A" w:rsidRDefault="00000000">
      <w:pPr>
        <w:pStyle w:val="FootnoteText"/>
        <w:numPr>
          <w:ilvl w:val="2"/>
          <w:numId w:val="40"/>
        </w:numPr>
        <w:rPr>
          <w:lang w:bidi="he-IL"/>
        </w:rPr>
      </w:pPr>
      <w:r>
        <w:rPr>
          <w:rtl/>
          <w:lang w:bidi="he-IL"/>
        </w:rPr>
        <w:t>אם תלוי- אסור.</w:t>
      </w:r>
    </w:p>
    <w:p w14:paraId="2E980DB9" w14:textId="77777777" w:rsidR="0009007A" w:rsidRDefault="00000000">
      <w:pPr>
        <w:pStyle w:val="FootnoteText"/>
        <w:numPr>
          <w:ilvl w:val="2"/>
          <w:numId w:val="40"/>
        </w:numPr>
        <w:rPr>
          <w:lang w:bidi="he-IL"/>
        </w:rPr>
      </w:pPr>
      <w:r>
        <w:rPr>
          <w:rtl/>
          <w:lang w:bidi="he-IL"/>
        </w:rPr>
        <w:t>אם לא תלוי- מותר.</w:t>
      </w:r>
    </w:p>
  </w:footnote>
  <w:footnote w:id="281">
    <w:p w14:paraId="1A533DE3" w14:textId="77777777" w:rsidR="0009007A" w:rsidRDefault="00000000">
      <w:pPr>
        <w:pStyle w:val="FootnoteText"/>
        <w:rPr>
          <w:b/>
          <w:bCs/>
          <w:lang w:bidi="he-IL"/>
        </w:rPr>
      </w:pPr>
      <w:r>
        <w:rPr>
          <w:rStyle w:val="FootnoteCharacters"/>
        </w:rPr>
        <w:footnoteRef/>
      </w:r>
      <w:r>
        <w:rPr>
          <w:b/>
          <w:bCs/>
          <w:rtl/>
          <w:lang w:bidi="he-IL"/>
        </w:rPr>
        <w:tab/>
        <w:t>משנה ז:</w:t>
      </w:r>
    </w:p>
  </w:footnote>
  <w:footnote w:id="282">
    <w:p w14:paraId="0679F27A" w14:textId="77777777" w:rsidR="0009007A" w:rsidRDefault="00000000">
      <w:pPr>
        <w:pStyle w:val="FootnoteText"/>
        <w:rPr>
          <w:lang w:bidi="he-IL"/>
        </w:rPr>
      </w:pPr>
      <w:r>
        <w:rPr>
          <w:rStyle w:val="FootnoteCharacters"/>
        </w:rPr>
        <w:footnoteRef/>
      </w:r>
      <w:r>
        <w:rPr>
          <w:b/>
          <w:bCs/>
          <w:rtl/>
          <w:lang w:bidi="he-IL"/>
        </w:rPr>
        <w:tab/>
        <w:t>הקדמה:</w:t>
      </w:r>
    </w:p>
    <w:p w14:paraId="0F57F0F7" w14:textId="77777777" w:rsidR="0009007A" w:rsidRDefault="00000000">
      <w:pPr>
        <w:pStyle w:val="FootnoteText"/>
        <w:rPr>
          <w:lang w:bidi="he-IL"/>
        </w:rPr>
      </w:pPr>
      <w:r>
        <w:rPr>
          <w:b/>
          <w:bCs/>
          <w:rtl/>
          <w:lang w:bidi="he-IL"/>
        </w:rPr>
        <w:tab/>
      </w:r>
      <w:r>
        <w:rPr>
          <w:rtl/>
          <w:lang w:bidi="he-IL"/>
        </w:rPr>
        <w:t xml:space="preserve">חולקים רבי יהודה ורבנן אם מותר לעשות הכנת אוכ"נ בי"ט (שכ’, “הוא") או אסור (שכ’,”לכם”). תחילת משנה זה הולך כשיטת רבבנן שלא מותר, ולכן אוסר להשחיז סכין. רבי יהודה סובר שמותר להשחיז סכין (אא"א לא חותך כלל ,אף עם דוחק, (שטירחא יתירה הוא), או היה לו לעשותו מעי”ט (שכ’,”הוא”)). אבל, להלכה מותר הוא (אם לא היה לו לעשותו מעי”ט (שכ’, “הוא”)). אז, אין הל’ כמשנה זה. </w:t>
      </w:r>
      <w:r>
        <w:rPr>
          <w:b/>
          <w:bCs/>
          <w:u w:val="single"/>
          <w:rtl/>
          <w:lang w:bidi="he-IL"/>
        </w:rPr>
        <w:t>(כח)</w:t>
      </w:r>
    </w:p>
    <w:p w14:paraId="3BC3E183" w14:textId="77777777" w:rsidR="0009007A" w:rsidRDefault="00000000">
      <w:pPr>
        <w:pStyle w:val="FootnoteText"/>
        <w:rPr>
          <w:lang w:bidi="he-IL"/>
        </w:rPr>
      </w:pPr>
      <w:r>
        <w:rPr>
          <w:b/>
          <w:bCs/>
          <w:rtl/>
          <w:lang w:bidi="he-IL"/>
        </w:rPr>
        <w:tab/>
      </w:r>
      <w:r>
        <w:rPr>
          <w:rtl/>
          <w:lang w:bidi="he-IL"/>
        </w:rPr>
        <w:t>סיפא של המשנה חוזר לדיני מקח וממכר. (איני מבין מה מוסיף על משנה שלפני זה.)</w:t>
      </w:r>
    </w:p>
  </w:footnote>
  <w:footnote w:id="283">
    <w:p w14:paraId="64AF37C1" w14:textId="77777777" w:rsidR="0009007A" w:rsidRDefault="00000000">
      <w:pPr>
        <w:pStyle w:val="FootnoteText"/>
        <w:rPr>
          <w:lang w:bidi="he-IL"/>
        </w:rPr>
      </w:pPr>
      <w:r>
        <w:rPr>
          <w:rStyle w:val="FootnoteCharacters"/>
        </w:rPr>
        <w:footnoteRef/>
      </w:r>
      <w:r>
        <w:rPr>
          <w:rtl/>
          <w:lang w:bidi="he-IL"/>
        </w:rPr>
        <w:tab/>
        <w:t xml:space="preserve">יש ארבע לשונות בגמ’, על זה, ויוצא שיש שמנה ציורים (שתלוי באם הוא סכין על סכין או בהשחזה, ואם הוא עץ או אבן, ואם הוא לחדד או להעביר שמנונית). עיין בסיכום שלי על זה. </w:t>
      </w:r>
      <w:r>
        <w:rPr>
          <w:b/>
          <w:bCs/>
          <w:u w:val="single"/>
          <w:rtl/>
          <w:lang w:bidi="he-IL"/>
        </w:rPr>
        <w:t>(כח.)</w:t>
      </w:r>
    </w:p>
  </w:footnote>
  <w:footnote w:id="284">
    <w:p w14:paraId="30FAC6CC" w14:textId="77777777" w:rsidR="0009007A" w:rsidRDefault="00000000">
      <w:pPr>
        <w:pStyle w:val="FootnoteText"/>
        <w:rPr>
          <w:lang w:bidi="he-IL"/>
        </w:rPr>
      </w:pPr>
      <w:r>
        <w:rPr>
          <w:rStyle w:val="FootnoteCharacters"/>
        </w:rPr>
        <w:footnoteRef/>
      </w:r>
      <w:r>
        <w:rPr>
          <w:rtl/>
          <w:lang w:bidi="he-IL"/>
        </w:rPr>
        <w:tab/>
        <w:t xml:space="preserve">רצה לומר, יכול לומר לו לתת לו חלק בשר, ויכול להגיד לו כמה גדול רוצה להיות, אבל לא כמה רוצה לשלם. </w:t>
      </w:r>
      <w:r>
        <w:rPr>
          <w:b/>
          <w:bCs/>
          <w:u w:val="single"/>
          <w:rtl/>
          <w:lang w:bidi="he-IL"/>
        </w:rPr>
        <w:t>(כט.)</w:t>
      </w:r>
    </w:p>
  </w:footnote>
  <w:footnote w:id="285">
    <w:p w14:paraId="1FA9583A"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EAA73ED" w14:textId="77777777" w:rsidR="0009007A" w:rsidRDefault="00000000">
      <w:pPr>
        <w:pStyle w:val="FootnoteText"/>
        <w:numPr>
          <w:ilvl w:val="0"/>
          <w:numId w:val="41"/>
        </w:numPr>
        <w:rPr>
          <w:lang w:bidi="he-IL"/>
        </w:rPr>
      </w:pPr>
      <w:r>
        <w:rPr>
          <w:rtl/>
          <w:lang w:bidi="he-IL"/>
        </w:rPr>
        <w:t>להשחיז סכין- לפעמים מותר, ולפעמים אסור; עיין בסיכום.</w:t>
      </w:r>
    </w:p>
    <w:p w14:paraId="2C2E102F" w14:textId="77777777" w:rsidR="0009007A" w:rsidRDefault="00000000">
      <w:pPr>
        <w:pStyle w:val="FootnoteText"/>
        <w:numPr>
          <w:ilvl w:val="0"/>
          <w:numId w:val="41"/>
        </w:numPr>
        <w:rPr>
          <w:lang w:bidi="he-IL"/>
        </w:rPr>
      </w:pPr>
      <w:r>
        <w:rPr>
          <w:rtl/>
          <w:lang w:bidi="he-IL"/>
        </w:rPr>
        <w:t>לשאול לשיעור כפי דמים- אסור.</w:t>
      </w:r>
    </w:p>
    <w:p w14:paraId="7E2FA0AE" w14:textId="77777777" w:rsidR="0009007A" w:rsidRDefault="00000000">
      <w:pPr>
        <w:pStyle w:val="FootnoteText"/>
        <w:numPr>
          <w:ilvl w:val="0"/>
          <w:numId w:val="41"/>
        </w:numPr>
        <w:rPr>
          <w:lang w:bidi="he-IL"/>
        </w:rPr>
      </w:pPr>
      <w:r>
        <w:rPr>
          <w:rtl/>
          <w:lang w:bidi="he-IL"/>
        </w:rPr>
        <w:t>לשאול לשיעור בלי הז’ דמים- מותר.</w:t>
      </w:r>
    </w:p>
  </w:footnote>
  <w:footnote w:id="286">
    <w:p w14:paraId="0434299A" w14:textId="77777777" w:rsidR="0009007A" w:rsidRDefault="00000000">
      <w:pPr>
        <w:pStyle w:val="FootnoteText"/>
        <w:rPr>
          <w:b/>
          <w:bCs/>
          <w:lang w:bidi="he-IL"/>
        </w:rPr>
      </w:pPr>
      <w:r>
        <w:rPr>
          <w:rStyle w:val="FootnoteCharacters"/>
        </w:rPr>
        <w:footnoteRef/>
      </w:r>
      <w:r>
        <w:rPr>
          <w:b/>
          <w:bCs/>
          <w:rtl/>
          <w:lang w:bidi="he-IL"/>
        </w:rPr>
        <w:tab/>
        <w:t>משנה ח:</w:t>
      </w:r>
    </w:p>
  </w:footnote>
  <w:footnote w:id="287">
    <w:p w14:paraId="602CAC1F" w14:textId="77777777" w:rsidR="0009007A" w:rsidRDefault="00000000">
      <w:pPr>
        <w:pStyle w:val="FootnoteText"/>
        <w:rPr>
          <w:b/>
          <w:bCs/>
          <w:lang w:bidi="he-IL"/>
        </w:rPr>
      </w:pPr>
      <w:r>
        <w:rPr>
          <w:rStyle w:val="FootnoteCharacters"/>
        </w:rPr>
        <w:footnoteRef/>
      </w:r>
      <w:r>
        <w:rPr>
          <w:b/>
          <w:bCs/>
          <w:rtl/>
          <w:lang w:bidi="he-IL"/>
        </w:rPr>
        <w:tab/>
        <w:t>הקדמה:</w:t>
      </w:r>
    </w:p>
    <w:p w14:paraId="2CD3FD6D" w14:textId="77777777" w:rsidR="0009007A" w:rsidRDefault="00000000">
      <w:pPr>
        <w:pStyle w:val="FootnoteText"/>
        <w:rPr>
          <w:b/>
          <w:bCs/>
          <w:lang w:bidi="he-IL"/>
        </w:rPr>
      </w:pPr>
      <w:r>
        <w:rPr>
          <w:b/>
          <w:bCs/>
          <w:rtl/>
          <w:lang w:bidi="he-IL"/>
        </w:rPr>
        <w:tab/>
      </w:r>
      <w:r>
        <w:rPr>
          <w:rtl/>
          <w:lang w:bidi="he-IL"/>
        </w:rPr>
        <w:t>משנה זה ממשיך לבאר דיני מדידה, שהוא אסור משום עובדים דחול.</w:t>
      </w:r>
    </w:p>
  </w:footnote>
  <w:footnote w:id="288">
    <w:p w14:paraId="5BAE021B" w14:textId="77777777" w:rsidR="0009007A" w:rsidRDefault="00000000">
      <w:pPr>
        <w:pStyle w:val="FootnoteText"/>
        <w:rPr>
          <w:lang w:bidi="he-IL"/>
        </w:rPr>
      </w:pPr>
      <w:r>
        <w:rPr>
          <w:rStyle w:val="FootnoteCharacters"/>
        </w:rPr>
        <w:footnoteRef/>
      </w:r>
      <w:r>
        <w:rPr>
          <w:rtl/>
          <w:lang w:bidi="he-IL"/>
        </w:rPr>
        <w:tab/>
        <w:t xml:space="preserve">חולקים שמואל ורבא בפירוש קטע זה. שמואל סובר שאוסר לו למלא בכלי המיוחד למילה, ורבא סובר שאוסר רק אם שואל לו למדה מיוחדת. </w:t>
      </w:r>
      <w:r>
        <w:rPr>
          <w:b/>
          <w:bCs/>
          <w:u w:val="single"/>
          <w:rtl/>
          <w:lang w:bidi="he-IL"/>
        </w:rPr>
        <w:t>(כט.)</w:t>
      </w:r>
    </w:p>
  </w:footnote>
  <w:footnote w:id="289">
    <w:p w14:paraId="3D93B8E6" w14:textId="77777777" w:rsidR="0009007A" w:rsidRDefault="00000000">
      <w:pPr>
        <w:pStyle w:val="FootnoteText"/>
        <w:rPr>
          <w:lang w:bidi="he-IL"/>
        </w:rPr>
      </w:pPr>
      <w:r>
        <w:rPr>
          <w:rStyle w:val="FootnoteCharacters"/>
        </w:rPr>
        <w:footnoteRef/>
      </w:r>
      <w:r>
        <w:rPr>
          <w:rtl/>
          <w:lang w:bidi="he-IL"/>
        </w:rPr>
        <w:tab/>
        <w:t xml:space="preserve">שמואל מפרש שהוא כלי שעומד למדה (רשי פי’ שוהא הכלי שימדוד בו כשכלי מדה שלו נשבר). רבא מפרש שהוא הכי שמיוחד למדה. </w:t>
      </w:r>
      <w:r>
        <w:rPr>
          <w:b/>
          <w:bCs/>
          <w:u w:val="single"/>
          <w:rtl/>
          <w:lang w:bidi="he-IL"/>
        </w:rPr>
        <w:t>(כט.)</w:t>
      </w:r>
    </w:p>
  </w:footnote>
  <w:footnote w:id="290">
    <w:p w14:paraId="67292964" w14:textId="77777777" w:rsidR="0009007A" w:rsidRDefault="00000000">
      <w:pPr>
        <w:pStyle w:val="FootnoteText"/>
        <w:rPr>
          <w:lang w:bidi="he-IL"/>
        </w:rPr>
      </w:pPr>
      <w:r>
        <w:rPr>
          <w:rStyle w:val="FootnoteCharacters"/>
        </w:rPr>
        <w:footnoteRef/>
      </w:r>
      <w:r>
        <w:rPr>
          <w:rtl/>
          <w:lang w:bidi="he-IL"/>
        </w:rPr>
        <w:tab/>
        <w:t>נמצא שלא אסור למכור דבר שהוא בכלי מדה, ורק אסור לתת אותו לתוך כלי מדה כמדתו.</w:t>
      </w:r>
    </w:p>
  </w:footnote>
  <w:footnote w:id="291">
    <w:p w14:paraId="3125D95D" w14:textId="77777777" w:rsidR="0009007A" w:rsidRDefault="00000000">
      <w:pPr>
        <w:pStyle w:val="FootnoteText"/>
        <w:rPr>
          <w:lang w:bidi="he-IL"/>
        </w:rPr>
      </w:pPr>
      <w:r>
        <w:rPr>
          <w:rStyle w:val="FootnoteCharacters"/>
        </w:rPr>
        <w:footnoteRef/>
      </w:r>
      <w:r>
        <w:rPr>
          <w:rtl/>
          <w:lang w:bidi="he-IL"/>
        </w:rPr>
        <w:tab/>
        <w:t>רצה למכור חלקים מדודים, אבל לא היה יכול למדוד אותם בי"ט. אז, מדד אותם קודם י"ט.</w:t>
      </w:r>
    </w:p>
  </w:footnote>
  <w:footnote w:id="292">
    <w:p w14:paraId="14109E2D" w14:textId="77777777" w:rsidR="0009007A" w:rsidRDefault="00000000">
      <w:pPr>
        <w:pStyle w:val="FootnoteText"/>
        <w:rPr>
          <w:lang w:bidi="he-IL"/>
        </w:rPr>
      </w:pPr>
      <w:r>
        <w:rPr>
          <w:rStyle w:val="FootnoteCharacters"/>
        </w:rPr>
        <w:footnoteRef/>
      </w:r>
      <w:r>
        <w:rPr>
          <w:rtl/>
          <w:lang w:bidi="he-IL"/>
        </w:rPr>
        <w:tab/>
        <w:t>כמו שנבאר לקמן, יש שלא גורסים מילים אלו.</w:t>
      </w:r>
    </w:p>
  </w:footnote>
  <w:footnote w:id="293">
    <w:p w14:paraId="5C90F292" w14:textId="77777777" w:rsidR="0009007A" w:rsidRDefault="00000000">
      <w:pPr>
        <w:pStyle w:val="FootnoteText"/>
        <w:rPr>
          <w:lang w:bidi="he-IL"/>
        </w:rPr>
      </w:pPr>
      <w:r>
        <w:rPr>
          <w:rStyle w:val="FootnoteCharacters"/>
        </w:rPr>
        <w:footnoteRef/>
      </w:r>
      <w:r>
        <w:rPr>
          <w:rtl/>
          <w:lang w:bidi="he-IL"/>
        </w:rPr>
        <w:tab/>
        <w:t xml:space="preserve">גמ’ מפרש </w:t>
      </w:r>
      <w:r>
        <w:rPr>
          <w:b/>
          <w:bCs/>
          <w:u w:val="single"/>
          <w:rtl/>
          <w:lang w:bidi="he-IL"/>
        </w:rPr>
        <w:t>(כט.)</w:t>
      </w:r>
      <w:r>
        <w:rPr>
          <w:rtl/>
          <w:lang w:bidi="he-IL"/>
        </w:rPr>
        <w:t xml:space="preserve"> שהוא מפני ביטול בית המדרש (שהיו רבים לומדים בחוה"מ, ורצה ללמד להם). יש שני פי’ בזה- לא רצה למדוד אותם, כדי שיוכל ללמוד אז. אבל, יש שגורסים "מפני ברורי מדות,” ואז הביאור הוא שהיה זמן רק למדוד, אבל לא למדוד בדיוק, ולכן מדד קודם חוה"מ.</w:t>
      </w:r>
    </w:p>
  </w:footnote>
  <w:footnote w:id="294">
    <w:p w14:paraId="3FB6BD28" w14:textId="77777777" w:rsidR="0009007A" w:rsidRDefault="00000000">
      <w:pPr>
        <w:pStyle w:val="FootnoteText"/>
        <w:rPr>
          <w:lang w:bidi="he-IL"/>
        </w:rPr>
      </w:pPr>
      <w:r>
        <w:rPr>
          <w:rStyle w:val="FootnoteCharacters"/>
        </w:rPr>
        <w:footnoteRef/>
      </w:r>
      <w:r>
        <w:rPr>
          <w:rtl/>
          <w:lang w:bidi="he-IL"/>
        </w:rPr>
        <w:tab/>
        <w:t>שכשיושב, נשתנה מדות שלה (שכיון שהיו הלוקחים נוטלים לתוך כליהם, היה נבלע לתוך הכלי), ואז צריך למדד קודם מכירה.</w:t>
      </w:r>
    </w:p>
  </w:footnote>
  <w:footnote w:id="295">
    <w:p w14:paraId="60837382" w14:textId="77777777" w:rsidR="0009007A" w:rsidRDefault="00000000">
      <w:pPr>
        <w:pStyle w:val="FootnoteText"/>
        <w:rPr>
          <w:lang w:bidi="he-IL"/>
        </w:rPr>
      </w:pPr>
      <w:r>
        <w:rPr>
          <w:rStyle w:val="FootnoteCharacters"/>
        </w:rPr>
        <w:footnoteRef/>
      </w:r>
      <w:r>
        <w:rPr>
          <w:rtl/>
          <w:lang w:bidi="he-IL"/>
        </w:rPr>
        <w:tab/>
        <w:t xml:space="preserve">גמ’ מפרש שאם לא מקפיד על זה, לא חייב להחזיר אותו. אם רוצה להחזיר, יעשה בהם צרכי רבים (כיון שגזל מן הרבים). </w:t>
      </w:r>
      <w:r>
        <w:rPr>
          <w:b/>
          <w:bCs/>
          <w:u w:val="single"/>
          <w:rtl/>
          <w:lang w:bidi="he-IL"/>
        </w:rPr>
        <w:t>(כט.)</w:t>
      </w:r>
    </w:p>
  </w:footnote>
  <w:footnote w:id="296">
    <w:p w14:paraId="2DF3231C" w14:textId="77777777" w:rsidR="0009007A" w:rsidRDefault="00000000">
      <w:pPr>
        <w:pStyle w:val="FootnoteText"/>
        <w:rPr>
          <w:lang w:bidi="he-IL"/>
        </w:rPr>
      </w:pPr>
      <w:r>
        <w:rPr>
          <w:rStyle w:val="FootnoteCharacters"/>
        </w:rPr>
        <w:footnoteRef/>
      </w:r>
      <w:r>
        <w:rPr>
          <w:rtl/>
          <w:lang w:bidi="he-IL"/>
        </w:rPr>
        <w:tab/>
        <w:t xml:space="preserve">לכאו’, הכוונה הוא שמאמין לו לשלם לאחר י"ט, ומאמינים זה על זה כמה עולה. </w:t>
      </w:r>
    </w:p>
  </w:footnote>
  <w:footnote w:id="297">
    <w:p w14:paraId="6396BDB0" w14:textId="77777777" w:rsidR="0009007A" w:rsidRDefault="00000000">
      <w:pPr>
        <w:pStyle w:val="FootnoteText"/>
        <w:rPr>
          <w:lang w:bidi="he-IL"/>
        </w:rPr>
      </w:pPr>
      <w:r>
        <w:rPr>
          <w:rStyle w:val="FootnoteCharacters"/>
        </w:rPr>
        <w:footnoteRef/>
      </w:r>
      <w:r>
        <w:rPr>
          <w:rtl/>
          <w:lang w:bidi="he-IL"/>
        </w:rPr>
        <w:tab/>
        <w:t xml:space="preserve">בריי’ מזכיר שלא יכול להזכיר גם סכום השיעור (קב או קביים). רשב"א מזכיר שם שלא יכול להזכיר סכום בדמים. </w:t>
      </w:r>
      <w:r>
        <w:rPr>
          <w:b/>
          <w:bCs/>
          <w:u w:val="single"/>
          <w:rtl/>
          <w:lang w:bidi="he-IL"/>
        </w:rPr>
        <w:t>(ל.)</w:t>
      </w:r>
      <w:r>
        <w:rPr>
          <w:rtl/>
          <w:lang w:bidi="he-IL"/>
        </w:rPr>
        <w:t xml:space="preserve"> </w:t>
      </w:r>
    </w:p>
  </w:footnote>
  <w:footnote w:id="298">
    <w:p w14:paraId="28F804F2"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4DE282FE" w14:textId="77777777" w:rsidR="0009007A" w:rsidRDefault="00000000">
      <w:pPr>
        <w:pStyle w:val="FootnoteText"/>
        <w:numPr>
          <w:ilvl w:val="0"/>
          <w:numId w:val="42"/>
        </w:numPr>
        <w:rPr>
          <w:lang w:bidi="he-IL"/>
        </w:rPr>
      </w:pPr>
      <w:r>
        <w:rPr>
          <w:rtl/>
          <w:lang w:bidi="he-IL"/>
        </w:rPr>
        <w:t>למלא כלי-</w:t>
      </w:r>
    </w:p>
    <w:p w14:paraId="05C82444" w14:textId="77777777" w:rsidR="0009007A" w:rsidRDefault="00000000">
      <w:pPr>
        <w:pStyle w:val="FootnoteText"/>
        <w:numPr>
          <w:ilvl w:val="1"/>
          <w:numId w:val="42"/>
        </w:numPr>
        <w:rPr>
          <w:lang w:bidi="he-IL"/>
        </w:rPr>
      </w:pPr>
      <w:r>
        <w:rPr>
          <w:rtl/>
          <w:lang w:bidi="he-IL"/>
        </w:rPr>
        <w:t>לשאול למדה- אסור.</w:t>
      </w:r>
    </w:p>
    <w:p w14:paraId="6A23FDF2" w14:textId="77777777" w:rsidR="0009007A" w:rsidRDefault="00000000">
      <w:pPr>
        <w:pStyle w:val="FootnoteText"/>
        <w:numPr>
          <w:ilvl w:val="1"/>
          <w:numId w:val="42"/>
        </w:numPr>
        <w:rPr>
          <w:lang w:bidi="he-IL"/>
        </w:rPr>
      </w:pPr>
      <w:r>
        <w:rPr>
          <w:rtl/>
          <w:lang w:bidi="he-IL"/>
        </w:rPr>
        <w:t>למלא כלי המיוחד למדה-</w:t>
      </w:r>
    </w:p>
    <w:p w14:paraId="01D2246E" w14:textId="77777777" w:rsidR="0009007A" w:rsidRDefault="00000000">
      <w:pPr>
        <w:pStyle w:val="FootnoteText"/>
        <w:numPr>
          <w:ilvl w:val="2"/>
          <w:numId w:val="42"/>
        </w:numPr>
        <w:rPr>
          <w:lang w:bidi="he-IL"/>
        </w:rPr>
      </w:pPr>
      <w:r>
        <w:rPr>
          <w:rtl/>
          <w:lang w:bidi="he-IL"/>
        </w:rPr>
        <w:t>רבנן לפי שמואל, רבי יהודה- אסור.</w:t>
      </w:r>
    </w:p>
    <w:p w14:paraId="75CC3892" w14:textId="77777777" w:rsidR="0009007A" w:rsidRDefault="00000000">
      <w:pPr>
        <w:pStyle w:val="FootnoteText"/>
        <w:numPr>
          <w:ilvl w:val="2"/>
          <w:numId w:val="42"/>
        </w:numPr>
        <w:rPr>
          <w:lang w:bidi="he-IL"/>
        </w:rPr>
      </w:pPr>
      <w:r>
        <w:rPr>
          <w:rtl/>
          <w:lang w:bidi="he-IL"/>
        </w:rPr>
        <w:t>רבנן לפי רבא- מותר.</w:t>
      </w:r>
    </w:p>
    <w:p w14:paraId="36A3241D" w14:textId="77777777" w:rsidR="0009007A" w:rsidRDefault="00000000">
      <w:pPr>
        <w:pStyle w:val="FootnoteText"/>
        <w:numPr>
          <w:ilvl w:val="1"/>
          <w:numId w:val="42"/>
        </w:numPr>
        <w:rPr>
          <w:lang w:bidi="he-IL"/>
        </w:rPr>
      </w:pPr>
      <w:r>
        <w:rPr>
          <w:rtl/>
          <w:lang w:bidi="he-IL"/>
        </w:rPr>
        <w:t>למלא כלי העומד למדה-</w:t>
      </w:r>
    </w:p>
    <w:p w14:paraId="2BAD4CAB" w14:textId="77777777" w:rsidR="0009007A" w:rsidRDefault="00000000">
      <w:pPr>
        <w:pStyle w:val="FootnoteText"/>
        <w:numPr>
          <w:ilvl w:val="2"/>
          <w:numId w:val="42"/>
        </w:numPr>
        <w:rPr>
          <w:lang w:bidi="he-IL"/>
        </w:rPr>
      </w:pPr>
      <w:r>
        <w:rPr>
          <w:rtl/>
          <w:lang w:bidi="he-IL"/>
        </w:rPr>
        <w:t>רבי יהודה לפי שמואל- אסור.</w:t>
      </w:r>
    </w:p>
    <w:p w14:paraId="326317AF" w14:textId="77777777" w:rsidR="0009007A" w:rsidRDefault="00000000">
      <w:pPr>
        <w:pStyle w:val="FootnoteText"/>
        <w:numPr>
          <w:ilvl w:val="2"/>
          <w:numId w:val="42"/>
        </w:numPr>
        <w:rPr>
          <w:lang w:bidi="he-IL"/>
        </w:rPr>
      </w:pPr>
      <w:r>
        <w:rPr>
          <w:rtl/>
          <w:lang w:bidi="he-IL"/>
        </w:rPr>
        <w:t>רבנן, רבי יהודה לפי רבא- מותר.</w:t>
      </w:r>
    </w:p>
    <w:p w14:paraId="1E906D11" w14:textId="77777777" w:rsidR="0009007A" w:rsidRDefault="00000000">
      <w:pPr>
        <w:pStyle w:val="FootnoteText"/>
        <w:numPr>
          <w:ilvl w:val="0"/>
          <w:numId w:val="42"/>
        </w:numPr>
        <w:rPr>
          <w:lang w:bidi="he-IL"/>
        </w:rPr>
      </w:pPr>
      <w:r>
        <w:rPr>
          <w:rtl/>
          <w:lang w:bidi="he-IL"/>
        </w:rPr>
        <w:t>מתי צריך למלאות כלי מדה קודם:</w:t>
      </w:r>
    </w:p>
    <w:p w14:paraId="25B4EC82" w14:textId="77777777" w:rsidR="0009007A" w:rsidRDefault="00000000">
      <w:pPr>
        <w:pStyle w:val="FootnoteText"/>
        <w:numPr>
          <w:ilvl w:val="1"/>
          <w:numId w:val="42"/>
        </w:numPr>
        <w:rPr>
          <w:lang w:bidi="he-IL"/>
        </w:rPr>
      </w:pPr>
      <w:r>
        <w:rPr>
          <w:rtl/>
          <w:lang w:bidi="he-IL"/>
        </w:rPr>
        <w:t>בי"ט- כיון שאסור למלא בי"ט.</w:t>
      </w:r>
    </w:p>
    <w:p w14:paraId="28E20E12" w14:textId="77777777" w:rsidR="0009007A" w:rsidRDefault="00000000">
      <w:pPr>
        <w:pStyle w:val="FootnoteText"/>
        <w:numPr>
          <w:ilvl w:val="1"/>
          <w:numId w:val="42"/>
        </w:numPr>
        <w:rPr>
          <w:lang w:bidi="he-IL"/>
        </w:rPr>
      </w:pPr>
      <w:r>
        <w:rPr>
          <w:rtl/>
          <w:lang w:bidi="he-IL"/>
        </w:rPr>
        <w:t>בחה"מ- כיון שיש ביטול תורה. (כמובן, זה רק למי שלומד אז.)</w:t>
      </w:r>
    </w:p>
    <w:p w14:paraId="03429006" w14:textId="77777777" w:rsidR="0009007A" w:rsidRDefault="00000000">
      <w:pPr>
        <w:pStyle w:val="FootnoteText"/>
        <w:numPr>
          <w:ilvl w:val="1"/>
          <w:numId w:val="42"/>
        </w:numPr>
        <w:rPr>
          <w:lang w:bidi="he-IL"/>
        </w:rPr>
      </w:pPr>
      <w:r>
        <w:rPr>
          <w:rtl/>
          <w:lang w:bidi="he-IL"/>
        </w:rPr>
        <w:t>בכל יום- מפני מצוי מדות. (אבל, חולקים בזה תנאים.)</w:t>
      </w:r>
    </w:p>
    <w:p w14:paraId="2B9BF499" w14:textId="77777777" w:rsidR="0009007A" w:rsidRDefault="00000000">
      <w:pPr>
        <w:pStyle w:val="FootnoteText"/>
        <w:numPr>
          <w:ilvl w:val="0"/>
          <w:numId w:val="42"/>
        </w:numPr>
        <w:rPr>
          <w:lang w:bidi="he-IL"/>
        </w:rPr>
      </w:pPr>
      <w:r>
        <w:rPr>
          <w:rtl/>
          <w:lang w:bidi="he-IL"/>
        </w:rPr>
        <w:t>לקנות- מותר אם לא שמזכיר-</w:t>
      </w:r>
    </w:p>
    <w:p w14:paraId="190350D4" w14:textId="77777777" w:rsidR="0009007A" w:rsidRDefault="00000000">
      <w:pPr>
        <w:pStyle w:val="FootnoteText"/>
        <w:numPr>
          <w:ilvl w:val="1"/>
          <w:numId w:val="42"/>
        </w:numPr>
        <w:rPr>
          <w:lang w:bidi="he-IL"/>
        </w:rPr>
      </w:pPr>
      <w:r>
        <w:rPr>
          <w:rtl/>
          <w:lang w:bidi="he-IL"/>
        </w:rPr>
        <w:t>שיעור שקונה (קב או קביים).</w:t>
      </w:r>
    </w:p>
    <w:p w14:paraId="2F4084D2" w14:textId="77777777" w:rsidR="0009007A" w:rsidRDefault="00000000">
      <w:pPr>
        <w:pStyle w:val="FootnoteText"/>
        <w:numPr>
          <w:ilvl w:val="1"/>
          <w:numId w:val="42"/>
        </w:numPr>
        <w:rPr>
          <w:lang w:bidi="he-IL"/>
        </w:rPr>
      </w:pPr>
      <w:r>
        <w:rPr>
          <w:rtl/>
          <w:lang w:bidi="he-IL"/>
        </w:rPr>
        <w:t>כמה משלם.</w:t>
      </w:r>
    </w:p>
  </w:footnote>
  <w:footnote w:id="299">
    <w:p w14:paraId="593441C8" w14:textId="77777777" w:rsidR="0009007A" w:rsidRDefault="00000000">
      <w:pPr>
        <w:pStyle w:val="FootnoteText"/>
        <w:jc w:val="center"/>
        <w:rPr>
          <w:b/>
          <w:bCs/>
          <w:u w:val="single"/>
          <w:lang w:bidi="he-IL"/>
        </w:rPr>
      </w:pPr>
      <w:r>
        <w:rPr>
          <w:rStyle w:val="FootnoteCharacters"/>
        </w:rPr>
        <w:footnoteRef/>
      </w:r>
      <w:r>
        <w:rPr>
          <w:b/>
          <w:bCs/>
          <w:u w:val="single"/>
          <w:rtl/>
          <w:lang w:bidi="he-IL"/>
        </w:rPr>
        <w:tab/>
        <w:t>פרק רביעי</w:t>
      </w:r>
    </w:p>
  </w:footnote>
  <w:footnote w:id="300">
    <w:p w14:paraId="44CC7929" w14:textId="77777777" w:rsidR="0009007A" w:rsidRDefault="00000000">
      <w:pPr>
        <w:pStyle w:val="FootnoteText"/>
        <w:rPr>
          <w:b/>
          <w:bCs/>
          <w:lang w:bidi="he-IL"/>
        </w:rPr>
      </w:pPr>
      <w:r>
        <w:rPr>
          <w:rStyle w:val="FootnoteCharacters"/>
        </w:rPr>
        <w:footnoteRef/>
      </w:r>
      <w:r>
        <w:rPr>
          <w:b/>
          <w:bCs/>
          <w:rtl/>
          <w:lang w:bidi="he-IL"/>
        </w:rPr>
        <w:tab/>
        <w:t>משנה א:</w:t>
      </w:r>
    </w:p>
  </w:footnote>
  <w:footnote w:id="301">
    <w:p w14:paraId="7350FC1F" w14:textId="77777777" w:rsidR="0009007A" w:rsidRDefault="00000000">
      <w:pPr>
        <w:pStyle w:val="FootnoteText"/>
        <w:rPr>
          <w:b/>
          <w:bCs/>
          <w:lang w:bidi="he-IL"/>
        </w:rPr>
      </w:pPr>
      <w:r>
        <w:rPr>
          <w:rStyle w:val="FootnoteCharacters"/>
        </w:rPr>
        <w:footnoteRef/>
      </w:r>
      <w:r>
        <w:rPr>
          <w:b/>
          <w:bCs/>
          <w:rtl/>
          <w:lang w:bidi="he-IL"/>
        </w:rPr>
        <w:tab/>
        <w:t>הקדמה:</w:t>
      </w:r>
    </w:p>
    <w:p w14:paraId="04E5367D" w14:textId="77777777" w:rsidR="0009007A" w:rsidRDefault="00000000">
      <w:pPr>
        <w:pStyle w:val="FootnoteText"/>
      </w:pPr>
      <w:r>
        <w:rPr>
          <w:rtl/>
        </w:rPr>
        <w:tab/>
        <w:t xml:space="preserve">כמו שכתבנו, אסור לאדם לעשות מלאכה בי"ט אם נראה שעושה מלאכת חו"ל. משנה שלנו יבאר איך נושא אדם חבילה. לא ישא הרבה דברים, ולא ישא אותם בדרך שנושא הרבה דברים ביחד, כיון שאז נראה כעושה מעשי חול. אבל, גמ’ מבאר, כל משנה זה הוא רק לכתחילה. אבל, אם צריך להביא הרבה, וקשה לו להביא אותו באופן אחר, מותר להביא </w:t>
      </w:r>
      <w:r>
        <w:rPr>
          <w:rtl/>
          <w:lang w:bidi="he-IL"/>
        </w:rPr>
        <w:t xml:space="preserve">אותו כדרך שמביא בחול, ולא צריך למנוע מלעשות המלאכה. </w:t>
      </w:r>
      <w:r>
        <w:rPr>
          <w:b/>
          <w:bCs/>
          <w:u w:val="single"/>
          <w:rtl/>
          <w:lang w:bidi="he-IL"/>
        </w:rPr>
        <w:t>(ל.)</w:t>
      </w:r>
    </w:p>
  </w:footnote>
  <w:footnote w:id="302">
    <w:p w14:paraId="68680B63" w14:textId="77777777" w:rsidR="0009007A" w:rsidRDefault="00000000">
      <w:pPr>
        <w:pStyle w:val="FootnoteText"/>
        <w:rPr>
          <w:lang w:bidi="he-IL"/>
        </w:rPr>
      </w:pPr>
      <w:r>
        <w:rPr>
          <w:rStyle w:val="FootnoteCharacters"/>
        </w:rPr>
        <w:footnoteRef/>
      </w:r>
      <w:r>
        <w:rPr>
          <w:rtl/>
          <w:lang w:bidi="he-IL"/>
        </w:rPr>
        <w:tab/>
        <w:t xml:space="preserve">קל להביא הרבה בקבוקים בסל וקופה. לכן, לא יוציא אותם כן בי"ט, שנראה כמכוון למלאכה מרובה (או שמוליך הרבה או שמוליך אותו למקום רחוק), שהוא דרך חול.  (רשי </w:t>
      </w:r>
      <w:r>
        <w:rPr>
          <w:b/>
          <w:bCs/>
          <w:u w:val="single"/>
          <w:rtl/>
          <w:lang w:bidi="he-IL"/>
        </w:rPr>
        <w:t>כט:</w:t>
      </w:r>
      <w:r>
        <w:rPr>
          <w:rtl/>
          <w:lang w:bidi="he-IL"/>
        </w:rPr>
        <w:t>)</w:t>
      </w:r>
    </w:p>
  </w:footnote>
  <w:footnote w:id="303">
    <w:p w14:paraId="7A89B4B8" w14:textId="77777777" w:rsidR="0009007A" w:rsidRDefault="00000000">
      <w:pPr>
        <w:pStyle w:val="FootnoteText"/>
        <w:rPr>
          <w:lang w:bidi="he-IL"/>
        </w:rPr>
      </w:pPr>
      <w:r>
        <w:rPr>
          <w:rStyle w:val="FootnoteCharacters"/>
        </w:rPr>
        <w:footnoteRef/>
      </w:r>
      <w:r>
        <w:rPr>
          <w:rtl/>
          <w:lang w:bidi="he-IL"/>
        </w:rPr>
        <w:tab/>
        <w:t xml:space="preserve">גמ’ מפרש שאף שיש לשנות מדרך חול, אין להוסיף טורח מחמת זה, שטירחא יתירה בי"ט אסור. </w:t>
      </w:r>
      <w:r>
        <w:rPr>
          <w:b/>
          <w:bCs/>
          <w:u w:val="single"/>
          <w:rtl/>
          <w:lang w:bidi="he-IL"/>
        </w:rPr>
        <w:t>(ל.)</w:t>
      </w:r>
      <w:r>
        <w:rPr>
          <w:rtl/>
          <w:lang w:bidi="he-IL"/>
        </w:rPr>
        <w:t xml:space="preserve"> </w:t>
      </w:r>
    </w:p>
  </w:footnote>
  <w:footnote w:id="304">
    <w:p w14:paraId="0FE6FC4B" w14:textId="77777777" w:rsidR="0009007A" w:rsidRDefault="00000000">
      <w:pPr>
        <w:pStyle w:val="FootnoteText"/>
        <w:rPr>
          <w:lang w:bidi="he-IL"/>
        </w:rPr>
      </w:pPr>
      <w:r>
        <w:rPr>
          <w:rStyle w:val="FootnoteCharacters"/>
        </w:rPr>
        <w:footnoteRef/>
      </w:r>
      <w:r>
        <w:rPr>
          <w:rtl/>
          <w:lang w:bidi="he-IL"/>
        </w:rPr>
        <w:tab/>
        <w:t>מסיקים תבן מבית שמאצר שם תבן.</w:t>
      </w:r>
    </w:p>
  </w:footnote>
  <w:footnote w:id="305">
    <w:p w14:paraId="2B69900E" w14:textId="77777777" w:rsidR="0009007A" w:rsidRDefault="00000000">
      <w:pPr>
        <w:pStyle w:val="FootnoteText"/>
        <w:rPr>
          <w:lang w:bidi="he-IL"/>
        </w:rPr>
      </w:pPr>
      <w:r>
        <w:rPr>
          <w:rStyle w:val="FootnoteCharacters"/>
        </w:rPr>
        <w:footnoteRef/>
      </w:r>
      <w:r>
        <w:rPr>
          <w:rtl/>
          <w:lang w:bidi="he-IL"/>
        </w:rPr>
        <w:tab/>
        <w:t xml:space="preserve">מוקצה היה רחבה שאחורי הבתים. קראו לו מוקצה כיון שהיו מקצים את הדברים שבתוכה להשתמש בהם לאחר זמן. (רשי </w:t>
      </w:r>
      <w:r>
        <w:rPr>
          <w:b/>
          <w:bCs/>
          <w:u w:val="single"/>
          <w:rtl/>
          <w:lang w:bidi="he-IL"/>
        </w:rPr>
        <w:t>ל.</w:t>
      </w:r>
      <w:r>
        <w:rPr>
          <w:rtl/>
          <w:lang w:bidi="he-IL"/>
        </w:rPr>
        <w:t>)</w:t>
      </w:r>
    </w:p>
  </w:footnote>
  <w:footnote w:id="306">
    <w:p w14:paraId="0BC83584" w14:textId="77777777" w:rsidR="0009007A" w:rsidRDefault="00000000">
      <w:pPr>
        <w:pStyle w:val="FootnoteText"/>
        <w:rPr>
          <w:lang w:bidi="he-IL"/>
        </w:rPr>
      </w:pPr>
      <w:r>
        <w:rPr>
          <w:rStyle w:val="FootnoteCharacters"/>
        </w:rPr>
        <w:footnoteRef/>
      </w:r>
      <w:r>
        <w:rPr>
          <w:rtl/>
          <w:lang w:bidi="he-IL"/>
        </w:rPr>
        <w:tab/>
        <w:t>חולקים רבי יהודה ורבי שמעון אם יש מוקצה או אין מוקצה. גמ’ מפרש בשני לשונות את המשנה לפי רבי יהודה ולפי רבי שמעון:</w:t>
      </w:r>
    </w:p>
    <w:p w14:paraId="1AB9C6EC" w14:textId="77777777" w:rsidR="0009007A" w:rsidRDefault="00000000">
      <w:pPr>
        <w:pStyle w:val="FootnoteText"/>
        <w:rPr>
          <w:lang w:bidi="he-IL"/>
        </w:rPr>
      </w:pPr>
      <w:r>
        <w:rPr>
          <w:rtl/>
          <w:lang w:bidi="he-IL"/>
        </w:rPr>
        <w:tab/>
        <w:t>רבי יהודה- מביאים תבן מערמת התבן אם הוא סרוח ויש בו קוצים, שאינו ראוי לדבר אחר. אבל, לא מתחילים בעצים שבמוקצה, כיון שהם ראויים לדברים אחרים (מסתמא, בנין), ואז הם מוקצים.</w:t>
      </w:r>
    </w:p>
    <w:p w14:paraId="64110786" w14:textId="77777777" w:rsidR="0009007A" w:rsidRDefault="00000000">
      <w:pPr>
        <w:pStyle w:val="FootnoteText"/>
        <w:rPr>
          <w:lang w:bidi="he-IL"/>
        </w:rPr>
      </w:pPr>
      <w:r>
        <w:rPr>
          <w:rtl/>
          <w:lang w:bidi="he-IL"/>
        </w:rPr>
        <w:tab/>
        <w:t xml:space="preserve">רבי שמעון- מביאים תבן מערמת התבן, כיון שאין מוקצה. אבל, לא מביאים עצים יקרים מן המוקצה, כיון שהם מוקצים מחמת חסרון כיס. </w:t>
      </w:r>
      <w:r>
        <w:rPr>
          <w:b/>
          <w:bCs/>
          <w:u w:val="single"/>
          <w:rtl/>
          <w:lang w:bidi="he-IL"/>
        </w:rPr>
        <w:t>(ל.)</w:t>
      </w:r>
    </w:p>
  </w:footnote>
  <w:footnote w:id="307">
    <w:p w14:paraId="7C5A9DEE"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B69B623" w14:textId="77777777" w:rsidR="0009007A" w:rsidRDefault="00000000">
      <w:pPr>
        <w:pStyle w:val="FootnoteText"/>
        <w:numPr>
          <w:ilvl w:val="0"/>
          <w:numId w:val="43"/>
        </w:numPr>
        <w:rPr>
          <w:lang w:bidi="he-IL"/>
        </w:rPr>
      </w:pPr>
      <w:r>
        <w:rPr>
          <w:rtl/>
          <w:lang w:bidi="he-IL"/>
        </w:rPr>
        <w:t>אם אדם מוליך דבר, לא יוליך אותו כדרך חול, אא"כ יש שני תנאים:</w:t>
      </w:r>
    </w:p>
    <w:p w14:paraId="617D2E29" w14:textId="77777777" w:rsidR="0009007A" w:rsidRDefault="00000000">
      <w:pPr>
        <w:pStyle w:val="FootnoteText"/>
        <w:numPr>
          <w:ilvl w:val="1"/>
          <w:numId w:val="43"/>
        </w:numPr>
        <w:rPr>
          <w:lang w:bidi="he-IL"/>
        </w:rPr>
      </w:pPr>
      <w:r>
        <w:rPr>
          <w:rtl/>
          <w:lang w:bidi="he-IL"/>
        </w:rPr>
        <w:t>יש צורך.</w:t>
      </w:r>
    </w:p>
    <w:p w14:paraId="1A60C5BF" w14:textId="77777777" w:rsidR="0009007A" w:rsidRDefault="00000000">
      <w:pPr>
        <w:pStyle w:val="FootnoteText"/>
        <w:numPr>
          <w:ilvl w:val="1"/>
          <w:numId w:val="43"/>
        </w:numPr>
        <w:rPr>
          <w:lang w:bidi="he-IL"/>
        </w:rPr>
      </w:pPr>
      <w:r>
        <w:rPr>
          <w:rtl/>
          <w:lang w:bidi="he-IL"/>
        </w:rPr>
        <w:t>יש טורח יותר להביא אותו בדרך אחר.</w:t>
      </w:r>
    </w:p>
    <w:p w14:paraId="0D8EE49D" w14:textId="77777777" w:rsidR="0009007A" w:rsidRDefault="00000000">
      <w:pPr>
        <w:pStyle w:val="FootnoteText"/>
        <w:numPr>
          <w:ilvl w:val="0"/>
          <w:numId w:val="43"/>
        </w:numPr>
        <w:rPr>
          <w:lang w:bidi="he-IL"/>
        </w:rPr>
      </w:pPr>
      <w:r>
        <w:rPr>
          <w:rtl/>
          <w:lang w:bidi="he-IL"/>
        </w:rPr>
        <w:t>חול’ אם יש מוקצה או אין מוקצה. אף אם אין מוקצה, יש מוקצה מחמת חסרון כיס.</w:t>
      </w:r>
    </w:p>
  </w:footnote>
  <w:footnote w:id="308">
    <w:p w14:paraId="3DE525AA" w14:textId="77777777" w:rsidR="0009007A" w:rsidRDefault="00000000">
      <w:pPr>
        <w:pStyle w:val="FootnoteText"/>
        <w:rPr>
          <w:b/>
          <w:bCs/>
          <w:lang w:bidi="he-IL"/>
        </w:rPr>
      </w:pPr>
      <w:r>
        <w:rPr>
          <w:rStyle w:val="FootnoteCharacters"/>
        </w:rPr>
        <w:footnoteRef/>
      </w:r>
      <w:r>
        <w:rPr>
          <w:b/>
          <w:bCs/>
          <w:rtl/>
          <w:lang w:bidi="he-IL"/>
        </w:rPr>
        <w:tab/>
        <w:t>משנה ב:</w:t>
      </w:r>
    </w:p>
  </w:footnote>
  <w:footnote w:id="309">
    <w:p w14:paraId="1AE2C14D" w14:textId="77777777" w:rsidR="0009007A" w:rsidRDefault="00000000">
      <w:pPr>
        <w:pStyle w:val="FootnoteText"/>
        <w:rPr>
          <w:b/>
          <w:bCs/>
          <w:lang w:bidi="he-IL"/>
        </w:rPr>
      </w:pPr>
      <w:r>
        <w:rPr>
          <w:rStyle w:val="FootnoteCharacters"/>
        </w:rPr>
        <w:footnoteRef/>
      </w:r>
      <w:r>
        <w:rPr>
          <w:b/>
          <w:bCs/>
          <w:rtl/>
          <w:lang w:bidi="he-IL"/>
        </w:rPr>
        <w:tab/>
        <w:t>הקדמה:</w:t>
      </w:r>
    </w:p>
    <w:p w14:paraId="081E78F3" w14:textId="77777777" w:rsidR="0009007A" w:rsidRDefault="00000000">
      <w:pPr>
        <w:pStyle w:val="FootnoteText"/>
        <w:rPr>
          <w:b/>
          <w:bCs/>
          <w:lang w:bidi="he-IL"/>
        </w:rPr>
      </w:pPr>
      <w:r>
        <w:rPr>
          <w:rtl/>
          <w:lang w:bidi="he-IL"/>
        </w:rPr>
        <w:tab/>
        <w:t xml:space="preserve">משנה מתחיל בדיון במלאכת סתירה. מדאו’, אסור לסתור דבר על מנת לבנות שם, אבל מדרבנן, כל סתירה אסור. משנה זה מדברת במי שרוצה ליטול עצים מסוכה. דרך סוכה היה שמחיצות שלו היו נארגים, וסכך שלו לא היה נארג. (מובן למה עשו כן, כי הסכך לא היה צריך אריגה, שהיה שוכב, אבל המחיצות, שהיו עומדים, היו צריכים אריגה.) </w:t>
      </w:r>
    </w:p>
    <w:p w14:paraId="1412AAD1" w14:textId="77777777" w:rsidR="0009007A" w:rsidRDefault="00000000">
      <w:pPr>
        <w:pStyle w:val="FootnoteText"/>
        <w:rPr>
          <w:b/>
          <w:bCs/>
          <w:lang w:bidi="he-IL"/>
        </w:rPr>
      </w:pPr>
      <w:r>
        <w:rPr>
          <w:rtl/>
          <w:lang w:bidi="he-IL"/>
        </w:rPr>
        <w:tab/>
        <w:t>משנה ממשיך לדון עוד בדיני מוקצה, מאיזה מקומות יכולים ליטול עצים.</w:t>
      </w:r>
    </w:p>
  </w:footnote>
  <w:footnote w:id="310">
    <w:p w14:paraId="2B2FD1AB" w14:textId="77777777" w:rsidR="0009007A" w:rsidRDefault="00000000">
      <w:pPr>
        <w:pStyle w:val="FootnoteText"/>
        <w:rPr>
          <w:lang w:bidi="he-IL"/>
        </w:rPr>
      </w:pPr>
      <w:r>
        <w:rPr>
          <w:rStyle w:val="FootnoteCharacters"/>
        </w:rPr>
        <w:footnoteRef/>
      </w:r>
      <w:r>
        <w:rPr>
          <w:rtl/>
          <w:lang w:bidi="he-IL"/>
        </w:rPr>
        <w:tab/>
        <w:t xml:space="preserve">גמ’ מפרש </w:t>
      </w:r>
      <w:r>
        <w:rPr>
          <w:b/>
          <w:bCs/>
          <w:u w:val="single"/>
          <w:rtl/>
          <w:lang w:bidi="he-IL"/>
        </w:rPr>
        <w:t>(ל:)</w:t>
      </w:r>
      <w:r>
        <w:rPr>
          <w:rtl/>
          <w:lang w:bidi="he-IL"/>
        </w:rPr>
        <w:t xml:space="preserve"> ש"סוכה" זו אינה סוכה של חג הסוכות. לסוכה של חג הסוכות יש דין אחר, והוא שאם לא מכוון ביה"ש של יום ראשון שישתמש בו, אסור להשתמש בו בכל חג הסוכות, כיון שכ’, “לה’.” </w:t>
      </w:r>
      <w:r>
        <w:rPr>
          <w:b/>
          <w:bCs/>
          <w:u w:val="single"/>
          <w:rtl/>
          <w:lang w:bidi="he-IL"/>
        </w:rPr>
        <w:t>(ל:)</w:t>
      </w:r>
    </w:p>
  </w:footnote>
  <w:footnote w:id="311">
    <w:p w14:paraId="648B5A5F" w14:textId="77777777" w:rsidR="0009007A" w:rsidRDefault="00000000">
      <w:pPr>
        <w:pStyle w:val="FootnoteText"/>
        <w:rPr>
          <w:lang w:bidi="he-IL"/>
        </w:rPr>
      </w:pPr>
      <w:r>
        <w:rPr>
          <w:rStyle w:val="FootnoteCharacters"/>
        </w:rPr>
        <w:footnoteRef/>
      </w:r>
      <w:r>
        <w:rPr>
          <w:rtl/>
          <w:lang w:bidi="he-IL"/>
        </w:rPr>
        <w:tab/>
        <w:t>שהעצים הם חלק מן הסוכה, ואם נוטל אותם, נמצא שהוא סותר את הסוכה.</w:t>
      </w:r>
    </w:p>
  </w:footnote>
  <w:footnote w:id="312">
    <w:p w14:paraId="5116D2C4" w14:textId="77777777" w:rsidR="0009007A" w:rsidRDefault="00000000">
      <w:pPr>
        <w:pStyle w:val="FootnoteText"/>
        <w:rPr>
          <w:lang w:bidi="he-IL"/>
        </w:rPr>
      </w:pPr>
      <w:r>
        <w:rPr>
          <w:rStyle w:val="FootnoteCharacters"/>
        </w:rPr>
        <w:footnoteRef/>
      </w:r>
      <w:r>
        <w:rPr>
          <w:rtl/>
          <w:lang w:bidi="he-IL"/>
        </w:rPr>
        <w:tab/>
        <w:t>גמ’ מפרש שני ציורים שבו מותר, ואין העצים נחשבים חלק מן הסוכה:</w:t>
      </w:r>
    </w:p>
    <w:p w14:paraId="73A08463" w14:textId="77777777" w:rsidR="0009007A" w:rsidRDefault="00000000">
      <w:pPr>
        <w:pStyle w:val="FootnoteText"/>
        <w:numPr>
          <w:ilvl w:val="0"/>
          <w:numId w:val="44"/>
        </w:numPr>
        <w:rPr>
          <w:lang w:bidi="he-IL"/>
        </w:rPr>
      </w:pPr>
      <w:r>
        <w:rPr>
          <w:rtl/>
          <w:lang w:bidi="he-IL"/>
        </w:rPr>
        <w:t>אם נוטל עצים שהם קרובים למחיצות ולא נארגים עם מחיצה, מותר. (אבל, זה רק גבי מחיצה, שיש בו אריגה, ולא גבי סכך.)</w:t>
      </w:r>
    </w:p>
    <w:p w14:paraId="7003CC56" w14:textId="77777777" w:rsidR="0009007A" w:rsidRDefault="00000000">
      <w:pPr>
        <w:pStyle w:val="FootnoteText"/>
        <w:numPr>
          <w:ilvl w:val="0"/>
          <w:numId w:val="44"/>
        </w:numPr>
        <w:rPr>
          <w:lang w:bidi="he-IL"/>
        </w:rPr>
      </w:pPr>
      <w:r>
        <w:rPr>
          <w:rtl/>
          <w:lang w:bidi="he-IL"/>
        </w:rPr>
        <w:t xml:space="preserve">אם הם עדיין באיגוד שלהם, מותר, שגילה שלא מבטל אותם. </w:t>
      </w:r>
      <w:r>
        <w:rPr>
          <w:b/>
          <w:bCs/>
          <w:u w:val="single"/>
          <w:rtl/>
          <w:lang w:bidi="he-IL"/>
        </w:rPr>
        <w:t>(ל:)</w:t>
      </w:r>
    </w:p>
  </w:footnote>
  <w:footnote w:id="313">
    <w:p w14:paraId="5CC3018B" w14:textId="77777777" w:rsidR="0009007A" w:rsidRDefault="00000000">
      <w:pPr>
        <w:pStyle w:val="FootnoteText"/>
        <w:rPr>
          <w:lang w:bidi="he-IL"/>
        </w:rPr>
      </w:pPr>
      <w:r>
        <w:rPr>
          <w:rStyle w:val="FootnoteCharacters"/>
        </w:rPr>
        <w:footnoteRef/>
      </w:r>
      <w:r>
        <w:rPr>
          <w:rtl/>
          <w:lang w:bidi="he-IL"/>
        </w:rPr>
        <w:tab/>
        <w:t xml:space="preserve">גמ’ מפרש </w:t>
      </w:r>
      <w:r>
        <w:rPr>
          <w:b/>
          <w:bCs/>
          <w:u w:val="single"/>
          <w:rtl/>
          <w:lang w:bidi="he-IL"/>
        </w:rPr>
        <w:t>(ל:)</w:t>
      </w:r>
      <w:r>
        <w:rPr>
          <w:rtl/>
          <w:lang w:bidi="he-IL"/>
        </w:rPr>
        <w:t xml:space="preserve"> שזה רק כשהסוכה עוד עומד. אבל, אם הסוכה נפלה, אז יש דיני מוקצה. אם לא חשב שיפול, כוע"מ שיש איסור מוקצה. אבל, אם היתה רעועה, וידוע שיפול, חולקים רבי יהודה ורבי שמעון (והוא תלוי במחלקת אם יש מוקצה או אין מוקצה).</w:t>
      </w:r>
    </w:p>
  </w:footnote>
  <w:footnote w:id="314">
    <w:p w14:paraId="401F068A" w14:textId="77777777" w:rsidR="0009007A" w:rsidRDefault="00000000">
      <w:pPr>
        <w:pStyle w:val="FootnoteText"/>
        <w:rPr>
          <w:lang w:bidi="he-IL"/>
        </w:rPr>
      </w:pPr>
      <w:r>
        <w:rPr>
          <w:rStyle w:val="FootnoteCharacters"/>
        </w:rPr>
        <w:footnoteRef/>
      </w:r>
      <w:r>
        <w:rPr>
          <w:rtl/>
          <w:lang w:bidi="he-IL"/>
        </w:rPr>
        <w:tab/>
        <w:t xml:space="preserve">רק מביאים עצים תלושים, שלא מותר לתלוש עצים בי"ט. (רשי </w:t>
      </w:r>
      <w:r>
        <w:rPr>
          <w:b/>
          <w:bCs/>
          <w:u w:val="single"/>
          <w:rtl/>
          <w:lang w:bidi="he-IL"/>
        </w:rPr>
        <w:t>לא.</w:t>
      </w:r>
      <w:r>
        <w:rPr>
          <w:rtl/>
          <w:lang w:bidi="he-IL"/>
        </w:rPr>
        <w:t>)</w:t>
      </w:r>
    </w:p>
  </w:footnote>
  <w:footnote w:id="315">
    <w:p w14:paraId="014ABC32" w14:textId="77777777" w:rsidR="0009007A" w:rsidRDefault="00000000">
      <w:pPr>
        <w:pStyle w:val="FootnoteText"/>
        <w:rPr>
          <w:lang w:bidi="he-IL"/>
        </w:rPr>
      </w:pPr>
      <w:r>
        <w:rPr>
          <w:rStyle w:val="FootnoteCharacters"/>
        </w:rPr>
        <w:footnoteRef/>
      </w:r>
      <w:r>
        <w:rPr>
          <w:rtl/>
          <w:lang w:bidi="he-IL"/>
        </w:rPr>
        <w:tab/>
        <w:t>שדה הוא כל מקום שאינו קרפף; משנה יפרש מהו קרפיף.</w:t>
      </w:r>
    </w:p>
  </w:footnote>
  <w:footnote w:id="316">
    <w:p w14:paraId="2B227865" w14:textId="77777777" w:rsidR="0009007A" w:rsidRDefault="00000000">
      <w:pPr>
        <w:pStyle w:val="FootnoteText"/>
        <w:rPr>
          <w:lang w:bidi="he-IL"/>
        </w:rPr>
      </w:pPr>
      <w:r>
        <w:rPr>
          <w:rStyle w:val="FootnoteCharacters"/>
        </w:rPr>
        <w:footnoteRef/>
      </w:r>
      <w:r>
        <w:rPr>
          <w:rtl/>
          <w:lang w:bidi="he-IL"/>
        </w:rPr>
        <w:tab/>
        <w:t xml:space="preserve">ממה שכנס בעי"ט, וגילה שרצה לעסוק עמהם, שאז אינם מוקצים. (רשי </w:t>
      </w:r>
      <w:r>
        <w:rPr>
          <w:b/>
          <w:bCs/>
          <w:u w:val="single"/>
          <w:rtl/>
          <w:lang w:bidi="he-IL"/>
        </w:rPr>
        <w:t>לא.</w:t>
      </w:r>
      <w:r>
        <w:rPr>
          <w:rtl/>
          <w:lang w:bidi="he-IL"/>
        </w:rPr>
        <w:t>)</w:t>
      </w:r>
    </w:p>
  </w:footnote>
  <w:footnote w:id="317">
    <w:p w14:paraId="6471974D" w14:textId="77777777" w:rsidR="0009007A" w:rsidRDefault="00000000">
      <w:pPr>
        <w:pStyle w:val="FootnoteText"/>
        <w:rPr>
          <w:lang w:bidi="he-IL"/>
        </w:rPr>
      </w:pPr>
      <w:r>
        <w:rPr>
          <w:rStyle w:val="FootnoteCharacters"/>
        </w:rPr>
        <w:footnoteRef/>
      </w:r>
      <w:r>
        <w:rPr>
          <w:rtl/>
          <w:lang w:bidi="he-IL"/>
        </w:rPr>
        <w:tab/>
        <w:t xml:space="preserve">גמ’ מפרש שזה רק בעצים שלא נתפזרים ברוח מצוייה, אבל בעלי קנים ועלי גפנים, אין זה מכין אותם. </w:t>
      </w:r>
      <w:r>
        <w:rPr>
          <w:b/>
          <w:bCs/>
          <w:u w:val="single"/>
          <w:rtl/>
          <w:lang w:bidi="he-IL"/>
        </w:rPr>
        <w:t>(לא.)</w:t>
      </w:r>
    </w:p>
  </w:footnote>
  <w:footnote w:id="318">
    <w:p w14:paraId="74C65DCB" w14:textId="77777777" w:rsidR="0009007A" w:rsidRDefault="00000000">
      <w:pPr>
        <w:pStyle w:val="FootnoteText"/>
        <w:rPr>
          <w:lang w:bidi="he-IL"/>
        </w:rPr>
      </w:pPr>
      <w:r>
        <w:rPr>
          <w:rStyle w:val="FootnoteCharacters"/>
        </w:rPr>
        <w:footnoteRef/>
      </w:r>
      <w:r>
        <w:rPr>
          <w:rtl/>
          <w:lang w:bidi="he-IL"/>
        </w:rPr>
        <w:tab/>
        <w:t>רצה לומר, כל העצים שבקרפיף הם מוכנים.</w:t>
      </w:r>
    </w:p>
  </w:footnote>
  <w:footnote w:id="319">
    <w:p w14:paraId="79091DCB" w14:textId="77777777" w:rsidR="0009007A" w:rsidRDefault="00000000">
      <w:pPr>
        <w:pStyle w:val="FootnoteText"/>
        <w:rPr>
          <w:lang w:bidi="he-IL"/>
        </w:rPr>
      </w:pPr>
      <w:r>
        <w:rPr>
          <w:rStyle w:val="FootnoteCharacters"/>
        </w:rPr>
        <w:footnoteRef/>
      </w:r>
      <w:r>
        <w:rPr>
          <w:rtl/>
          <w:lang w:bidi="he-IL"/>
        </w:rPr>
        <w:tab/>
        <w:t xml:space="preserve">גמ’ מביא שני חולקים על זה. מביא שיטת רשב"א שסובר שבית שמאי חולק בזה (ומניח שרשב"א הוא התנא של משנה שלנו), ומביא שיטת חכמים שאומר שרק יש היתר (ואף שם, נ’ שהוא רק לב"ה) במכונסים שבקרפף. </w:t>
      </w:r>
      <w:r>
        <w:rPr>
          <w:b/>
          <w:bCs/>
          <w:u w:val="single"/>
          <w:rtl/>
          <w:lang w:bidi="he-IL"/>
        </w:rPr>
        <w:t>(לא.)</w:t>
      </w:r>
    </w:p>
  </w:footnote>
  <w:footnote w:id="320">
    <w:p w14:paraId="6DC8E80F" w14:textId="77777777" w:rsidR="0009007A" w:rsidRDefault="00000000">
      <w:pPr>
        <w:pStyle w:val="FootnoteText"/>
        <w:rPr>
          <w:lang w:bidi="he-IL"/>
        </w:rPr>
      </w:pPr>
      <w:r>
        <w:rPr>
          <w:rStyle w:val="FootnoteCharacters"/>
        </w:rPr>
        <w:footnoteRef/>
      </w:r>
      <w:r>
        <w:rPr>
          <w:rtl/>
          <w:lang w:bidi="he-IL"/>
        </w:rPr>
        <w:tab/>
        <w:t xml:space="preserve">רשי </w:t>
      </w:r>
      <w:r>
        <w:rPr>
          <w:b/>
          <w:bCs/>
          <w:u w:val="single"/>
          <w:rtl/>
          <w:lang w:bidi="he-IL"/>
        </w:rPr>
        <w:t>(לא.)</w:t>
      </w:r>
      <w:r>
        <w:rPr>
          <w:b/>
          <w:bCs/>
          <w:rtl/>
          <w:lang w:bidi="he-IL"/>
        </w:rPr>
        <w:t xml:space="preserve"> </w:t>
      </w:r>
      <w:r>
        <w:rPr>
          <w:rtl/>
          <w:lang w:bidi="he-IL"/>
        </w:rPr>
        <w:t>אומר שצריך להיות ממש סמוך לעור. איני יודע מהו השיעור בדיוק.</w:t>
      </w:r>
    </w:p>
  </w:footnote>
  <w:footnote w:id="321">
    <w:p w14:paraId="4F7B7644" w14:textId="77777777" w:rsidR="0009007A" w:rsidRDefault="00000000">
      <w:pPr>
        <w:pStyle w:val="FootnoteText"/>
        <w:rPr>
          <w:lang w:bidi="he-IL"/>
        </w:rPr>
      </w:pPr>
      <w:r>
        <w:rPr>
          <w:rStyle w:val="FootnoteCharacters"/>
        </w:rPr>
        <w:footnoteRef/>
      </w:r>
      <w:r>
        <w:rPr>
          <w:rtl/>
          <w:lang w:bidi="he-IL"/>
        </w:rPr>
        <w:tab/>
        <w:t xml:space="preserve">גמ’ מדייק </w:t>
      </w:r>
      <w:r>
        <w:rPr>
          <w:b/>
          <w:bCs/>
          <w:u w:val="single"/>
          <w:rtl/>
          <w:lang w:bidi="he-IL"/>
        </w:rPr>
        <w:t>(לא.)</w:t>
      </w:r>
      <w:r>
        <w:rPr>
          <w:rtl/>
          <w:lang w:bidi="he-IL"/>
        </w:rPr>
        <w:t xml:space="preserve"> מדברי רבי יוסי לומר שרבי יהודה סובר שרק צ"ל סמוך לעיר, ולא צריכים שיהיה לו פותחת (ע’ לקמן במשנה).</w:t>
      </w:r>
    </w:p>
  </w:footnote>
  <w:footnote w:id="322">
    <w:p w14:paraId="4E75016B" w14:textId="77777777" w:rsidR="0009007A" w:rsidRDefault="00000000">
      <w:pPr>
        <w:pStyle w:val="FootnoteText"/>
        <w:rPr>
          <w:lang w:bidi="he-IL"/>
        </w:rPr>
      </w:pPr>
      <w:r>
        <w:rPr>
          <w:rStyle w:val="FootnoteCharacters"/>
        </w:rPr>
        <w:footnoteRef/>
      </w:r>
      <w:r>
        <w:rPr>
          <w:rtl/>
          <w:lang w:bidi="he-IL"/>
        </w:rPr>
        <w:tab/>
        <w:t>רצה לומר, רק הוא או אחר שיש לו מפתח יכולים להיכנס.</w:t>
      </w:r>
    </w:p>
  </w:footnote>
  <w:footnote w:id="323">
    <w:p w14:paraId="79C4433B" w14:textId="77777777" w:rsidR="0009007A" w:rsidRDefault="00000000">
      <w:pPr>
        <w:pStyle w:val="FootnoteText"/>
        <w:rPr>
          <w:lang w:bidi="he-IL"/>
        </w:rPr>
      </w:pPr>
      <w:r>
        <w:rPr>
          <w:rStyle w:val="FootnoteCharacters"/>
        </w:rPr>
        <w:footnoteRef/>
      </w:r>
      <w:r>
        <w:rPr>
          <w:rtl/>
          <w:lang w:bidi="he-IL"/>
        </w:rPr>
        <w:tab/>
        <w:t xml:space="preserve">גמ’ מפרש שמותר אם הוא בתוך תחום ויש לו פותחת או אם הוא סמוך (אפילו אם אין לו פותחת). </w:t>
      </w:r>
      <w:r>
        <w:rPr>
          <w:b/>
          <w:bCs/>
          <w:u w:val="single"/>
          <w:rtl/>
          <w:lang w:bidi="he-IL"/>
        </w:rPr>
        <w:t>(לא.)</w:t>
      </w:r>
    </w:p>
  </w:footnote>
  <w:footnote w:id="324">
    <w:p w14:paraId="795414B5" w14:textId="77777777" w:rsidR="0009007A" w:rsidRDefault="00000000">
      <w:pPr>
        <w:pStyle w:val="FootnoteText"/>
        <w:rPr>
          <w:lang w:bidi="he-IL"/>
        </w:rPr>
      </w:pPr>
      <w:r>
        <w:rPr>
          <w:rStyle w:val="FootnoteCharacters"/>
        </w:rPr>
        <w:footnoteRef/>
      </w:r>
      <w:r>
        <w:rPr>
          <w:b/>
          <w:bCs/>
          <w:rtl/>
          <w:lang w:bidi="he-IL"/>
        </w:rPr>
        <w:tab/>
        <w:t>דינים היוצאים מן המשנה:</w:t>
      </w:r>
    </w:p>
    <w:p w14:paraId="29AB61B6" w14:textId="77777777" w:rsidR="0009007A" w:rsidRDefault="00000000">
      <w:pPr>
        <w:pStyle w:val="FootnoteText"/>
        <w:numPr>
          <w:ilvl w:val="0"/>
          <w:numId w:val="45"/>
        </w:numPr>
      </w:pPr>
      <w:r>
        <w:rPr>
          <w:rtl/>
          <w:lang w:bidi="he-IL"/>
        </w:rPr>
        <w:t>ליטול עצים מן הסוכה-</w:t>
      </w:r>
    </w:p>
    <w:p w14:paraId="2ED043A2" w14:textId="77777777" w:rsidR="0009007A" w:rsidRDefault="00000000">
      <w:pPr>
        <w:pStyle w:val="FootnoteText"/>
        <w:numPr>
          <w:ilvl w:val="1"/>
          <w:numId w:val="45"/>
        </w:numPr>
      </w:pPr>
      <w:r>
        <w:rPr>
          <w:rtl/>
          <w:lang w:bidi="he-IL"/>
        </w:rPr>
        <w:t>סוכת שאינו של מצווה:</w:t>
      </w:r>
    </w:p>
    <w:p w14:paraId="06BF6064" w14:textId="77777777" w:rsidR="0009007A" w:rsidRDefault="00000000">
      <w:pPr>
        <w:pStyle w:val="FootnoteText"/>
        <w:numPr>
          <w:ilvl w:val="2"/>
          <w:numId w:val="45"/>
        </w:numPr>
      </w:pPr>
      <w:r>
        <w:rPr>
          <w:rtl/>
          <w:lang w:bidi="he-IL"/>
        </w:rPr>
        <w:t>סוכה קיים-</w:t>
      </w:r>
    </w:p>
    <w:p w14:paraId="76E19B31" w14:textId="77777777" w:rsidR="0009007A" w:rsidRDefault="00000000">
      <w:pPr>
        <w:pStyle w:val="FootnoteText"/>
        <w:numPr>
          <w:ilvl w:val="3"/>
          <w:numId w:val="45"/>
        </w:numPr>
      </w:pPr>
      <w:r>
        <w:rPr>
          <w:rtl/>
          <w:lang w:bidi="he-IL"/>
        </w:rPr>
        <w:t>מן הסוכה- אסור.</w:t>
      </w:r>
    </w:p>
    <w:p w14:paraId="480B8FDA" w14:textId="77777777" w:rsidR="0009007A" w:rsidRDefault="00000000">
      <w:pPr>
        <w:pStyle w:val="FootnoteText"/>
        <w:numPr>
          <w:ilvl w:val="3"/>
          <w:numId w:val="45"/>
        </w:numPr>
        <w:rPr>
          <w:lang w:bidi="he-IL"/>
        </w:rPr>
      </w:pPr>
      <w:r>
        <w:rPr>
          <w:rtl/>
          <w:lang w:bidi="he-IL"/>
        </w:rPr>
        <w:t>סמוך לסוכה-</w:t>
      </w:r>
    </w:p>
    <w:p w14:paraId="7E9A6B25" w14:textId="77777777" w:rsidR="0009007A" w:rsidRDefault="00000000">
      <w:pPr>
        <w:pStyle w:val="FootnoteText"/>
        <w:numPr>
          <w:ilvl w:val="4"/>
          <w:numId w:val="45"/>
        </w:numPr>
        <w:rPr>
          <w:lang w:bidi="he-IL"/>
        </w:rPr>
      </w:pPr>
      <w:r>
        <w:rPr>
          <w:rtl/>
          <w:lang w:bidi="he-IL"/>
        </w:rPr>
        <w:t xml:space="preserve">מן הגג- </w:t>
      </w:r>
    </w:p>
    <w:p w14:paraId="050D5930" w14:textId="77777777" w:rsidR="0009007A" w:rsidRDefault="00000000">
      <w:pPr>
        <w:pStyle w:val="FootnoteText"/>
        <w:numPr>
          <w:ilvl w:val="5"/>
          <w:numId w:val="45"/>
        </w:numPr>
        <w:rPr>
          <w:lang w:bidi="he-IL"/>
        </w:rPr>
      </w:pPr>
      <w:r>
        <w:rPr>
          <w:rtl/>
          <w:lang w:bidi="he-IL"/>
        </w:rPr>
        <w:t>אם הוא קשור- מותר.</w:t>
      </w:r>
    </w:p>
    <w:p w14:paraId="6C234BE5" w14:textId="77777777" w:rsidR="0009007A" w:rsidRDefault="00000000">
      <w:pPr>
        <w:pStyle w:val="FootnoteText"/>
        <w:numPr>
          <w:ilvl w:val="5"/>
          <w:numId w:val="45"/>
        </w:numPr>
        <w:rPr>
          <w:lang w:bidi="he-IL"/>
        </w:rPr>
      </w:pPr>
      <w:r>
        <w:rPr>
          <w:rtl/>
          <w:lang w:bidi="he-IL"/>
        </w:rPr>
        <w:t>אם אינו קשור- אסור.</w:t>
      </w:r>
    </w:p>
    <w:p w14:paraId="212378A5" w14:textId="77777777" w:rsidR="0009007A" w:rsidRDefault="00000000">
      <w:pPr>
        <w:pStyle w:val="FootnoteText"/>
        <w:numPr>
          <w:ilvl w:val="4"/>
          <w:numId w:val="45"/>
        </w:numPr>
        <w:rPr>
          <w:lang w:bidi="he-IL"/>
        </w:rPr>
      </w:pPr>
      <w:r>
        <w:rPr>
          <w:rtl/>
          <w:lang w:bidi="he-IL"/>
        </w:rPr>
        <w:t>מן הדפנות- מותר.</w:t>
      </w:r>
    </w:p>
    <w:p w14:paraId="68D80D82" w14:textId="77777777" w:rsidR="0009007A" w:rsidRDefault="00000000">
      <w:pPr>
        <w:pStyle w:val="FootnoteText"/>
        <w:numPr>
          <w:ilvl w:val="2"/>
          <w:numId w:val="45"/>
        </w:numPr>
        <w:rPr>
          <w:lang w:bidi="he-IL"/>
        </w:rPr>
      </w:pPr>
      <w:r>
        <w:rPr>
          <w:rtl/>
          <w:lang w:bidi="he-IL"/>
        </w:rPr>
        <w:t>סוכה נפל-</w:t>
      </w:r>
    </w:p>
    <w:p w14:paraId="438B1D93" w14:textId="77777777" w:rsidR="0009007A" w:rsidRDefault="00000000">
      <w:pPr>
        <w:pStyle w:val="FootnoteText"/>
        <w:numPr>
          <w:ilvl w:val="3"/>
          <w:numId w:val="45"/>
        </w:numPr>
        <w:rPr>
          <w:lang w:bidi="he-IL"/>
        </w:rPr>
      </w:pPr>
      <w:r>
        <w:rPr>
          <w:rtl/>
          <w:lang w:bidi="he-IL"/>
        </w:rPr>
        <w:t>אם היה מותר לקחת אותו בלי נפילה- מותר.</w:t>
      </w:r>
    </w:p>
    <w:p w14:paraId="4AFA7914" w14:textId="77777777" w:rsidR="0009007A" w:rsidRDefault="00000000">
      <w:pPr>
        <w:pStyle w:val="FootnoteText"/>
        <w:numPr>
          <w:ilvl w:val="3"/>
          <w:numId w:val="45"/>
        </w:numPr>
        <w:rPr>
          <w:lang w:bidi="he-IL"/>
        </w:rPr>
      </w:pPr>
      <w:r>
        <w:rPr>
          <w:rtl/>
          <w:lang w:bidi="he-IL"/>
        </w:rPr>
        <w:t>אם היה אסור-</w:t>
      </w:r>
    </w:p>
    <w:p w14:paraId="0603C498" w14:textId="77777777" w:rsidR="0009007A" w:rsidRDefault="00000000">
      <w:pPr>
        <w:pStyle w:val="FootnoteText"/>
        <w:numPr>
          <w:ilvl w:val="4"/>
          <w:numId w:val="45"/>
        </w:numPr>
        <w:rPr>
          <w:lang w:bidi="he-IL"/>
        </w:rPr>
      </w:pPr>
      <w:r>
        <w:rPr>
          <w:rtl/>
          <w:lang w:bidi="he-IL"/>
        </w:rPr>
        <w:t>אם היה חזק- אסור.</w:t>
      </w:r>
    </w:p>
    <w:p w14:paraId="5999A3E7" w14:textId="77777777" w:rsidR="0009007A" w:rsidRDefault="00000000">
      <w:pPr>
        <w:pStyle w:val="FootnoteText"/>
        <w:numPr>
          <w:ilvl w:val="4"/>
          <w:numId w:val="45"/>
        </w:numPr>
        <w:rPr>
          <w:lang w:bidi="he-IL"/>
        </w:rPr>
      </w:pPr>
      <w:r>
        <w:rPr>
          <w:rtl/>
          <w:lang w:bidi="he-IL"/>
        </w:rPr>
        <w:t xml:space="preserve">אם היה רעוע- </w:t>
      </w:r>
    </w:p>
    <w:p w14:paraId="7631C6F5" w14:textId="77777777" w:rsidR="0009007A" w:rsidRDefault="00000000">
      <w:pPr>
        <w:pStyle w:val="FootnoteText"/>
        <w:numPr>
          <w:ilvl w:val="5"/>
          <w:numId w:val="45"/>
        </w:numPr>
        <w:rPr>
          <w:lang w:bidi="he-IL"/>
        </w:rPr>
      </w:pPr>
      <w:r>
        <w:rPr>
          <w:rtl/>
          <w:lang w:bidi="he-IL"/>
        </w:rPr>
        <w:t>רבי יהודה- אסור.</w:t>
      </w:r>
    </w:p>
    <w:p w14:paraId="6EAA9060" w14:textId="77777777" w:rsidR="0009007A" w:rsidRDefault="00000000">
      <w:pPr>
        <w:pStyle w:val="FootnoteText"/>
        <w:numPr>
          <w:ilvl w:val="5"/>
          <w:numId w:val="45"/>
        </w:numPr>
      </w:pPr>
      <w:r>
        <w:rPr>
          <w:rtl/>
          <w:lang w:bidi="he-IL"/>
        </w:rPr>
        <w:t>רבי שמעון- מותר.</w:t>
      </w:r>
    </w:p>
    <w:p w14:paraId="207197F5" w14:textId="77777777" w:rsidR="0009007A" w:rsidRDefault="00000000">
      <w:pPr>
        <w:pStyle w:val="FootnoteText"/>
        <w:numPr>
          <w:ilvl w:val="1"/>
          <w:numId w:val="45"/>
        </w:numPr>
      </w:pPr>
      <w:r>
        <w:rPr>
          <w:rtl/>
          <w:lang w:bidi="he-IL"/>
        </w:rPr>
        <w:t>סוכה של מצווה:</w:t>
      </w:r>
    </w:p>
    <w:p w14:paraId="40DF46D4" w14:textId="77777777" w:rsidR="0009007A" w:rsidRDefault="00000000">
      <w:pPr>
        <w:pStyle w:val="FootnoteText"/>
        <w:numPr>
          <w:ilvl w:val="2"/>
          <w:numId w:val="45"/>
        </w:numPr>
        <w:rPr>
          <w:lang w:bidi="he-IL"/>
        </w:rPr>
      </w:pPr>
      <w:r>
        <w:rPr>
          <w:rtl/>
          <w:lang w:bidi="he-IL"/>
        </w:rPr>
        <w:t>אם לא גילה בבה"ש שרוצה להשתמש בו- אסור.</w:t>
      </w:r>
    </w:p>
    <w:p w14:paraId="50AD0F07" w14:textId="77777777" w:rsidR="0009007A" w:rsidRDefault="00000000">
      <w:pPr>
        <w:pStyle w:val="FootnoteText"/>
        <w:numPr>
          <w:ilvl w:val="2"/>
          <w:numId w:val="45"/>
        </w:numPr>
        <w:rPr>
          <w:lang w:bidi="he-IL"/>
        </w:rPr>
      </w:pPr>
      <w:r>
        <w:rPr>
          <w:rtl/>
          <w:lang w:bidi="he-IL"/>
        </w:rPr>
        <w:t>אם גילה- דינו כסוכה שאינה של מצווה.</w:t>
      </w:r>
    </w:p>
    <w:p w14:paraId="1A265B7C" w14:textId="77777777" w:rsidR="0009007A" w:rsidRDefault="00000000">
      <w:pPr>
        <w:pStyle w:val="FootnoteText"/>
        <w:numPr>
          <w:ilvl w:val="0"/>
          <w:numId w:val="45"/>
        </w:numPr>
        <w:rPr>
          <w:lang w:bidi="he-IL"/>
        </w:rPr>
      </w:pPr>
      <w:r>
        <w:rPr>
          <w:rtl/>
          <w:lang w:bidi="he-IL"/>
        </w:rPr>
        <w:t>ליטול עצים-</w:t>
      </w:r>
    </w:p>
    <w:p w14:paraId="4C9052A7" w14:textId="77777777" w:rsidR="0009007A" w:rsidRDefault="00000000">
      <w:pPr>
        <w:pStyle w:val="FootnoteText"/>
        <w:numPr>
          <w:ilvl w:val="1"/>
          <w:numId w:val="45"/>
        </w:numPr>
        <w:rPr>
          <w:lang w:bidi="he-IL"/>
        </w:rPr>
      </w:pPr>
      <w:r>
        <w:rPr>
          <w:rtl/>
          <w:lang w:bidi="he-IL"/>
        </w:rPr>
        <w:t>מן השדה-</w:t>
      </w:r>
    </w:p>
    <w:p w14:paraId="57BFA9C2" w14:textId="77777777" w:rsidR="0009007A" w:rsidRDefault="00000000">
      <w:pPr>
        <w:pStyle w:val="FootnoteText"/>
        <w:numPr>
          <w:ilvl w:val="2"/>
          <w:numId w:val="45"/>
        </w:numPr>
        <w:rPr>
          <w:lang w:bidi="he-IL"/>
        </w:rPr>
      </w:pPr>
      <w:r>
        <w:rPr>
          <w:rtl/>
          <w:lang w:bidi="he-IL"/>
        </w:rPr>
        <w:t>מן המכונס-</w:t>
      </w:r>
    </w:p>
    <w:p w14:paraId="6EE05030" w14:textId="77777777" w:rsidR="0009007A" w:rsidRDefault="00000000">
      <w:pPr>
        <w:pStyle w:val="FootnoteText"/>
        <w:numPr>
          <w:ilvl w:val="3"/>
          <w:numId w:val="45"/>
        </w:numPr>
        <w:rPr>
          <w:lang w:bidi="he-IL"/>
        </w:rPr>
      </w:pPr>
      <w:r>
        <w:rPr>
          <w:rtl/>
          <w:lang w:bidi="he-IL"/>
        </w:rPr>
        <w:t>בית שמאי, ב"ה (לשיטה אחת)- אסור.</w:t>
      </w:r>
    </w:p>
    <w:p w14:paraId="2E71440A" w14:textId="77777777" w:rsidR="0009007A" w:rsidRDefault="00000000">
      <w:pPr>
        <w:pStyle w:val="FootnoteText"/>
        <w:numPr>
          <w:ilvl w:val="3"/>
          <w:numId w:val="45"/>
        </w:numPr>
        <w:rPr>
          <w:lang w:bidi="he-IL"/>
        </w:rPr>
      </w:pPr>
      <w:r>
        <w:rPr>
          <w:rtl/>
          <w:lang w:bidi="he-IL"/>
        </w:rPr>
        <w:t>בית הלל (לשיטה אחרת)- מותר.</w:t>
      </w:r>
    </w:p>
    <w:p w14:paraId="4A4BFE30" w14:textId="77777777" w:rsidR="0009007A" w:rsidRDefault="00000000">
      <w:pPr>
        <w:pStyle w:val="FootnoteText"/>
        <w:numPr>
          <w:ilvl w:val="2"/>
          <w:numId w:val="45"/>
        </w:numPr>
        <w:rPr>
          <w:lang w:bidi="he-IL"/>
        </w:rPr>
      </w:pPr>
      <w:r>
        <w:rPr>
          <w:rtl/>
          <w:lang w:bidi="he-IL"/>
        </w:rPr>
        <w:t>מן המפוזר- אסור.</w:t>
      </w:r>
    </w:p>
    <w:p w14:paraId="60634702" w14:textId="77777777" w:rsidR="0009007A" w:rsidRDefault="00000000">
      <w:pPr>
        <w:pStyle w:val="FootnoteText"/>
        <w:numPr>
          <w:ilvl w:val="1"/>
          <w:numId w:val="45"/>
        </w:numPr>
        <w:rPr>
          <w:lang w:bidi="he-IL"/>
        </w:rPr>
      </w:pPr>
      <w:r>
        <w:rPr>
          <w:rtl/>
          <w:lang w:bidi="he-IL"/>
        </w:rPr>
        <w:t xml:space="preserve">מן הקרפף- </w:t>
      </w:r>
    </w:p>
    <w:p w14:paraId="5BA8142E" w14:textId="77777777" w:rsidR="0009007A" w:rsidRDefault="00000000">
      <w:pPr>
        <w:pStyle w:val="FootnoteText"/>
        <w:numPr>
          <w:ilvl w:val="2"/>
          <w:numId w:val="45"/>
        </w:numPr>
        <w:rPr>
          <w:lang w:bidi="he-IL"/>
        </w:rPr>
      </w:pPr>
      <w:r>
        <w:rPr>
          <w:rtl/>
          <w:lang w:bidi="he-IL"/>
        </w:rPr>
        <w:t>מן המכונס:</w:t>
      </w:r>
    </w:p>
    <w:p w14:paraId="5A1B1D99" w14:textId="77777777" w:rsidR="0009007A" w:rsidRDefault="00000000">
      <w:pPr>
        <w:pStyle w:val="FootnoteText"/>
        <w:numPr>
          <w:ilvl w:val="3"/>
          <w:numId w:val="45"/>
        </w:numPr>
        <w:rPr>
          <w:lang w:bidi="he-IL"/>
        </w:rPr>
      </w:pPr>
      <w:r>
        <w:rPr>
          <w:rtl/>
          <w:lang w:bidi="he-IL"/>
        </w:rPr>
        <w:t>בית הלל, ב"ש (לשיטה אחת)- מותר.</w:t>
      </w:r>
    </w:p>
    <w:p w14:paraId="5D4B5E35" w14:textId="77777777" w:rsidR="0009007A" w:rsidRDefault="00000000">
      <w:pPr>
        <w:pStyle w:val="FootnoteText"/>
        <w:numPr>
          <w:ilvl w:val="3"/>
          <w:numId w:val="45"/>
        </w:numPr>
        <w:rPr>
          <w:lang w:bidi="he-IL"/>
        </w:rPr>
      </w:pPr>
      <w:r>
        <w:rPr>
          <w:rtl/>
          <w:lang w:bidi="he-IL"/>
        </w:rPr>
        <w:t>ב"ש (לשיטה אחת)- אסור.</w:t>
      </w:r>
    </w:p>
    <w:p w14:paraId="2F69F91D" w14:textId="77777777" w:rsidR="0009007A" w:rsidRDefault="00000000">
      <w:pPr>
        <w:pStyle w:val="FootnoteText"/>
        <w:numPr>
          <w:ilvl w:val="2"/>
          <w:numId w:val="45"/>
        </w:numPr>
        <w:rPr>
          <w:lang w:bidi="he-IL"/>
        </w:rPr>
      </w:pPr>
      <w:r>
        <w:rPr>
          <w:rtl/>
          <w:lang w:bidi="he-IL"/>
        </w:rPr>
        <w:t>מן המפוזר-</w:t>
      </w:r>
    </w:p>
    <w:p w14:paraId="0F86898E" w14:textId="77777777" w:rsidR="0009007A" w:rsidRDefault="00000000">
      <w:pPr>
        <w:pStyle w:val="FootnoteText"/>
        <w:numPr>
          <w:ilvl w:val="3"/>
          <w:numId w:val="45"/>
        </w:numPr>
        <w:rPr>
          <w:lang w:bidi="he-IL"/>
        </w:rPr>
      </w:pPr>
      <w:r>
        <w:rPr>
          <w:rtl/>
          <w:lang w:bidi="he-IL"/>
        </w:rPr>
        <w:t>בית שמאי, בית הלל (שיטה אחת)- אסור.</w:t>
      </w:r>
    </w:p>
    <w:p w14:paraId="3757D305" w14:textId="77777777" w:rsidR="0009007A" w:rsidRDefault="00000000">
      <w:pPr>
        <w:pStyle w:val="FootnoteText"/>
        <w:numPr>
          <w:ilvl w:val="3"/>
          <w:numId w:val="45"/>
        </w:numPr>
        <w:rPr>
          <w:lang w:bidi="he-IL"/>
        </w:rPr>
      </w:pPr>
      <w:r>
        <w:rPr>
          <w:rtl/>
          <w:lang w:bidi="he-IL"/>
        </w:rPr>
        <w:t>בית הלל (שיטה אחת)- מותר.</w:t>
      </w:r>
    </w:p>
    <w:p w14:paraId="3F4736C4" w14:textId="77777777" w:rsidR="0009007A" w:rsidRDefault="00000000">
      <w:pPr>
        <w:pStyle w:val="FootnoteText"/>
        <w:numPr>
          <w:ilvl w:val="0"/>
          <w:numId w:val="45"/>
        </w:numPr>
        <w:rPr>
          <w:lang w:bidi="he-IL"/>
        </w:rPr>
      </w:pPr>
      <w:r>
        <w:rPr>
          <w:rtl/>
          <w:lang w:bidi="he-IL"/>
        </w:rPr>
        <w:t>מהו קרפף:</w:t>
      </w:r>
    </w:p>
    <w:p w14:paraId="2A0CCFC7" w14:textId="77777777" w:rsidR="0009007A" w:rsidRDefault="00000000">
      <w:pPr>
        <w:pStyle w:val="FootnoteText"/>
        <w:numPr>
          <w:ilvl w:val="1"/>
          <w:numId w:val="45"/>
        </w:numPr>
        <w:rPr>
          <w:lang w:bidi="he-IL"/>
        </w:rPr>
      </w:pPr>
      <w:r>
        <w:rPr>
          <w:rtl/>
          <w:lang w:bidi="he-IL"/>
        </w:rPr>
        <w:t>סמוך- קרפף</w:t>
      </w:r>
    </w:p>
    <w:p w14:paraId="488BBF36" w14:textId="77777777" w:rsidR="0009007A" w:rsidRDefault="00000000">
      <w:pPr>
        <w:pStyle w:val="FootnoteText"/>
        <w:numPr>
          <w:ilvl w:val="1"/>
          <w:numId w:val="45"/>
        </w:numPr>
        <w:rPr>
          <w:lang w:bidi="he-IL"/>
        </w:rPr>
      </w:pPr>
      <w:r>
        <w:rPr>
          <w:rtl/>
          <w:lang w:bidi="he-IL"/>
        </w:rPr>
        <w:t>בתוך תחום-</w:t>
      </w:r>
    </w:p>
    <w:p w14:paraId="3433641E" w14:textId="77777777" w:rsidR="0009007A" w:rsidRDefault="00000000">
      <w:pPr>
        <w:pStyle w:val="FootnoteText"/>
        <w:numPr>
          <w:ilvl w:val="2"/>
          <w:numId w:val="45"/>
        </w:numPr>
        <w:rPr>
          <w:lang w:bidi="he-IL"/>
        </w:rPr>
      </w:pPr>
      <w:r>
        <w:rPr>
          <w:rtl/>
          <w:lang w:bidi="he-IL"/>
        </w:rPr>
        <w:t>יש פותחת-</w:t>
      </w:r>
    </w:p>
    <w:p w14:paraId="3294A326" w14:textId="77777777" w:rsidR="0009007A" w:rsidRDefault="00000000">
      <w:pPr>
        <w:pStyle w:val="FootnoteText"/>
        <w:numPr>
          <w:ilvl w:val="3"/>
          <w:numId w:val="45"/>
        </w:numPr>
        <w:rPr>
          <w:lang w:bidi="he-IL"/>
        </w:rPr>
      </w:pPr>
      <w:r>
        <w:rPr>
          <w:rtl/>
          <w:lang w:bidi="he-IL"/>
        </w:rPr>
        <w:t>רבי יהודה- אינו קרפף.</w:t>
      </w:r>
    </w:p>
    <w:p w14:paraId="0B43B0E4" w14:textId="77777777" w:rsidR="0009007A" w:rsidRDefault="00000000">
      <w:pPr>
        <w:pStyle w:val="FootnoteText"/>
        <w:numPr>
          <w:ilvl w:val="3"/>
          <w:numId w:val="45"/>
        </w:numPr>
        <w:rPr>
          <w:lang w:bidi="he-IL"/>
        </w:rPr>
      </w:pPr>
      <w:r>
        <w:rPr>
          <w:rtl/>
          <w:lang w:bidi="he-IL"/>
        </w:rPr>
        <w:t>רבי יוסי- קרפף.</w:t>
      </w:r>
    </w:p>
    <w:p w14:paraId="3EE5C444" w14:textId="77777777" w:rsidR="0009007A" w:rsidRDefault="00000000">
      <w:pPr>
        <w:pStyle w:val="FootnoteText"/>
        <w:numPr>
          <w:ilvl w:val="2"/>
          <w:numId w:val="45"/>
        </w:numPr>
        <w:rPr>
          <w:lang w:bidi="he-IL"/>
        </w:rPr>
      </w:pPr>
      <w:r>
        <w:rPr>
          <w:rtl/>
          <w:lang w:bidi="he-IL"/>
        </w:rPr>
        <w:t>אין פותחת- אינו קרפף.</w:t>
      </w:r>
    </w:p>
    <w:p w14:paraId="0FA72957" w14:textId="77777777" w:rsidR="0009007A" w:rsidRDefault="00000000">
      <w:pPr>
        <w:pStyle w:val="FootnoteText"/>
        <w:numPr>
          <w:ilvl w:val="1"/>
          <w:numId w:val="45"/>
        </w:numPr>
        <w:rPr>
          <w:lang w:bidi="he-IL"/>
        </w:rPr>
      </w:pPr>
      <w:r>
        <w:rPr>
          <w:rtl/>
          <w:lang w:bidi="he-IL"/>
        </w:rPr>
        <w:t>חוץ מתחום- אינו פותחת.</w:t>
      </w:r>
    </w:p>
  </w:footnote>
  <w:footnote w:id="325">
    <w:p w14:paraId="1AE9B0C5" w14:textId="77777777" w:rsidR="0009007A" w:rsidRDefault="00000000">
      <w:pPr>
        <w:pStyle w:val="FootnoteText"/>
        <w:rPr>
          <w:b/>
          <w:bCs/>
          <w:lang w:bidi="he-IL"/>
        </w:rPr>
      </w:pPr>
      <w:r>
        <w:rPr>
          <w:rStyle w:val="FootnoteCharacters"/>
        </w:rPr>
        <w:footnoteRef/>
      </w:r>
      <w:r>
        <w:rPr>
          <w:b/>
          <w:bCs/>
          <w:rtl/>
          <w:lang w:bidi="he-IL"/>
        </w:rPr>
        <w:tab/>
        <w:t>משנה ג:</w:t>
      </w:r>
    </w:p>
  </w:footnote>
  <w:footnote w:id="326">
    <w:p w14:paraId="122F37F5" w14:textId="77777777" w:rsidR="0009007A" w:rsidRDefault="00000000">
      <w:pPr>
        <w:pStyle w:val="FootnoteText"/>
        <w:rPr>
          <w:b/>
          <w:bCs/>
          <w:lang w:bidi="he-IL"/>
        </w:rPr>
      </w:pPr>
      <w:r>
        <w:rPr>
          <w:rStyle w:val="FootnoteCharacters"/>
        </w:rPr>
        <w:footnoteRef/>
      </w:r>
      <w:r>
        <w:rPr>
          <w:b/>
          <w:bCs/>
          <w:rtl/>
          <w:lang w:bidi="he-IL"/>
        </w:rPr>
        <w:tab/>
        <w:t>הקדמה:</w:t>
      </w:r>
    </w:p>
    <w:p w14:paraId="388262EF" w14:textId="77777777" w:rsidR="0009007A" w:rsidRDefault="00000000">
      <w:pPr>
        <w:pStyle w:val="FootnoteText"/>
        <w:rPr>
          <w:b/>
          <w:bCs/>
          <w:lang w:bidi="he-IL"/>
        </w:rPr>
      </w:pPr>
      <w:r>
        <w:rPr>
          <w:b/>
          <w:bCs/>
          <w:rtl/>
          <w:lang w:bidi="he-IL"/>
        </w:rPr>
        <w:tab/>
      </w:r>
      <w:r>
        <w:rPr>
          <w:rtl/>
          <w:lang w:bidi="he-IL"/>
        </w:rPr>
        <w:t>משנה זה מדבר בבקיעת עצים- איזה עצים יכול לבקוע (ואיזה אסורים משום) ואיך יבקע אותם (ואיך אסור משום שנ’ שעושה מלאכה).</w:t>
      </w:r>
    </w:p>
    <w:p w14:paraId="7D1A35C0" w14:textId="77777777" w:rsidR="0009007A" w:rsidRDefault="00000000">
      <w:pPr>
        <w:pStyle w:val="FootnoteText"/>
        <w:rPr>
          <w:b/>
          <w:bCs/>
          <w:lang w:bidi="he-IL"/>
        </w:rPr>
      </w:pPr>
      <w:r>
        <w:rPr>
          <w:rtl/>
          <w:lang w:bidi="he-IL"/>
        </w:rPr>
        <w:tab/>
        <w:t>משנה ממשיך לדבר בדיני מוקצה וסתירה, בנוגע בית סתום שיש בו פירות.</w:t>
      </w:r>
    </w:p>
  </w:footnote>
  <w:footnote w:id="327">
    <w:p w14:paraId="718CF92A" w14:textId="77777777" w:rsidR="0009007A" w:rsidRDefault="00000000">
      <w:pPr>
        <w:pStyle w:val="FootnoteText"/>
        <w:rPr>
          <w:lang w:bidi="he-IL"/>
        </w:rPr>
      </w:pPr>
      <w:r>
        <w:rPr>
          <w:rStyle w:val="FootnoteCharacters"/>
        </w:rPr>
        <w:footnoteRef/>
      </w:r>
      <w:r>
        <w:rPr>
          <w:rtl/>
          <w:lang w:bidi="he-IL"/>
        </w:rPr>
        <w:tab/>
        <w:t xml:space="preserve">לא פשוט מהו החילוק בין שני דברים אלו, אבל הענין הוא שאם היה שלם בין השמשות, מוקצה הוא, ואסור לקחת אותו בי"ט. אז, משנה זה הוא רק לשיטת רבי יהודה (שסובר שיש מוקצה), ולא כרבי שמעון. </w:t>
      </w:r>
      <w:r>
        <w:rPr>
          <w:b/>
          <w:bCs/>
          <w:u w:val="single"/>
          <w:rtl/>
          <w:lang w:bidi="he-IL"/>
        </w:rPr>
        <w:t>(ב:)</w:t>
      </w:r>
    </w:p>
  </w:footnote>
  <w:footnote w:id="328">
    <w:p w14:paraId="483FA82F" w14:textId="77777777" w:rsidR="0009007A" w:rsidRDefault="00000000">
      <w:pPr>
        <w:pStyle w:val="FootnoteText"/>
        <w:rPr>
          <w:lang w:bidi="he-IL"/>
        </w:rPr>
      </w:pPr>
      <w:r>
        <w:rPr>
          <w:rStyle w:val="FootnoteCharacters"/>
        </w:rPr>
        <w:footnoteRef/>
      </w:r>
      <w:r>
        <w:rPr>
          <w:rtl/>
          <w:lang w:bidi="he-IL"/>
        </w:rPr>
        <w:tab/>
        <w:t xml:space="preserve">גמ’ מפרש </w:t>
      </w:r>
      <w:r>
        <w:rPr>
          <w:b/>
          <w:bCs/>
          <w:u w:val="single"/>
          <w:rtl/>
          <w:lang w:bidi="he-IL"/>
        </w:rPr>
        <w:t>(לא:)</w:t>
      </w:r>
      <w:r>
        <w:rPr>
          <w:rtl/>
          <w:lang w:bidi="he-IL"/>
        </w:rPr>
        <w:t xml:space="preserve"> שיש כאן חלק חסר מן המשנה, ושם ממשיך לומר: “אבל מבקעים ממה שנשבר בעי"ט. וכשמבעקים, אין מבקעים….”</w:t>
      </w:r>
    </w:p>
  </w:footnote>
  <w:footnote w:id="329">
    <w:p w14:paraId="4D23EA84" w14:textId="77777777" w:rsidR="0009007A" w:rsidRDefault="00000000">
      <w:pPr>
        <w:pStyle w:val="FootnoteText"/>
      </w:pPr>
      <w:r>
        <w:rPr>
          <w:rStyle w:val="FootnoteCharacters"/>
        </w:rPr>
        <w:footnoteRef/>
      </w:r>
      <w:r>
        <w:tab/>
        <w:t>axe</w:t>
      </w:r>
    </w:p>
  </w:footnote>
  <w:footnote w:id="330">
    <w:p w14:paraId="75E8A2D1" w14:textId="77777777" w:rsidR="0009007A" w:rsidRDefault="00000000">
      <w:pPr>
        <w:pStyle w:val="FootnoteText"/>
      </w:pPr>
      <w:r>
        <w:rPr>
          <w:rStyle w:val="FootnoteCharacters"/>
        </w:rPr>
        <w:footnoteRef/>
      </w:r>
      <w:r>
        <w:tab/>
        <w:t>saw</w:t>
      </w:r>
    </w:p>
  </w:footnote>
  <w:footnote w:id="331">
    <w:p w14:paraId="78BB1619" w14:textId="77777777" w:rsidR="0009007A" w:rsidRDefault="00000000">
      <w:pPr>
        <w:pStyle w:val="FootnoteText"/>
      </w:pPr>
      <w:r>
        <w:rPr>
          <w:rStyle w:val="FootnoteCharacters"/>
        </w:rPr>
        <w:footnoteRef/>
      </w:r>
      <w:r>
        <w:tab/>
        <w:t>sickle</w:t>
      </w:r>
    </w:p>
  </w:footnote>
  <w:footnote w:id="332">
    <w:p w14:paraId="3C4BA5C2" w14:textId="77777777" w:rsidR="0009007A" w:rsidRDefault="00000000">
      <w:pPr>
        <w:pStyle w:val="FootnoteText"/>
      </w:pPr>
      <w:r>
        <w:rPr>
          <w:rStyle w:val="FootnoteCharacters"/>
        </w:rPr>
        <w:footnoteRef/>
      </w:r>
      <w:r>
        <w:tab/>
        <w:t>Butcher’s chopper</w:t>
      </w:r>
    </w:p>
  </w:footnote>
  <w:footnote w:id="333">
    <w:p w14:paraId="3D22D3E0" w14:textId="77777777" w:rsidR="0009007A" w:rsidRDefault="00000000">
      <w:pPr>
        <w:pStyle w:val="FootnoteText"/>
        <w:rPr>
          <w:lang w:bidi="he-IL"/>
        </w:rPr>
      </w:pPr>
      <w:r>
        <w:rPr>
          <w:rStyle w:val="FootnoteCharacters"/>
        </w:rPr>
        <w:footnoteRef/>
      </w:r>
      <w:r>
        <w:rPr>
          <w:rtl/>
          <w:lang w:bidi="he-IL"/>
        </w:rPr>
        <w:tab/>
        <w:t xml:space="preserve">לפעמים, יש לו ראש של קופיץ ושל קרדום. ההל’ הוא שרק של קופיץ מותר. </w:t>
      </w:r>
      <w:r>
        <w:rPr>
          <w:b/>
          <w:bCs/>
          <w:u w:val="single"/>
          <w:rtl/>
          <w:lang w:bidi="he-IL"/>
        </w:rPr>
        <w:t>(לא:)</w:t>
      </w:r>
    </w:p>
  </w:footnote>
  <w:footnote w:id="334">
    <w:p w14:paraId="7C270E64" w14:textId="77777777" w:rsidR="0009007A" w:rsidRDefault="00000000">
      <w:pPr>
        <w:pStyle w:val="FootnoteText"/>
        <w:rPr>
          <w:lang w:bidi="he-IL"/>
        </w:rPr>
      </w:pPr>
      <w:r>
        <w:rPr>
          <w:rStyle w:val="FootnoteCharacters"/>
        </w:rPr>
        <w:footnoteRef/>
      </w:r>
      <w:r>
        <w:rPr>
          <w:rtl/>
          <w:lang w:bidi="he-IL"/>
        </w:rPr>
        <w:tab/>
        <w:t>הכלל כאן הוא שאסור לחתוך אותו בכלים של אומן, כיון שנ’ שהולך עם הכלים לעשות מלאכה האסורה. אם כלי יש בו שניהם, ראש שאינו של אומן מותר.</w:t>
      </w:r>
    </w:p>
  </w:footnote>
  <w:footnote w:id="335">
    <w:p w14:paraId="01600041" w14:textId="77777777" w:rsidR="0009007A" w:rsidRDefault="00000000">
      <w:pPr>
        <w:pStyle w:val="FootnoteText"/>
        <w:rPr>
          <w:lang w:bidi="he-IL"/>
        </w:rPr>
      </w:pPr>
      <w:r>
        <w:rPr>
          <w:rStyle w:val="FootnoteCharacters"/>
        </w:rPr>
        <w:footnoteRef/>
      </w:r>
      <w:r>
        <w:rPr>
          <w:rtl/>
          <w:lang w:bidi="he-IL"/>
        </w:rPr>
        <w:tab/>
        <w:t xml:space="preserve">גמ’ מפרש שזה בבית שנבנה מלבנים בלי טיט. אז, סתירתו אינו כל כך סתירה. </w:t>
      </w:r>
    </w:p>
  </w:footnote>
  <w:footnote w:id="336">
    <w:p w14:paraId="5AF65CB5" w14:textId="77777777" w:rsidR="0009007A" w:rsidRDefault="00000000">
      <w:pPr>
        <w:pStyle w:val="FootnoteText"/>
        <w:rPr>
          <w:lang w:bidi="he-IL"/>
        </w:rPr>
      </w:pPr>
      <w:r>
        <w:rPr>
          <w:rStyle w:val="FootnoteCharacters"/>
        </w:rPr>
        <w:footnoteRef/>
      </w:r>
      <w:r>
        <w:rPr>
          <w:rtl/>
          <w:lang w:bidi="he-IL"/>
        </w:rPr>
        <w:tab/>
        <w:t>הלשון הוא קצת מוזר; רצה לומר: אם הבית היה סתום, ובי"ט נפחת….</w:t>
      </w:r>
    </w:p>
  </w:footnote>
  <w:footnote w:id="337">
    <w:p w14:paraId="384F7435" w14:textId="77777777" w:rsidR="0009007A" w:rsidRDefault="00000000">
      <w:pPr>
        <w:pStyle w:val="FootnoteText"/>
        <w:rPr>
          <w:lang w:bidi="he-IL"/>
        </w:rPr>
      </w:pPr>
      <w:r>
        <w:rPr>
          <w:rStyle w:val="FootnoteCharacters"/>
        </w:rPr>
        <w:footnoteRef/>
      </w:r>
      <w:r>
        <w:rPr>
          <w:rtl/>
          <w:lang w:bidi="he-IL"/>
        </w:rPr>
        <w:tab/>
        <w:t xml:space="preserve">אינם מוקצים. אף שלא היה מותר לקחת אותו בי"ט בלי איסור דרבנן, כיון שאפשר לקחת אותו עם איסור דרבנן, אינו מוקצה. (רשי </w:t>
      </w:r>
      <w:r>
        <w:rPr>
          <w:b/>
          <w:bCs/>
          <w:u w:val="single"/>
          <w:rtl/>
          <w:lang w:bidi="he-IL"/>
        </w:rPr>
        <w:t>לא:</w:t>
      </w:r>
      <w:r>
        <w:rPr>
          <w:rtl/>
          <w:lang w:bidi="he-IL"/>
        </w:rPr>
        <w:t>)</w:t>
      </w:r>
    </w:p>
  </w:footnote>
  <w:footnote w:id="338">
    <w:p w14:paraId="5B29DC22" w14:textId="77777777" w:rsidR="0009007A" w:rsidRDefault="00000000">
      <w:pPr>
        <w:pStyle w:val="FootnoteText"/>
        <w:rPr>
          <w:lang w:bidi="he-IL"/>
        </w:rPr>
      </w:pPr>
      <w:r>
        <w:rPr>
          <w:rStyle w:val="FootnoteCharacters"/>
        </w:rPr>
        <w:footnoteRef/>
      </w:r>
      <w:r>
        <w:rPr>
          <w:rtl/>
          <w:lang w:bidi="he-IL"/>
        </w:rPr>
        <w:tab/>
        <w:t xml:space="preserve">כיון שאין טיט שם, רק אסור מדרבנן, ולצורך שמחת י"ט, רבי מאיר מתיר. </w:t>
      </w:r>
      <w:r>
        <w:rPr>
          <w:b/>
          <w:bCs/>
          <w:u w:val="single"/>
          <w:rtl/>
          <w:lang w:bidi="he-IL"/>
        </w:rPr>
        <w:t>(לא:)</w:t>
      </w:r>
    </w:p>
  </w:footnote>
  <w:footnote w:id="339">
    <w:p w14:paraId="6FEEFE1C"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E975861" w14:textId="77777777" w:rsidR="0009007A" w:rsidRDefault="00000000">
      <w:pPr>
        <w:pStyle w:val="FootnoteText"/>
        <w:numPr>
          <w:ilvl w:val="0"/>
          <w:numId w:val="46"/>
        </w:numPr>
        <w:rPr>
          <w:lang w:bidi="he-IL"/>
        </w:rPr>
      </w:pPr>
      <w:r>
        <w:rPr>
          <w:rtl/>
          <w:lang w:bidi="he-IL"/>
        </w:rPr>
        <w:t>לבקוע עצים:</w:t>
      </w:r>
    </w:p>
    <w:p w14:paraId="4F2663C5" w14:textId="77777777" w:rsidR="0009007A" w:rsidRDefault="00000000">
      <w:pPr>
        <w:pStyle w:val="FootnoteText"/>
        <w:numPr>
          <w:ilvl w:val="1"/>
          <w:numId w:val="46"/>
        </w:numPr>
        <w:rPr>
          <w:lang w:bidi="he-IL"/>
        </w:rPr>
      </w:pPr>
      <w:r>
        <w:rPr>
          <w:rtl/>
          <w:lang w:bidi="he-IL"/>
        </w:rPr>
        <w:t xml:space="preserve">ממה שלא היה מוכן מעי"ט- </w:t>
      </w:r>
    </w:p>
    <w:p w14:paraId="0ECE50F0" w14:textId="77777777" w:rsidR="0009007A" w:rsidRDefault="00000000">
      <w:pPr>
        <w:pStyle w:val="FootnoteText"/>
        <w:numPr>
          <w:ilvl w:val="2"/>
          <w:numId w:val="46"/>
        </w:numPr>
        <w:rPr>
          <w:lang w:bidi="he-IL"/>
        </w:rPr>
      </w:pPr>
      <w:r>
        <w:rPr>
          <w:rtl/>
          <w:lang w:bidi="he-IL"/>
        </w:rPr>
        <w:t>רבי יהודה- אסור.</w:t>
      </w:r>
    </w:p>
    <w:p w14:paraId="1C03CEE5" w14:textId="77777777" w:rsidR="0009007A" w:rsidRDefault="00000000">
      <w:pPr>
        <w:pStyle w:val="FootnoteText"/>
        <w:numPr>
          <w:ilvl w:val="2"/>
          <w:numId w:val="46"/>
        </w:numPr>
        <w:rPr>
          <w:lang w:bidi="he-IL"/>
        </w:rPr>
      </w:pPr>
      <w:r>
        <w:rPr>
          <w:rtl/>
          <w:lang w:bidi="he-IL"/>
        </w:rPr>
        <w:t>רבי שמעון- דינו כמה שהיה מוכן מעי"ט.</w:t>
      </w:r>
    </w:p>
    <w:p w14:paraId="5924FA83" w14:textId="77777777" w:rsidR="0009007A" w:rsidRDefault="00000000">
      <w:pPr>
        <w:pStyle w:val="FootnoteText"/>
        <w:numPr>
          <w:ilvl w:val="1"/>
          <w:numId w:val="46"/>
        </w:numPr>
        <w:rPr>
          <w:lang w:bidi="he-IL"/>
        </w:rPr>
      </w:pPr>
      <w:r>
        <w:rPr>
          <w:rtl/>
          <w:lang w:bidi="he-IL"/>
        </w:rPr>
        <w:t>ממה שהיה מוכן מעי"ט-</w:t>
      </w:r>
    </w:p>
    <w:p w14:paraId="7AAB4CD4" w14:textId="77777777" w:rsidR="0009007A" w:rsidRDefault="00000000">
      <w:pPr>
        <w:pStyle w:val="FootnoteText"/>
        <w:numPr>
          <w:ilvl w:val="2"/>
          <w:numId w:val="46"/>
        </w:numPr>
        <w:rPr>
          <w:lang w:bidi="he-IL"/>
        </w:rPr>
      </w:pPr>
      <w:r>
        <w:rPr>
          <w:rtl/>
          <w:lang w:bidi="he-IL"/>
        </w:rPr>
        <w:t>בכלי אומן (אף אם יש לו צד אחר שאינו כלי אומן)- אסור.</w:t>
      </w:r>
    </w:p>
    <w:p w14:paraId="18AF47AC" w14:textId="77777777" w:rsidR="0009007A" w:rsidRDefault="00000000">
      <w:pPr>
        <w:pStyle w:val="FootnoteText"/>
        <w:numPr>
          <w:ilvl w:val="2"/>
          <w:numId w:val="46"/>
        </w:numPr>
        <w:rPr>
          <w:lang w:bidi="he-IL"/>
        </w:rPr>
      </w:pPr>
      <w:r>
        <w:rPr>
          <w:rtl/>
          <w:lang w:bidi="he-IL"/>
        </w:rPr>
        <w:t>שלא בכלי אומן (אף אם יש לו צד אחר שהוא כלי אומן)- מותר.</w:t>
      </w:r>
    </w:p>
  </w:footnote>
  <w:footnote w:id="340">
    <w:p w14:paraId="175D3F45" w14:textId="77777777" w:rsidR="0009007A" w:rsidRDefault="00000000">
      <w:pPr>
        <w:pStyle w:val="FootnoteText"/>
        <w:rPr>
          <w:b/>
          <w:bCs/>
          <w:lang w:bidi="he-IL"/>
        </w:rPr>
      </w:pPr>
      <w:r>
        <w:rPr>
          <w:rStyle w:val="FootnoteCharacters"/>
        </w:rPr>
        <w:footnoteRef/>
      </w:r>
      <w:r>
        <w:rPr>
          <w:b/>
          <w:bCs/>
          <w:rtl/>
          <w:lang w:bidi="he-IL"/>
        </w:rPr>
        <w:tab/>
        <w:t>משנה ד:</w:t>
      </w:r>
    </w:p>
  </w:footnote>
  <w:footnote w:id="341">
    <w:p w14:paraId="6F50ECDD" w14:textId="77777777" w:rsidR="0009007A" w:rsidRDefault="00000000">
      <w:pPr>
        <w:pStyle w:val="FootnoteText"/>
        <w:rPr>
          <w:b/>
          <w:bCs/>
          <w:lang w:bidi="he-IL"/>
        </w:rPr>
      </w:pPr>
      <w:r>
        <w:rPr>
          <w:rStyle w:val="FootnoteCharacters"/>
        </w:rPr>
        <w:footnoteRef/>
      </w:r>
      <w:r>
        <w:rPr>
          <w:b/>
          <w:bCs/>
          <w:rtl/>
          <w:lang w:bidi="he-IL"/>
        </w:rPr>
        <w:tab/>
        <w:t>הקדמה:</w:t>
      </w:r>
    </w:p>
    <w:p w14:paraId="0E9BE056" w14:textId="77777777" w:rsidR="0009007A" w:rsidRDefault="00000000">
      <w:pPr>
        <w:pStyle w:val="FootnoteText"/>
        <w:rPr>
          <w:b/>
          <w:bCs/>
          <w:lang w:bidi="he-IL"/>
        </w:rPr>
      </w:pPr>
      <w:r>
        <w:rPr>
          <w:b/>
          <w:bCs/>
          <w:rtl/>
          <w:lang w:bidi="he-IL"/>
        </w:rPr>
        <w:tab/>
      </w:r>
      <w:r>
        <w:rPr>
          <w:rtl/>
          <w:lang w:bidi="he-IL"/>
        </w:rPr>
        <w:t>משנה זה אומר דין של עשיית כלי. אסור לעשות כלי בי"ט, ומשנה זה מבאר מהו עשיית כלי.</w:t>
      </w:r>
    </w:p>
  </w:footnote>
  <w:footnote w:id="342">
    <w:p w14:paraId="0CF9F513" w14:textId="77777777" w:rsidR="0009007A" w:rsidRDefault="00000000">
      <w:pPr>
        <w:pStyle w:val="FootnoteText"/>
        <w:rPr>
          <w:lang w:bidi="he-IL"/>
        </w:rPr>
      </w:pPr>
      <w:r>
        <w:rPr>
          <w:rStyle w:val="FootnoteCharacters"/>
        </w:rPr>
        <w:footnoteRef/>
      </w:r>
      <w:r>
        <w:rPr>
          <w:rtl/>
          <w:lang w:bidi="he-IL"/>
        </w:rPr>
        <w:tab/>
        <w:t xml:space="preserve">רצה לומר, אין פוחתים ביצה של יוצר כדי לעשות נר. (הדרך שעושים נר הוא שלוקחים ביצה של יוצר, ונותנים שם אגרוף, ונעשה נר). (רשי </w:t>
      </w:r>
      <w:r>
        <w:rPr>
          <w:b/>
          <w:bCs/>
          <w:u w:val="single"/>
          <w:rtl/>
          <w:lang w:bidi="he-IL"/>
        </w:rPr>
        <w:t>לב.</w:t>
      </w:r>
      <w:r>
        <w:rPr>
          <w:rtl/>
          <w:lang w:bidi="he-IL"/>
        </w:rPr>
        <w:t>)</w:t>
      </w:r>
    </w:p>
  </w:footnote>
  <w:footnote w:id="343">
    <w:p w14:paraId="6C3B855C" w14:textId="77777777" w:rsidR="0009007A" w:rsidRDefault="00000000">
      <w:pPr>
        <w:pStyle w:val="FootnoteText"/>
        <w:rPr>
          <w:lang w:bidi="he-IL"/>
        </w:rPr>
      </w:pPr>
      <w:r>
        <w:rPr>
          <w:rStyle w:val="FootnoteCharacters"/>
        </w:rPr>
        <w:footnoteRef/>
      </w:r>
      <w:r>
        <w:rPr>
          <w:rtl/>
          <w:lang w:bidi="he-IL"/>
        </w:rPr>
        <w:tab/>
        <w:t xml:space="preserve">יש חולק שאומר שאין בזה עשיית כלי, כיון לא בשל אותו, ואז לא נגמר. </w:t>
      </w:r>
      <w:r>
        <w:rPr>
          <w:b/>
          <w:bCs/>
          <w:u w:val="single"/>
          <w:rtl/>
          <w:lang w:bidi="he-IL"/>
        </w:rPr>
        <w:t>(לב.)</w:t>
      </w:r>
    </w:p>
  </w:footnote>
  <w:footnote w:id="344">
    <w:p w14:paraId="427801C0" w14:textId="77777777" w:rsidR="0009007A" w:rsidRDefault="00000000">
      <w:pPr>
        <w:pStyle w:val="FootnoteText"/>
        <w:rPr>
          <w:lang w:bidi="he-IL"/>
        </w:rPr>
      </w:pPr>
      <w:r>
        <w:rPr>
          <w:rStyle w:val="FootnoteCharacters"/>
        </w:rPr>
        <w:footnoteRef/>
      </w:r>
      <w:r>
        <w:rPr>
          <w:rtl/>
          <w:lang w:bidi="he-IL"/>
        </w:rPr>
        <w:tab/>
        <w:t>עושה נר, שהוא כלי.</w:t>
      </w:r>
    </w:p>
  </w:footnote>
  <w:footnote w:id="345">
    <w:p w14:paraId="10E7E8D0" w14:textId="77777777" w:rsidR="0009007A" w:rsidRDefault="00000000">
      <w:pPr>
        <w:pStyle w:val="FootnoteText"/>
        <w:rPr>
          <w:lang w:bidi="he-IL"/>
        </w:rPr>
      </w:pPr>
      <w:r>
        <w:rPr>
          <w:rStyle w:val="FootnoteCharacters"/>
        </w:rPr>
        <w:footnoteRef/>
      </w:r>
      <w:r>
        <w:rPr>
          <w:rtl/>
          <w:lang w:bidi="he-IL"/>
        </w:rPr>
        <w:tab/>
        <w:t xml:space="preserve">וא"ת איזה צורך יש בהם לאיזה יום (ואז בין כך ובין כך אסורים). וי"ל שיש צורך לבית המרחץ (בזמן שהיה מותר להזיע). </w:t>
      </w:r>
      <w:r>
        <w:rPr>
          <w:b/>
          <w:bCs/>
          <w:u w:val="single"/>
          <w:rtl/>
          <w:lang w:bidi="he-IL"/>
        </w:rPr>
        <w:t>(לב.)</w:t>
      </w:r>
      <w:r>
        <w:rPr>
          <w:rtl/>
          <w:lang w:bidi="he-IL"/>
        </w:rPr>
        <w:t xml:space="preserve"> </w:t>
      </w:r>
    </w:p>
  </w:footnote>
  <w:footnote w:id="346">
    <w:p w14:paraId="2BDB20AC" w14:textId="77777777" w:rsidR="0009007A" w:rsidRDefault="00000000">
      <w:pPr>
        <w:pStyle w:val="FootnoteText"/>
        <w:rPr>
          <w:lang w:bidi="he-IL"/>
        </w:rPr>
      </w:pPr>
      <w:r>
        <w:rPr>
          <w:rStyle w:val="FootnoteCharacters"/>
        </w:rPr>
        <w:footnoteRef/>
      </w:r>
      <w:r>
        <w:rPr>
          <w:rtl/>
          <w:lang w:bidi="he-IL"/>
        </w:rPr>
        <w:tab/>
        <w:t>גם פחמים נחשבים כלי.</w:t>
      </w:r>
    </w:p>
  </w:footnote>
  <w:footnote w:id="347">
    <w:p w14:paraId="1081274D" w14:textId="77777777" w:rsidR="0009007A" w:rsidRDefault="00000000">
      <w:pPr>
        <w:pStyle w:val="FootnoteText"/>
        <w:rPr>
          <w:lang w:bidi="he-IL"/>
        </w:rPr>
      </w:pPr>
      <w:r>
        <w:rPr>
          <w:rStyle w:val="FootnoteCharacters"/>
        </w:rPr>
        <w:footnoteRef/>
      </w:r>
      <w:r>
        <w:rPr>
          <w:rtl/>
          <w:lang w:bidi="he-IL"/>
        </w:rPr>
        <w:tab/>
        <w:t>כיון שעושה פתילה אחת לשתי פתילות, נמצא שעושה כלי.</w:t>
      </w:r>
    </w:p>
  </w:footnote>
  <w:footnote w:id="348">
    <w:p w14:paraId="45CD6D05" w14:textId="77777777" w:rsidR="0009007A" w:rsidRDefault="00000000">
      <w:pPr>
        <w:pStyle w:val="FootnoteText"/>
        <w:rPr>
          <w:lang w:bidi="he-IL"/>
        </w:rPr>
      </w:pPr>
      <w:r>
        <w:rPr>
          <w:rStyle w:val="FootnoteCharacters"/>
        </w:rPr>
        <w:footnoteRef/>
      </w:r>
      <w:r>
        <w:rPr>
          <w:rtl/>
          <w:lang w:bidi="he-IL"/>
        </w:rPr>
        <w:tab/>
        <w:t xml:space="preserve">גמ’ מפרש </w:t>
      </w:r>
      <w:r>
        <w:rPr>
          <w:b/>
          <w:bCs/>
          <w:u w:val="single"/>
          <w:rtl/>
          <w:lang w:bidi="he-IL"/>
        </w:rPr>
        <w:t>(לב:)</w:t>
      </w:r>
      <w:r>
        <w:rPr>
          <w:rtl/>
          <w:lang w:bidi="he-IL"/>
        </w:rPr>
        <w:t xml:space="preserve"> שרק מתיר רבי יהודה אם כבר נתן את הפיות של הפתילות בשני נרות, שאז רק נראה כמדליק את הנרות. </w:t>
      </w:r>
    </w:p>
  </w:footnote>
  <w:footnote w:id="349">
    <w:p w14:paraId="74DC2D8F" w14:textId="77777777" w:rsidR="0009007A" w:rsidRDefault="00000000">
      <w:pPr>
        <w:pStyle w:val="FootnoteText"/>
      </w:pPr>
      <w:r>
        <w:rPr>
          <w:rStyle w:val="FootnoteCharacters"/>
        </w:rPr>
        <w:footnoteRef/>
      </w:r>
      <w:r>
        <w:rPr>
          <w:b/>
          <w:bCs/>
          <w:rtl/>
          <w:lang w:bidi="he-IL"/>
        </w:rPr>
        <w:tab/>
        <w:t>דינים היוצאים מן המשנה:</w:t>
      </w:r>
    </w:p>
    <w:p w14:paraId="3DCCB17F" w14:textId="77777777" w:rsidR="0009007A" w:rsidRDefault="00000000">
      <w:pPr>
        <w:pStyle w:val="FootnoteText"/>
        <w:numPr>
          <w:ilvl w:val="0"/>
          <w:numId w:val="47"/>
        </w:numPr>
        <w:rPr>
          <w:lang w:bidi="he-IL"/>
        </w:rPr>
      </w:pPr>
      <w:r>
        <w:rPr>
          <w:rtl/>
          <w:lang w:bidi="he-IL"/>
        </w:rPr>
        <w:t>לעשות כלי חרס (ולא לבשל)-</w:t>
      </w:r>
    </w:p>
    <w:p w14:paraId="70C23A5D" w14:textId="77777777" w:rsidR="0009007A" w:rsidRDefault="00000000">
      <w:pPr>
        <w:pStyle w:val="FootnoteText"/>
        <w:numPr>
          <w:ilvl w:val="1"/>
          <w:numId w:val="47"/>
        </w:numPr>
        <w:rPr>
          <w:lang w:bidi="he-IL"/>
        </w:rPr>
      </w:pPr>
      <w:r>
        <w:rPr>
          <w:rtl/>
          <w:lang w:bidi="he-IL"/>
        </w:rPr>
        <w:t>תנא של משנה- אסור.</w:t>
      </w:r>
    </w:p>
    <w:p w14:paraId="6645EAD5" w14:textId="77777777" w:rsidR="0009007A" w:rsidRDefault="00000000">
      <w:pPr>
        <w:pStyle w:val="FootnoteText"/>
        <w:numPr>
          <w:ilvl w:val="1"/>
          <w:numId w:val="47"/>
        </w:numPr>
        <w:rPr>
          <w:lang w:bidi="he-IL"/>
        </w:rPr>
      </w:pPr>
      <w:r>
        <w:rPr>
          <w:rtl/>
          <w:lang w:bidi="he-IL"/>
        </w:rPr>
        <w:t>חולק- מותר.</w:t>
      </w:r>
    </w:p>
    <w:p w14:paraId="234EE0B2" w14:textId="77777777" w:rsidR="0009007A" w:rsidRDefault="00000000">
      <w:pPr>
        <w:pStyle w:val="FootnoteText"/>
        <w:numPr>
          <w:ilvl w:val="0"/>
          <w:numId w:val="47"/>
        </w:numPr>
        <w:rPr>
          <w:lang w:bidi="he-IL"/>
        </w:rPr>
      </w:pPr>
      <w:r>
        <w:rPr>
          <w:rtl/>
          <w:lang w:bidi="he-IL"/>
        </w:rPr>
        <w:t>לעשות פחמים- אסור.</w:t>
      </w:r>
    </w:p>
    <w:p w14:paraId="240ED50C" w14:textId="77777777" w:rsidR="0009007A" w:rsidRDefault="00000000">
      <w:pPr>
        <w:pStyle w:val="FootnoteText"/>
        <w:numPr>
          <w:ilvl w:val="0"/>
          <w:numId w:val="47"/>
        </w:numPr>
        <w:rPr>
          <w:lang w:bidi="he-IL"/>
        </w:rPr>
      </w:pPr>
      <w:r>
        <w:rPr>
          <w:rtl/>
          <w:lang w:bidi="he-IL"/>
        </w:rPr>
        <w:t>לחתוך פתילה-</w:t>
      </w:r>
    </w:p>
    <w:p w14:paraId="680FF2AA" w14:textId="77777777" w:rsidR="0009007A" w:rsidRDefault="00000000">
      <w:pPr>
        <w:pStyle w:val="FootnoteText"/>
        <w:numPr>
          <w:ilvl w:val="1"/>
          <w:numId w:val="47"/>
        </w:numPr>
        <w:rPr>
          <w:lang w:bidi="he-IL"/>
        </w:rPr>
      </w:pPr>
      <w:r>
        <w:rPr>
          <w:rtl/>
          <w:lang w:bidi="he-IL"/>
        </w:rPr>
        <w:t>בסכין- אסור.</w:t>
      </w:r>
    </w:p>
    <w:p w14:paraId="46DD64A2" w14:textId="77777777" w:rsidR="0009007A" w:rsidRDefault="00000000">
      <w:pPr>
        <w:pStyle w:val="FootnoteText"/>
        <w:numPr>
          <w:ilvl w:val="1"/>
          <w:numId w:val="47"/>
        </w:numPr>
        <w:rPr>
          <w:lang w:bidi="he-IL"/>
        </w:rPr>
      </w:pPr>
      <w:r>
        <w:rPr>
          <w:rtl/>
          <w:lang w:bidi="he-IL"/>
        </w:rPr>
        <w:t>באור-</w:t>
      </w:r>
    </w:p>
    <w:p w14:paraId="366A84E0" w14:textId="77777777" w:rsidR="0009007A" w:rsidRDefault="00000000">
      <w:pPr>
        <w:pStyle w:val="FootnoteText"/>
        <w:numPr>
          <w:ilvl w:val="2"/>
          <w:numId w:val="47"/>
        </w:numPr>
        <w:rPr>
          <w:lang w:bidi="he-IL"/>
        </w:rPr>
      </w:pPr>
      <w:r>
        <w:rPr>
          <w:rtl/>
          <w:lang w:bidi="he-IL"/>
        </w:rPr>
        <w:t>אם פיות אינם בנרות- אסור.</w:t>
      </w:r>
    </w:p>
    <w:p w14:paraId="2F78600A" w14:textId="77777777" w:rsidR="0009007A" w:rsidRDefault="00000000">
      <w:pPr>
        <w:pStyle w:val="FootnoteText"/>
        <w:numPr>
          <w:ilvl w:val="2"/>
          <w:numId w:val="47"/>
        </w:numPr>
        <w:rPr>
          <w:lang w:bidi="he-IL"/>
        </w:rPr>
      </w:pPr>
      <w:r>
        <w:rPr>
          <w:rtl/>
          <w:lang w:bidi="he-IL"/>
        </w:rPr>
        <w:t>אם פיות בנרות-</w:t>
      </w:r>
    </w:p>
    <w:p w14:paraId="3809313B" w14:textId="77777777" w:rsidR="0009007A" w:rsidRDefault="00000000">
      <w:pPr>
        <w:pStyle w:val="FootnoteText"/>
        <w:numPr>
          <w:ilvl w:val="3"/>
          <w:numId w:val="47"/>
        </w:numPr>
        <w:rPr>
          <w:lang w:bidi="he-IL"/>
        </w:rPr>
      </w:pPr>
      <w:r>
        <w:rPr>
          <w:rtl/>
          <w:lang w:bidi="he-IL"/>
        </w:rPr>
        <w:t>רבנן- אסור.</w:t>
      </w:r>
    </w:p>
    <w:p w14:paraId="53B276DB" w14:textId="77777777" w:rsidR="0009007A" w:rsidRDefault="00000000">
      <w:pPr>
        <w:pStyle w:val="FootnoteText"/>
        <w:numPr>
          <w:ilvl w:val="3"/>
          <w:numId w:val="47"/>
        </w:numPr>
        <w:rPr>
          <w:lang w:bidi="he-IL"/>
        </w:rPr>
      </w:pPr>
      <w:r>
        <w:rPr>
          <w:rtl/>
          <w:lang w:bidi="he-IL"/>
        </w:rPr>
        <w:t>רבי יהודה- מותר.</w:t>
      </w:r>
    </w:p>
  </w:footnote>
  <w:footnote w:id="350">
    <w:p w14:paraId="008681E9" w14:textId="77777777" w:rsidR="0009007A" w:rsidRDefault="00000000">
      <w:pPr>
        <w:pStyle w:val="FootnoteText"/>
        <w:rPr>
          <w:b/>
          <w:bCs/>
          <w:lang w:bidi="he-IL"/>
        </w:rPr>
      </w:pPr>
      <w:r>
        <w:rPr>
          <w:rStyle w:val="FootnoteCharacters"/>
        </w:rPr>
        <w:footnoteRef/>
      </w:r>
      <w:r>
        <w:rPr>
          <w:b/>
          <w:bCs/>
          <w:rtl/>
          <w:lang w:bidi="he-IL"/>
        </w:rPr>
        <w:tab/>
        <w:t>משנה ה:</w:t>
      </w:r>
    </w:p>
  </w:footnote>
  <w:footnote w:id="351">
    <w:p w14:paraId="43326CA9" w14:textId="77777777" w:rsidR="0009007A" w:rsidRDefault="00000000">
      <w:pPr>
        <w:pStyle w:val="FootnoteText"/>
        <w:rPr>
          <w:lang w:bidi="he-IL"/>
        </w:rPr>
      </w:pPr>
      <w:r>
        <w:rPr>
          <w:rStyle w:val="FootnoteCharacters"/>
        </w:rPr>
        <w:footnoteRef/>
      </w:r>
      <w:r>
        <w:rPr>
          <w:b/>
          <w:bCs/>
          <w:rtl/>
          <w:lang w:bidi="he-IL"/>
        </w:rPr>
        <w:tab/>
        <w:t>הקדמה:</w:t>
      </w:r>
    </w:p>
    <w:p w14:paraId="007F5EE6" w14:textId="77777777" w:rsidR="0009007A" w:rsidRDefault="00000000">
      <w:pPr>
        <w:pStyle w:val="FootnoteText"/>
        <w:rPr>
          <w:lang w:bidi="he-IL"/>
        </w:rPr>
      </w:pPr>
      <w:r>
        <w:rPr>
          <w:b/>
          <w:bCs/>
          <w:rtl/>
          <w:lang w:bidi="he-IL"/>
        </w:rPr>
        <w:tab/>
      </w:r>
      <w:r>
        <w:rPr>
          <w:rtl/>
          <w:lang w:bidi="he-IL"/>
        </w:rPr>
        <w:t>משנה זה מזכיר עוד ציורים של עשיית כלים, ואוסר אותם. רשי מעורר שלפי רבי יהודה (שמכשירי אוכ"נ מותר בי"ט), אלו מותרים, אם לא היה יכול לעשות אותו קודם י"ט. ממשיך לדבר בדין עצים- שמותרים רק לצורך הסקה, אם יש מוקצה- ואז מדבר בדין שאף אם יש מוקצה, אולי נאסר בעצים.</w:t>
      </w:r>
    </w:p>
  </w:footnote>
  <w:footnote w:id="352">
    <w:p w14:paraId="316851C8" w14:textId="77777777" w:rsidR="0009007A" w:rsidRDefault="00000000">
      <w:pPr>
        <w:pStyle w:val="FootnoteText"/>
        <w:rPr>
          <w:lang w:bidi="he-IL"/>
        </w:rPr>
      </w:pPr>
      <w:r>
        <w:rPr>
          <w:rStyle w:val="FootnoteCharacters"/>
        </w:rPr>
        <w:footnoteRef/>
      </w:r>
      <w:r>
        <w:rPr>
          <w:rtl/>
          <w:lang w:bidi="he-IL"/>
        </w:rPr>
        <w:tab/>
        <w:t xml:space="preserve">דרכם היה לצלות על חתיכת מלח. אבל, לפעמים נתחמם יותר מדי, ואז נתנו דבר בין המליח למתכת- חתיכת חרס או חתיכת נייר. (רשי </w:t>
      </w:r>
      <w:r>
        <w:rPr>
          <w:b/>
          <w:bCs/>
          <w:u w:val="single"/>
          <w:rtl/>
          <w:lang w:bidi="he-IL"/>
        </w:rPr>
        <w:t>לב:</w:t>
      </w:r>
      <w:r>
        <w:rPr>
          <w:rtl/>
          <w:lang w:bidi="he-IL"/>
        </w:rPr>
        <w:t xml:space="preserve">) אסור לעשות אותו דבר בי"ט, כיון שהוא כלי, ואסור לעשות כלי בי"ט. </w:t>
      </w:r>
      <w:r>
        <w:rPr>
          <w:b/>
          <w:bCs/>
          <w:u w:val="single"/>
          <w:rtl/>
          <w:lang w:bidi="he-IL"/>
        </w:rPr>
        <w:t>(לב:)</w:t>
      </w:r>
    </w:p>
  </w:footnote>
  <w:footnote w:id="353">
    <w:p w14:paraId="0A16304A" w14:textId="77777777" w:rsidR="0009007A" w:rsidRDefault="00000000">
      <w:pPr>
        <w:pStyle w:val="FootnoteText"/>
        <w:rPr>
          <w:lang w:bidi="he-IL"/>
        </w:rPr>
      </w:pPr>
      <w:r>
        <w:rPr>
          <w:rStyle w:val="FootnoteCharacters"/>
        </w:rPr>
        <w:footnoteRef/>
      </w:r>
      <w:r>
        <w:rPr>
          <w:rtl/>
          <w:lang w:bidi="he-IL"/>
        </w:rPr>
        <w:tab/>
        <w:t>להסיר את הפסולת מתוך התנור. אם עושה כן, מתקן את הכלי של תנור.</w:t>
      </w:r>
    </w:p>
  </w:footnote>
  <w:footnote w:id="354">
    <w:p w14:paraId="10474291" w14:textId="77777777" w:rsidR="0009007A" w:rsidRDefault="00000000">
      <w:pPr>
        <w:pStyle w:val="FootnoteText"/>
        <w:rPr>
          <w:lang w:bidi="he-IL"/>
        </w:rPr>
      </w:pPr>
      <w:r>
        <w:rPr>
          <w:rStyle w:val="FootnoteCharacters"/>
        </w:rPr>
        <w:footnoteRef/>
      </w:r>
      <w:r>
        <w:rPr>
          <w:rtl/>
          <w:lang w:bidi="he-IL"/>
        </w:rPr>
        <w:tab/>
        <w:t>משכיב ומשפיל את הפסולת עד שלא נוגע במה שאופה. (רשי</w:t>
      </w:r>
      <w:r>
        <w:rPr>
          <w:b/>
          <w:bCs/>
          <w:u w:val="single"/>
          <w:rtl/>
          <w:lang w:bidi="he-IL"/>
        </w:rPr>
        <w:t xml:space="preserve"> לב:</w:t>
      </w:r>
      <w:r>
        <w:rPr>
          <w:rtl/>
          <w:lang w:bidi="he-IL"/>
        </w:rPr>
        <w:t xml:space="preserve">) זה תיקון קטן, ואז מותר. </w:t>
      </w:r>
    </w:p>
  </w:footnote>
  <w:footnote w:id="355">
    <w:p w14:paraId="18D16EEF" w14:textId="77777777" w:rsidR="0009007A" w:rsidRDefault="00000000">
      <w:pPr>
        <w:pStyle w:val="FootnoteText"/>
        <w:rPr>
          <w:lang w:bidi="he-IL"/>
        </w:rPr>
      </w:pPr>
      <w:r>
        <w:rPr>
          <w:rStyle w:val="FootnoteCharacters"/>
        </w:rPr>
        <w:footnoteRef/>
      </w:r>
      <w:r>
        <w:rPr>
          <w:rtl/>
          <w:lang w:bidi="he-IL"/>
        </w:rPr>
        <w:tab/>
        <w:t xml:space="preserve">אין מקרבים אותם זה לזה, לתת עליהם קדרה. (רשי </w:t>
      </w:r>
      <w:r>
        <w:rPr>
          <w:b/>
          <w:bCs/>
          <w:u w:val="single"/>
          <w:rtl/>
          <w:lang w:bidi="he-IL"/>
        </w:rPr>
        <w:t>לב:</w:t>
      </w:r>
      <w:r>
        <w:rPr>
          <w:rtl/>
          <w:lang w:bidi="he-IL"/>
        </w:rPr>
        <w:t>)</w:t>
      </w:r>
    </w:p>
  </w:footnote>
  <w:footnote w:id="356">
    <w:p w14:paraId="35999623" w14:textId="77777777" w:rsidR="0009007A" w:rsidRDefault="00000000">
      <w:pPr>
        <w:pStyle w:val="FootnoteText"/>
      </w:pPr>
      <w:r>
        <w:rPr>
          <w:rStyle w:val="FootnoteCharacters"/>
        </w:rPr>
        <w:footnoteRef/>
      </w:r>
      <w:r>
        <w:rPr>
          <w:rtl/>
        </w:rPr>
        <w:tab/>
        <w:t xml:space="preserve">זה אסור כיון שהוא נראה כבנין עראי, כיון שבונה חביות עם קדרה עליהם. בנין כזה אסור בין אם יש לה גג ובין אם אין לה גג. </w:t>
      </w:r>
      <w:r>
        <w:rPr>
          <w:b/>
          <w:bCs/>
          <w:u w:val="single"/>
          <w:rtl/>
          <w:lang w:bidi="he-IL"/>
        </w:rPr>
        <w:t>(לב:)</w:t>
      </w:r>
    </w:p>
  </w:footnote>
  <w:footnote w:id="357">
    <w:p w14:paraId="60218D99" w14:textId="77777777" w:rsidR="0009007A" w:rsidRDefault="00000000">
      <w:pPr>
        <w:pStyle w:val="FootnoteText"/>
        <w:rPr>
          <w:lang w:bidi="he-IL"/>
        </w:rPr>
      </w:pPr>
      <w:r>
        <w:rPr>
          <w:rStyle w:val="FootnoteCharacters"/>
        </w:rPr>
        <w:footnoteRef/>
      </w:r>
      <w:r>
        <w:rPr>
          <w:rtl/>
          <w:lang w:bidi="he-IL"/>
        </w:rPr>
        <w:tab/>
        <w:t xml:space="preserve">גמ’ מפרש שאם עושה בשינוי, מותר. </w:t>
      </w:r>
      <w:r>
        <w:rPr>
          <w:b/>
          <w:bCs/>
          <w:u w:val="single"/>
          <w:rtl/>
          <w:lang w:bidi="he-IL"/>
        </w:rPr>
        <w:t>(לב:)</w:t>
      </w:r>
    </w:p>
  </w:footnote>
  <w:footnote w:id="358">
    <w:p w14:paraId="024216AE" w14:textId="77777777" w:rsidR="0009007A" w:rsidRDefault="00000000">
      <w:pPr>
        <w:pStyle w:val="FootnoteText"/>
        <w:rPr>
          <w:lang w:bidi="he-IL"/>
        </w:rPr>
      </w:pPr>
      <w:r>
        <w:rPr>
          <w:rStyle w:val="FootnoteCharacters"/>
        </w:rPr>
        <w:footnoteRef/>
      </w:r>
      <w:r>
        <w:rPr>
          <w:rtl/>
          <w:lang w:bidi="he-IL"/>
        </w:rPr>
        <w:tab/>
        <w:t>רצה לומר, וכן אין סומכים את הדלת בבקעת.</w:t>
      </w:r>
    </w:p>
  </w:footnote>
  <w:footnote w:id="359">
    <w:p w14:paraId="3C6CBA7F" w14:textId="77777777" w:rsidR="0009007A" w:rsidRDefault="00000000">
      <w:pPr>
        <w:pStyle w:val="FootnoteText"/>
        <w:rPr>
          <w:lang w:bidi="he-IL"/>
        </w:rPr>
      </w:pPr>
      <w:r>
        <w:rPr>
          <w:rStyle w:val="FootnoteCharacters"/>
        </w:rPr>
        <w:footnoteRef/>
      </w:r>
      <w:r>
        <w:rPr>
          <w:rtl/>
          <w:lang w:bidi="he-IL"/>
        </w:rPr>
        <w:tab/>
        <w:t xml:space="preserve">רצה לומר, אין משתמשים בחתיכות של עצים כדי לסמוך את הקדרה. תנא זו סובר שיש מוקצה, ועצים רק מותרים בשריפה. אז, רבי שמעון חולק על זה. </w:t>
      </w:r>
      <w:r>
        <w:rPr>
          <w:b/>
          <w:bCs/>
          <w:u w:val="single"/>
          <w:rtl/>
          <w:lang w:bidi="he-IL"/>
        </w:rPr>
        <w:t>(לג.)</w:t>
      </w:r>
    </w:p>
  </w:footnote>
  <w:footnote w:id="360">
    <w:p w14:paraId="323B7733" w14:textId="77777777" w:rsidR="0009007A" w:rsidRDefault="00000000">
      <w:pPr>
        <w:pStyle w:val="FootnoteText"/>
        <w:rPr>
          <w:lang w:bidi="he-IL"/>
        </w:rPr>
      </w:pPr>
      <w:r>
        <w:rPr>
          <w:rStyle w:val="FootnoteCharacters"/>
        </w:rPr>
        <w:footnoteRef/>
      </w:r>
      <w:r>
        <w:rPr>
          <w:rtl/>
          <w:lang w:bidi="he-IL"/>
        </w:rPr>
        <w:tab/>
        <w:t>יש שתי סיבות לדין זה:</w:t>
      </w:r>
    </w:p>
    <w:p w14:paraId="2E58C0EF" w14:textId="77777777" w:rsidR="0009007A" w:rsidRDefault="00000000">
      <w:pPr>
        <w:pStyle w:val="FootnoteText"/>
        <w:numPr>
          <w:ilvl w:val="0"/>
          <w:numId w:val="48"/>
        </w:numPr>
        <w:rPr>
          <w:lang w:bidi="he-IL"/>
        </w:rPr>
      </w:pPr>
      <w:r>
        <w:rPr>
          <w:rtl/>
          <w:lang w:bidi="he-IL"/>
        </w:rPr>
        <w:t>אם יש מוקצה, אסור כיון שמשתמש בעצים שלא לשריפה.</w:t>
      </w:r>
    </w:p>
    <w:p w14:paraId="1DEE6FC3" w14:textId="77777777" w:rsidR="0009007A" w:rsidRDefault="00000000">
      <w:pPr>
        <w:pStyle w:val="FootnoteText"/>
        <w:numPr>
          <w:ilvl w:val="0"/>
          <w:numId w:val="48"/>
        </w:numPr>
        <w:rPr>
          <w:lang w:bidi="he-IL"/>
        </w:rPr>
      </w:pPr>
      <w:r>
        <w:rPr>
          <w:rtl/>
          <w:lang w:bidi="he-IL"/>
        </w:rPr>
        <w:t xml:space="preserve">אף אם אין מוקצה, נראה כהולך לשוק למכור, וזה אסור בי"ט. </w:t>
      </w:r>
      <w:r>
        <w:rPr>
          <w:b/>
          <w:bCs/>
          <w:u w:val="single"/>
          <w:rtl/>
          <w:lang w:bidi="he-IL"/>
        </w:rPr>
        <w:t>(לג.)</w:t>
      </w:r>
    </w:p>
  </w:footnote>
  <w:footnote w:id="361">
    <w:p w14:paraId="5F4244A2" w14:textId="77777777" w:rsidR="0009007A" w:rsidRDefault="00000000">
      <w:pPr>
        <w:pStyle w:val="FootnoteText"/>
        <w:rPr>
          <w:lang w:bidi="he-IL"/>
        </w:rPr>
      </w:pPr>
      <w:r>
        <w:rPr>
          <w:rStyle w:val="FootnoteCharacters"/>
        </w:rPr>
        <w:footnoteRef/>
      </w:r>
      <w:r>
        <w:rPr>
          <w:rtl/>
          <w:lang w:bidi="he-IL"/>
        </w:rPr>
        <w:tab/>
        <w:t>לא חושש לשני הבעיות.</w:t>
      </w:r>
    </w:p>
  </w:footnote>
  <w:footnote w:id="362">
    <w:p w14:paraId="0C4FEEEB"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18D6EB5" w14:textId="77777777" w:rsidR="0009007A" w:rsidRDefault="00000000">
      <w:pPr>
        <w:pStyle w:val="FootnoteText"/>
        <w:numPr>
          <w:ilvl w:val="0"/>
          <w:numId w:val="49"/>
        </w:numPr>
        <w:rPr>
          <w:lang w:bidi="he-IL"/>
        </w:rPr>
      </w:pPr>
      <w:r>
        <w:rPr>
          <w:rtl/>
          <w:lang w:bidi="he-IL"/>
        </w:rPr>
        <w:t>לעשות כלי לצורך אכ"נ-</w:t>
      </w:r>
    </w:p>
    <w:p w14:paraId="59DCFE94" w14:textId="77777777" w:rsidR="0009007A" w:rsidRDefault="00000000">
      <w:pPr>
        <w:pStyle w:val="FootnoteText"/>
        <w:numPr>
          <w:ilvl w:val="1"/>
          <w:numId w:val="49"/>
        </w:numPr>
        <w:rPr>
          <w:lang w:bidi="he-IL"/>
        </w:rPr>
      </w:pPr>
      <w:r>
        <w:rPr>
          <w:rtl/>
          <w:lang w:bidi="he-IL"/>
        </w:rPr>
        <w:t>רבנן- אסור.</w:t>
      </w:r>
    </w:p>
    <w:p w14:paraId="0E1F521B" w14:textId="77777777" w:rsidR="0009007A" w:rsidRDefault="00000000">
      <w:pPr>
        <w:pStyle w:val="FootnoteText"/>
        <w:numPr>
          <w:ilvl w:val="1"/>
          <w:numId w:val="49"/>
        </w:numPr>
        <w:rPr>
          <w:lang w:bidi="he-IL"/>
        </w:rPr>
      </w:pPr>
      <w:r>
        <w:rPr>
          <w:rtl/>
          <w:lang w:bidi="he-IL"/>
        </w:rPr>
        <w:t>רבי יהודה- מותר.</w:t>
      </w:r>
    </w:p>
    <w:p w14:paraId="629D7D38" w14:textId="77777777" w:rsidR="0009007A" w:rsidRDefault="00000000">
      <w:pPr>
        <w:pStyle w:val="FootnoteText"/>
        <w:numPr>
          <w:ilvl w:val="0"/>
          <w:numId w:val="49"/>
        </w:numPr>
        <w:rPr>
          <w:lang w:bidi="he-IL"/>
        </w:rPr>
      </w:pPr>
      <w:r>
        <w:rPr>
          <w:rtl/>
          <w:lang w:bidi="he-IL"/>
        </w:rPr>
        <w:t>לעשות בנין עראי בי"ט-</w:t>
      </w:r>
    </w:p>
    <w:p w14:paraId="4ED9BC03" w14:textId="77777777" w:rsidR="0009007A" w:rsidRDefault="00000000">
      <w:pPr>
        <w:pStyle w:val="FootnoteText"/>
        <w:numPr>
          <w:ilvl w:val="1"/>
          <w:numId w:val="49"/>
        </w:numPr>
        <w:rPr>
          <w:lang w:bidi="he-IL"/>
        </w:rPr>
      </w:pPr>
      <w:r>
        <w:rPr>
          <w:rtl/>
          <w:lang w:bidi="he-IL"/>
        </w:rPr>
        <w:t>עם שינוי- מותר.</w:t>
      </w:r>
    </w:p>
    <w:p w14:paraId="120EA3CC" w14:textId="77777777" w:rsidR="0009007A" w:rsidRDefault="00000000">
      <w:pPr>
        <w:pStyle w:val="FootnoteText"/>
        <w:numPr>
          <w:ilvl w:val="1"/>
          <w:numId w:val="49"/>
        </w:numPr>
        <w:rPr>
          <w:lang w:bidi="he-IL"/>
        </w:rPr>
      </w:pPr>
      <w:r>
        <w:rPr>
          <w:rtl/>
          <w:lang w:bidi="he-IL"/>
        </w:rPr>
        <w:t>בלי שינוי- אסור.</w:t>
      </w:r>
    </w:p>
    <w:p w14:paraId="56AE8161" w14:textId="77777777" w:rsidR="0009007A" w:rsidRDefault="00000000">
      <w:pPr>
        <w:pStyle w:val="FootnoteText"/>
        <w:numPr>
          <w:ilvl w:val="0"/>
          <w:numId w:val="49"/>
        </w:numPr>
        <w:rPr>
          <w:lang w:bidi="he-IL"/>
        </w:rPr>
      </w:pPr>
      <w:r>
        <w:rPr>
          <w:rtl/>
          <w:lang w:bidi="he-IL"/>
        </w:rPr>
        <w:t>להשתמש בעצים:</w:t>
      </w:r>
    </w:p>
    <w:p w14:paraId="7FA64FE2" w14:textId="77777777" w:rsidR="0009007A" w:rsidRDefault="00000000">
      <w:pPr>
        <w:pStyle w:val="FootnoteText"/>
        <w:numPr>
          <w:ilvl w:val="1"/>
          <w:numId w:val="49"/>
        </w:numPr>
        <w:rPr>
          <w:lang w:bidi="he-IL"/>
        </w:rPr>
      </w:pPr>
      <w:r>
        <w:rPr>
          <w:rtl/>
          <w:lang w:bidi="he-IL"/>
        </w:rPr>
        <w:t>שלא לצורך הסקה:</w:t>
      </w:r>
    </w:p>
    <w:p w14:paraId="2A5395A7" w14:textId="77777777" w:rsidR="0009007A" w:rsidRDefault="00000000">
      <w:pPr>
        <w:pStyle w:val="FootnoteText"/>
        <w:numPr>
          <w:ilvl w:val="2"/>
          <w:numId w:val="49"/>
        </w:numPr>
        <w:rPr>
          <w:lang w:bidi="he-IL"/>
        </w:rPr>
      </w:pPr>
      <w:r>
        <w:rPr>
          <w:rtl/>
          <w:lang w:bidi="he-IL"/>
        </w:rPr>
        <w:t>אם יש מוקצה- אסור.</w:t>
      </w:r>
    </w:p>
    <w:p w14:paraId="63A0E794" w14:textId="77777777" w:rsidR="0009007A" w:rsidRDefault="00000000">
      <w:pPr>
        <w:pStyle w:val="FootnoteText"/>
        <w:numPr>
          <w:ilvl w:val="2"/>
          <w:numId w:val="49"/>
        </w:numPr>
        <w:rPr>
          <w:lang w:bidi="he-IL"/>
        </w:rPr>
      </w:pPr>
      <w:r>
        <w:rPr>
          <w:rtl/>
          <w:lang w:bidi="he-IL"/>
        </w:rPr>
        <w:t>אם אין מוקצה- מותר.</w:t>
      </w:r>
    </w:p>
    <w:p w14:paraId="2EE116A6" w14:textId="77777777" w:rsidR="0009007A" w:rsidRDefault="00000000">
      <w:pPr>
        <w:pStyle w:val="FootnoteText"/>
        <w:numPr>
          <w:ilvl w:val="1"/>
          <w:numId w:val="49"/>
        </w:numPr>
        <w:rPr>
          <w:lang w:bidi="he-IL"/>
        </w:rPr>
      </w:pPr>
      <w:r>
        <w:rPr>
          <w:rtl/>
          <w:lang w:bidi="he-IL"/>
        </w:rPr>
        <w:t>להכות בבהמה:</w:t>
      </w:r>
    </w:p>
    <w:p w14:paraId="0C2E97C7" w14:textId="77777777" w:rsidR="0009007A" w:rsidRDefault="00000000">
      <w:pPr>
        <w:pStyle w:val="FootnoteText"/>
        <w:numPr>
          <w:ilvl w:val="2"/>
          <w:numId w:val="49"/>
        </w:numPr>
        <w:rPr>
          <w:lang w:bidi="he-IL"/>
        </w:rPr>
      </w:pPr>
      <w:r>
        <w:rPr>
          <w:rtl/>
          <w:lang w:bidi="he-IL"/>
        </w:rPr>
        <w:t>ת"ק- אסור.</w:t>
      </w:r>
    </w:p>
    <w:p w14:paraId="72816CFB" w14:textId="77777777" w:rsidR="0009007A" w:rsidRDefault="00000000">
      <w:pPr>
        <w:pStyle w:val="FootnoteText"/>
        <w:numPr>
          <w:ilvl w:val="2"/>
          <w:numId w:val="49"/>
        </w:numPr>
        <w:rPr>
          <w:lang w:bidi="he-IL"/>
        </w:rPr>
      </w:pPr>
      <w:r>
        <w:rPr>
          <w:rtl/>
          <w:lang w:bidi="he-IL"/>
        </w:rPr>
        <w:t>ראב"ש- מותר.</w:t>
      </w:r>
    </w:p>
  </w:footnote>
  <w:footnote w:id="363">
    <w:p w14:paraId="6A3EC228" w14:textId="77777777" w:rsidR="0009007A" w:rsidRDefault="00000000">
      <w:pPr>
        <w:pStyle w:val="FootnoteText"/>
        <w:rPr>
          <w:b/>
          <w:bCs/>
          <w:lang w:bidi="he-IL"/>
        </w:rPr>
      </w:pPr>
      <w:r>
        <w:rPr>
          <w:rStyle w:val="FootnoteCharacters"/>
        </w:rPr>
        <w:footnoteRef/>
      </w:r>
      <w:r>
        <w:rPr>
          <w:b/>
          <w:bCs/>
          <w:rtl/>
          <w:lang w:bidi="he-IL"/>
        </w:rPr>
        <w:tab/>
        <w:t>משנה ו:</w:t>
      </w:r>
    </w:p>
  </w:footnote>
  <w:footnote w:id="364">
    <w:p w14:paraId="04AB64CE" w14:textId="77777777" w:rsidR="0009007A" w:rsidRDefault="00000000">
      <w:pPr>
        <w:pStyle w:val="FootnoteText"/>
        <w:rPr>
          <w:b/>
          <w:bCs/>
          <w:lang w:bidi="he-IL"/>
        </w:rPr>
      </w:pPr>
      <w:r>
        <w:rPr>
          <w:rStyle w:val="FootnoteCharacters"/>
        </w:rPr>
        <w:footnoteRef/>
      </w:r>
      <w:r>
        <w:rPr>
          <w:b/>
          <w:bCs/>
          <w:rtl/>
          <w:lang w:bidi="he-IL"/>
        </w:rPr>
        <w:tab/>
        <w:t>הקדמה:</w:t>
      </w:r>
    </w:p>
    <w:p w14:paraId="3E46F85F" w14:textId="77777777" w:rsidR="0009007A" w:rsidRDefault="00000000">
      <w:pPr>
        <w:pStyle w:val="FootnoteText"/>
        <w:rPr>
          <w:lang w:bidi="he-IL"/>
        </w:rPr>
      </w:pPr>
      <w:r>
        <w:rPr>
          <w:rtl/>
          <w:lang w:bidi="he-IL"/>
        </w:rPr>
        <w:tab/>
        <w:t>משנה זה ממשיך מן המשנה שלפניו, ומבאר דיני לקיחת עצים- מה מוקצה, ולאיזה תשמיש מוקצה.</w:t>
      </w:r>
    </w:p>
  </w:footnote>
  <w:footnote w:id="365">
    <w:p w14:paraId="43B31D91" w14:textId="77777777" w:rsidR="0009007A" w:rsidRDefault="00000000">
      <w:pPr>
        <w:pStyle w:val="FootnoteText"/>
        <w:rPr>
          <w:lang w:bidi="he-IL"/>
        </w:rPr>
      </w:pPr>
      <w:r>
        <w:rPr>
          <w:rStyle w:val="FootnoteCharacters"/>
        </w:rPr>
        <w:footnoteRef/>
      </w:r>
      <w:r>
        <w:rPr>
          <w:rtl/>
          <w:lang w:bidi="he-IL"/>
        </w:rPr>
        <w:tab/>
        <w:t xml:space="preserve">באמת, נוטל מכל החצר, שכל החצר מוכן. (רשי </w:t>
      </w:r>
      <w:r>
        <w:rPr>
          <w:b/>
          <w:bCs/>
          <w:u w:val="single"/>
          <w:rtl/>
          <w:lang w:bidi="he-IL"/>
        </w:rPr>
        <w:t>לג.</w:t>
      </w:r>
      <w:r>
        <w:rPr>
          <w:rtl/>
          <w:lang w:bidi="he-IL"/>
        </w:rPr>
        <w:t>)</w:t>
      </w:r>
    </w:p>
  </w:footnote>
  <w:footnote w:id="366">
    <w:p w14:paraId="49822156" w14:textId="77777777" w:rsidR="0009007A" w:rsidRDefault="00000000">
      <w:pPr>
        <w:pStyle w:val="FootnoteText"/>
        <w:rPr>
          <w:lang w:bidi="he-IL"/>
        </w:rPr>
      </w:pPr>
      <w:r>
        <w:rPr>
          <w:rStyle w:val="FootnoteCharacters"/>
        </w:rPr>
        <w:footnoteRef/>
      </w:r>
      <w:r>
        <w:rPr>
          <w:rtl/>
          <w:lang w:bidi="he-IL"/>
        </w:rPr>
        <w:tab/>
        <w:t xml:space="preserve">בא לחדש שמותר להשתמש בהם שלא לצורך הסקה, ודלא כמשנה שלפני זה. (רשי </w:t>
      </w:r>
      <w:r>
        <w:rPr>
          <w:b/>
          <w:bCs/>
          <w:u w:val="single"/>
          <w:rtl/>
          <w:lang w:bidi="he-IL"/>
        </w:rPr>
        <w:t>לג.</w:t>
      </w:r>
      <w:r>
        <w:rPr>
          <w:rtl/>
          <w:lang w:bidi="he-IL"/>
        </w:rPr>
        <w:t>)</w:t>
      </w:r>
    </w:p>
  </w:footnote>
  <w:footnote w:id="367">
    <w:p w14:paraId="2045BC08" w14:textId="77777777" w:rsidR="0009007A" w:rsidRDefault="00000000">
      <w:pPr>
        <w:pStyle w:val="FootnoteText"/>
        <w:rPr>
          <w:lang w:bidi="he-IL"/>
        </w:rPr>
      </w:pPr>
      <w:r>
        <w:rPr>
          <w:rStyle w:val="FootnoteCharacters"/>
        </w:rPr>
        <w:footnoteRef/>
      </w:r>
      <w:r>
        <w:rPr>
          <w:rtl/>
          <w:lang w:bidi="he-IL"/>
        </w:rPr>
        <w:tab/>
        <w:t xml:space="preserve">חולקים אם מותר לעשות ציבורים או אסור (כיון שנ’ כעושה מלאכה לצורך מחר). </w:t>
      </w:r>
      <w:r>
        <w:rPr>
          <w:b/>
          <w:bCs/>
          <w:u w:val="single"/>
          <w:rtl/>
          <w:lang w:bidi="he-IL"/>
        </w:rPr>
        <w:t>(לג.)</w:t>
      </w:r>
    </w:p>
  </w:footnote>
  <w:footnote w:id="368">
    <w:p w14:paraId="2E4B45F1" w14:textId="77777777" w:rsidR="0009007A" w:rsidRDefault="00000000">
      <w:pPr>
        <w:pStyle w:val="FootnoteText"/>
        <w:rPr>
          <w:lang w:bidi="he-IL"/>
        </w:rPr>
      </w:pPr>
      <w:r>
        <w:rPr>
          <w:rStyle w:val="FootnoteCharacters"/>
        </w:rPr>
        <w:footnoteRef/>
      </w:r>
      <w:r>
        <w:rPr>
          <w:rtl/>
          <w:lang w:bidi="he-IL"/>
        </w:rPr>
        <w:tab/>
        <w:t xml:space="preserve">מרשי </w:t>
      </w:r>
      <w:r>
        <w:rPr>
          <w:b/>
          <w:bCs/>
          <w:u w:val="single"/>
          <w:rtl/>
          <w:lang w:bidi="he-IL"/>
        </w:rPr>
        <w:t>(לג.)</w:t>
      </w:r>
      <w:r>
        <w:rPr>
          <w:rtl/>
          <w:lang w:bidi="he-IL"/>
        </w:rPr>
        <w:t xml:space="preserve"> משמע שמתירים ליטול מכל הבית.</w:t>
      </w:r>
    </w:p>
  </w:footnote>
  <w:footnote w:id="369">
    <w:p w14:paraId="18C6E986" w14:textId="77777777" w:rsidR="0009007A" w:rsidRDefault="00000000">
      <w:pPr>
        <w:pStyle w:val="FootnoteText"/>
        <w:rPr>
          <w:lang w:bidi="he-IL"/>
        </w:rPr>
      </w:pPr>
      <w:r>
        <w:rPr>
          <w:rStyle w:val="FootnoteCharacters"/>
        </w:rPr>
        <w:footnoteRef/>
      </w:r>
      <w:r>
        <w:rPr>
          <w:rtl/>
          <w:lang w:bidi="he-IL"/>
        </w:rPr>
        <w:tab/>
        <w:t>נמצא שחולקים על שני הנקודות שאמר ר"א.</w:t>
      </w:r>
    </w:p>
  </w:footnote>
  <w:footnote w:id="370">
    <w:p w14:paraId="21F96B49"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8958C6F" w14:textId="77777777" w:rsidR="0009007A" w:rsidRDefault="00000000">
      <w:pPr>
        <w:pStyle w:val="FootnoteText"/>
        <w:numPr>
          <w:ilvl w:val="0"/>
          <w:numId w:val="50"/>
        </w:numPr>
        <w:rPr>
          <w:lang w:bidi="he-IL"/>
        </w:rPr>
      </w:pPr>
      <w:r>
        <w:rPr>
          <w:rtl/>
          <w:lang w:bidi="he-IL"/>
        </w:rPr>
        <w:t>עצים מן החצר:</w:t>
      </w:r>
    </w:p>
    <w:p w14:paraId="1C397204" w14:textId="77777777" w:rsidR="0009007A" w:rsidRDefault="00000000">
      <w:pPr>
        <w:pStyle w:val="FootnoteText"/>
        <w:numPr>
          <w:ilvl w:val="1"/>
          <w:numId w:val="50"/>
        </w:numPr>
        <w:rPr>
          <w:lang w:bidi="he-IL"/>
        </w:rPr>
      </w:pPr>
      <w:r>
        <w:rPr>
          <w:rtl/>
          <w:lang w:bidi="he-IL"/>
        </w:rPr>
        <w:t>רבנן- אסור.</w:t>
      </w:r>
    </w:p>
    <w:p w14:paraId="62D7C84F" w14:textId="77777777" w:rsidR="0009007A" w:rsidRDefault="00000000">
      <w:pPr>
        <w:pStyle w:val="FootnoteText"/>
        <w:numPr>
          <w:ilvl w:val="1"/>
          <w:numId w:val="50"/>
        </w:numPr>
        <w:rPr>
          <w:lang w:bidi="he-IL"/>
        </w:rPr>
      </w:pPr>
      <w:r>
        <w:rPr>
          <w:rtl/>
          <w:lang w:bidi="he-IL"/>
        </w:rPr>
        <w:t>רבי אליעזר- מותר.</w:t>
      </w:r>
    </w:p>
    <w:p w14:paraId="0B2C7C22" w14:textId="77777777" w:rsidR="0009007A" w:rsidRDefault="00000000">
      <w:pPr>
        <w:pStyle w:val="FootnoteText"/>
        <w:numPr>
          <w:ilvl w:val="0"/>
          <w:numId w:val="50"/>
        </w:numPr>
        <w:rPr>
          <w:lang w:bidi="he-IL"/>
        </w:rPr>
      </w:pPr>
      <w:r>
        <w:rPr>
          <w:rtl/>
          <w:lang w:bidi="he-IL"/>
        </w:rPr>
        <w:t>עצים מן הבית:</w:t>
      </w:r>
    </w:p>
    <w:p w14:paraId="44A2DA60" w14:textId="77777777" w:rsidR="0009007A" w:rsidRDefault="00000000">
      <w:pPr>
        <w:pStyle w:val="FootnoteText"/>
        <w:numPr>
          <w:ilvl w:val="1"/>
          <w:numId w:val="50"/>
        </w:numPr>
        <w:rPr>
          <w:lang w:bidi="he-IL"/>
        </w:rPr>
      </w:pPr>
      <w:r>
        <w:rPr>
          <w:rtl/>
          <w:lang w:bidi="he-IL"/>
        </w:rPr>
        <w:t>להסקה- מותר.</w:t>
      </w:r>
    </w:p>
    <w:p w14:paraId="36A06D4B" w14:textId="77777777" w:rsidR="0009007A" w:rsidRDefault="00000000">
      <w:pPr>
        <w:pStyle w:val="FootnoteText"/>
        <w:numPr>
          <w:ilvl w:val="1"/>
          <w:numId w:val="50"/>
        </w:numPr>
        <w:rPr>
          <w:lang w:bidi="he-IL"/>
        </w:rPr>
      </w:pPr>
      <w:r>
        <w:rPr>
          <w:rtl/>
          <w:lang w:bidi="he-IL"/>
        </w:rPr>
        <w:t>לשאר תשמישים-</w:t>
      </w:r>
    </w:p>
    <w:p w14:paraId="438D969C" w14:textId="77777777" w:rsidR="0009007A" w:rsidRDefault="00000000">
      <w:pPr>
        <w:pStyle w:val="FootnoteText"/>
        <w:numPr>
          <w:ilvl w:val="2"/>
          <w:numId w:val="50"/>
        </w:numPr>
        <w:rPr>
          <w:lang w:bidi="he-IL"/>
        </w:rPr>
      </w:pPr>
      <w:r>
        <w:rPr>
          <w:rtl/>
          <w:lang w:bidi="he-IL"/>
        </w:rPr>
        <w:t>רבי אליעזר- מותר.</w:t>
      </w:r>
    </w:p>
    <w:p w14:paraId="29D7B9A3" w14:textId="77777777" w:rsidR="0009007A" w:rsidRDefault="00000000">
      <w:pPr>
        <w:pStyle w:val="FootnoteText"/>
        <w:numPr>
          <w:ilvl w:val="2"/>
          <w:numId w:val="50"/>
        </w:numPr>
        <w:rPr>
          <w:lang w:bidi="he-IL"/>
        </w:rPr>
      </w:pPr>
      <w:r>
        <w:rPr>
          <w:rtl/>
          <w:lang w:bidi="he-IL"/>
        </w:rPr>
        <w:t>רבנן- אסור.</w:t>
      </w:r>
    </w:p>
  </w:footnote>
  <w:footnote w:id="371">
    <w:p w14:paraId="53F96952" w14:textId="77777777" w:rsidR="0009007A" w:rsidRDefault="00000000">
      <w:pPr>
        <w:pStyle w:val="FootnoteText"/>
        <w:rPr>
          <w:b/>
          <w:bCs/>
          <w:lang w:bidi="he-IL"/>
        </w:rPr>
      </w:pPr>
      <w:r>
        <w:rPr>
          <w:rStyle w:val="FootnoteCharacters"/>
        </w:rPr>
        <w:footnoteRef/>
      </w:r>
      <w:r>
        <w:rPr>
          <w:b/>
          <w:bCs/>
          <w:rtl/>
          <w:lang w:bidi="he-IL"/>
        </w:rPr>
        <w:tab/>
        <w:t>משנה ז:</w:t>
      </w:r>
    </w:p>
  </w:footnote>
  <w:footnote w:id="372">
    <w:p w14:paraId="224A5717" w14:textId="77777777" w:rsidR="0009007A" w:rsidRDefault="00000000">
      <w:pPr>
        <w:pStyle w:val="FootnoteText"/>
        <w:rPr>
          <w:lang w:bidi="he-IL"/>
        </w:rPr>
      </w:pPr>
      <w:r>
        <w:rPr>
          <w:rStyle w:val="FootnoteCharacters"/>
        </w:rPr>
        <w:footnoteRef/>
      </w:r>
      <w:r>
        <w:rPr>
          <w:rtl/>
          <w:lang w:bidi="he-IL"/>
        </w:rPr>
        <w:tab/>
        <w:t>משנה זה מדבר בהרבה דבדרים. מתחיל באיסור לברוא אש בי"ט, ממשיך לדון בליבון רעפים (שאוסר לאיזה סיבה), וממשיך לדון אם יש ברירה במוקצה.</w:t>
      </w:r>
    </w:p>
  </w:footnote>
  <w:footnote w:id="373">
    <w:p w14:paraId="18FBE134" w14:textId="77777777" w:rsidR="0009007A" w:rsidRDefault="00000000">
      <w:pPr>
        <w:pStyle w:val="FootnoteText"/>
        <w:rPr>
          <w:lang w:bidi="he-IL"/>
        </w:rPr>
      </w:pPr>
      <w:r>
        <w:rPr>
          <w:rStyle w:val="FootnoteCharacters"/>
        </w:rPr>
        <w:footnoteRef/>
      </w:r>
      <w:r>
        <w:rPr>
          <w:rtl/>
          <w:lang w:bidi="he-IL"/>
        </w:rPr>
        <w:tab/>
        <w:t xml:space="preserve">גמ’ לא מפרש למה אסור, אבל רשי </w:t>
      </w:r>
      <w:r>
        <w:rPr>
          <w:b/>
          <w:bCs/>
          <w:u w:val="single"/>
          <w:rtl/>
          <w:lang w:bidi="he-IL"/>
        </w:rPr>
        <w:t>(לג.)</w:t>
      </w:r>
      <w:r>
        <w:rPr>
          <w:rtl/>
          <w:lang w:bidi="he-IL"/>
        </w:rPr>
        <w:t xml:space="preserve"> מפרש שהוא מפני שמוליד דבר, שהוא כעין מלאכה. עיין לעיל בגמ’ שחלקו אמוראים אם אסור להוליד ריח.</w:t>
      </w:r>
    </w:p>
  </w:footnote>
  <w:footnote w:id="374">
    <w:p w14:paraId="11FB452F" w14:textId="77777777" w:rsidR="0009007A" w:rsidRDefault="00000000">
      <w:pPr>
        <w:pStyle w:val="FootnoteText"/>
        <w:rPr>
          <w:lang w:bidi="he-IL"/>
        </w:rPr>
      </w:pPr>
      <w:r>
        <w:rPr>
          <w:rStyle w:val="FootnoteCharacters"/>
        </w:rPr>
        <w:footnoteRef/>
      </w:r>
      <w:r>
        <w:rPr>
          <w:rtl/>
          <w:lang w:bidi="he-IL"/>
        </w:rPr>
        <w:tab/>
        <w:t>לכאו’, הוא שמכים שני עצים זה בזה עד שיוצא שלהבת. כיון שנותנים אותו קרוב לעצים, השלהבת נעשה אש.</w:t>
      </w:r>
    </w:p>
  </w:footnote>
  <w:footnote w:id="375">
    <w:p w14:paraId="6F99E5E0" w14:textId="77777777" w:rsidR="0009007A" w:rsidRDefault="00000000">
      <w:pPr>
        <w:pStyle w:val="FootnoteText"/>
        <w:rPr>
          <w:lang w:bidi="he-IL"/>
        </w:rPr>
      </w:pPr>
      <w:r>
        <w:rPr>
          <w:rStyle w:val="FootnoteCharacters"/>
        </w:rPr>
        <w:footnoteRef/>
      </w:r>
      <w:r>
        <w:rPr>
          <w:rtl/>
          <w:lang w:bidi="he-IL"/>
        </w:rPr>
        <w:tab/>
        <w:t xml:space="preserve">מכים שני אבנים זה בזה עד שיוצא שלהבת, כמו שפרשנו גבי עץ. </w:t>
      </w:r>
    </w:p>
  </w:footnote>
  <w:footnote w:id="376">
    <w:p w14:paraId="7E14BF5A" w14:textId="77777777" w:rsidR="0009007A" w:rsidRDefault="00000000">
      <w:pPr>
        <w:pStyle w:val="FootnoteText"/>
        <w:rPr>
          <w:lang w:bidi="he-IL"/>
        </w:rPr>
      </w:pPr>
      <w:r>
        <w:rPr>
          <w:rStyle w:val="FootnoteCharacters"/>
        </w:rPr>
        <w:footnoteRef/>
      </w:r>
      <w:r>
        <w:rPr>
          <w:rtl/>
          <w:lang w:bidi="he-IL"/>
        </w:rPr>
        <w:tab/>
        <w:t>איני יודע איך להוציא אש מן העפר.</w:t>
      </w:r>
    </w:p>
  </w:footnote>
  <w:footnote w:id="377">
    <w:p w14:paraId="7CFDDEFF" w14:textId="77777777" w:rsidR="0009007A" w:rsidRDefault="00000000">
      <w:pPr>
        <w:pStyle w:val="FootnoteText"/>
        <w:rPr>
          <w:lang w:bidi="he-IL"/>
        </w:rPr>
      </w:pPr>
      <w:r>
        <w:rPr>
          <w:rStyle w:val="FootnoteCharacters"/>
        </w:rPr>
        <w:footnoteRef/>
      </w:r>
      <w:r>
        <w:rPr>
          <w:rtl/>
          <w:lang w:bidi="he-IL"/>
        </w:rPr>
        <w:tab/>
        <w:t xml:space="preserve">רשי מפרש </w:t>
      </w:r>
      <w:r>
        <w:rPr>
          <w:b/>
          <w:bCs/>
          <w:u w:val="single"/>
          <w:rtl/>
          <w:lang w:bidi="he-IL"/>
        </w:rPr>
        <w:t>(לג.)</w:t>
      </w:r>
      <w:r>
        <w:rPr>
          <w:rtl/>
          <w:lang w:bidi="he-IL"/>
        </w:rPr>
        <w:t xml:space="preserve"> שנותנים מים בכלי זכוכית, ונותנים אותו בשמש.</w:t>
      </w:r>
    </w:p>
  </w:footnote>
  <w:footnote w:id="378">
    <w:p w14:paraId="3260CDDB" w14:textId="77777777" w:rsidR="0009007A" w:rsidRDefault="00000000">
      <w:pPr>
        <w:pStyle w:val="FootnoteText"/>
        <w:rPr>
          <w:lang w:bidi="he-IL"/>
        </w:rPr>
      </w:pPr>
      <w:r>
        <w:rPr>
          <w:rStyle w:val="FootnoteCharacters"/>
        </w:rPr>
        <w:footnoteRef/>
      </w:r>
      <w:r>
        <w:rPr>
          <w:rtl/>
          <w:lang w:bidi="he-IL"/>
        </w:rPr>
        <w:tab/>
        <w:t xml:space="preserve">גמ’ אומר </w:t>
      </w:r>
      <w:r>
        <w:rPr>
          <w:b/>
          <w:bCs/>
          <w:u w:val="single"/>
          <w:rtl/>
          <w:lang w:bidi="he-IL"/>
        </w:rPr>
        <w:t>(לד.)</w:t>
      </w:r>
      <w:r>
        <w:rPr>
          <w:rtl/>
          <w:lang w:bidi="he-IL"/>
        </w:rPr>
        <w:t xml:space="preserve"> רק בחדש. נותן שני סיבות לזה:</w:t>
      </w:r>
    </w:p>
    <w:p w14:paraId="46C60FB8" w14:textId="77777777" w:rsidR="0009007A" w:rsidRDefault="00000000">
      <w:pPr>
        <w:pStyle w:val="FootnoteText"/>
        <w:numPr>
          <w:ilvl w:val="0"/>
          <w:numId w:val="51"/>
        </w:numPr>
        <w:rPr>
          <w:lang w:bidi="he-IL"/>
        </w:rPr>
      </w:pPr>
      <w:r>
        <w:rPr>
          <w:rtl/>
          <w:lang w:bidi="he-IL"/>
        </w:rPr>
        <w:t>לפעמים, חדש מתבקע. נמצא שעבר מלאכה שאינו לצורך י"ט.</w:t>
      </w:r>
    </w:p>
    <w:p w14:paraId="3755D26C" w14:textId="77777777" w:rsidR="0009007A" w:rsidRDefault="00000000">
      <w:pPr>
        <w:pStyle w:val="FootnoteText"/>
        <w:numPr>
          <w:ilvl w:val="0"/>
          <w:numId w:val="51"/>
        </w:numPr>
        <w:rPr>
          <w:lang w:bidi="he-IL"/>
        </w:rPr>
      </w:pPr>
      <w:r>
        <w:rPr>
          <w:rtl/>
          <w:lang w:bidi="he-IL"/>
        </w:rPr>
        <w:t>חדש נעשה יותר טוב כשמחממים אותו בפעם הראשונה. אז, נמצא שתקן כלי.</w:t>
      </w:r>
    </w:p>
    <w:p w14:paraId="72764522" w14:textId="77777777" w:rsidR="0009007A" w:rsidRDefault="00000000">
      <w:pPr>
        <w:pStyle w:val="FootnoteText"/>
        <w:rPr>
          <w:lang w:bidi="he-IL"/>
        </w:rPr>
      </w:pPr>
      <w:r>
        <w:rPr>
          <w:rtl/>
          <w:lang w:bidi="he-IL"/>
        </w:rPr>
        <w:tab/>
        <w:t>גמ’ מפרש שתי’ שני סובר שאין חשש של תי’ ראשון, ואף שאולי לא יהיה לצורך י"ט, לא נאסר.</w:t>
      </w:r>
    </w:p>
  </w:footnote>
  <w:footnote w:id="379">
    <w:p w14:paraId="3E4729A1" w14:textId="77777777" w:rsidR="0009007A" w:rsidRDefault="00000000">
      <w:pPr>
        <w:pStyle w:val="FootnoteText"/>
        <w:rPr>
          <w:lang w:bidi="he-IL"/>
        </w:rPr>
      </w:pPr>
      <w:r>
        <w:rPr>
          <w:rStyle w:val="FootnoteCharacters"/>
        </w:rPr>
        <w:footnoteRef/>
      </w:r>
      <w:r>
        <w:rPr>
          <w:rtl/>
          <w:lang w:bidi="he-IL"/>
        </w:rPr>
        <w:tab/>
        <w:t xml:space="preserve">פרש"י שאומר "ועוד" כיון שלפני כן, אמר רבי אליעזר קולא אחרת. ואם תאמר הרי מפסיקים באמצע בדין אחר. וי"ל שקטע זה של המשנה צריך להיות לפני אותו דבר אחר, ואינו כסדר. (רשי </w:t>
      </w:r>
      <w:r>
        <w:rPr>
          <w:b/>
          <w:bCs/>
          <w:u w:val="single"/>
          <w:rtl/>
          <w:lang w:bidi="he-IL"/>
        </w:rPr>
        <w:t>לד.</w:t>
      </w:r>
      <w:r>
        <w:rPr>
          <w:rtl/>
          <w:lang w:bidi="he-IL"/>
        </w:rPr>
        <w:t>)</w:t>
      </w:r>
    </w:p>
  </w:footnote>
  <w:footnote w:id="380">
    <w:p w14:paraId="4B14DE21" w14:textId="77777777" w:rsidR="0009007A" w:rsidRDefault="00000000">
      <w:pPr>
        <w:pStyle w:val="FootnoteText"/>
        <w:rPr>
          <w:lang w:bidi="he-IL"/>
        </w:rPr>
      </w:pPr>
      <w:r>
        <w:rPr>
          <w:rStyle w:val="FootnoteCharacters"/>
        </w:rPr>
        <w:footnoteRef/>
      </w:r>
      <w:r>
        <w:rPr>
          <w:rtl/>
          <w:lang w:bidi="he-IL"/>
        </w:rPr>
        <w:tab/>
        <w:t xml:space="preserve">גמ’ מדייק </w:t>
      </w:r>
      <w:r>
        <w:rPr>
          <w:b/>
          <w:bCs/>
          <w:u w:val="single"/>
          <w:rtl/>
          <w:lang w:bidi="he-IL"/>
        </w:rPr>
        <w:t>(לד:)</w:t>
      </w:r>
      <w:r>
        <w:rPr>
          <w:rtl/>
          <w:lang w:bidi="he-IL"/>
        </w:rPr>
        <w:t xml:space="preserve"> מלשון לכתחילה שבדיעבד, אף אם לא היה שביעית, אלא היה חיוב מעשה, היה ההכנה מהני. לא אומרים שכיון שאינו ראוי בלי הרמת תרו"מ, שהוא אסור בי"ט, הוא מוקצה, כיון שאיסור הרבה הוא רק איסור דרבנן.</w:t>
      </w:r>
    </w:p>
  </w:footnote>
  <w:footnote w:id="381">
    <w:p w14:paraId="7A9A6D41" w14:textId="77777777" w:rsidR="0009007A" w:rsidRDefault="00000000">
      <w:pPr>
        <w:pStyle w:val="FootnoteText"/>
        <w:rPr>
          <w:lang w:bidi="he-IL"/>
        </w:rPr>
      </w:pPr>
      <w:r>
        <w:rPr>
          <w:rStyle w:val="FootnoteCharacters"/>
        </w:rPr>
        <w:footnoteRef/>
      </w:r>
      <w:r>
        <w:rPr>
          <w:rtl/>
          <w:lang w:bidi="he-IL"/>
        </w:rPr>
        <w:tab/>
        <w:t xml:space="preserve">מוקצה חייב במעשר (ולכן צריך להיות בשביעית). וא"ת הרי לא נגמר מלאכתו (שהוא מוקצה). ויש לומר ששבת קובעת. חולקים תנאים אם שבת, באמת, קובעת כאן, כיון שלא נגמר מלאכתו (ר”א והלל סוברים שקובעת, וחכמים חולקים). גם יש לומר שכיון שאמר שיאכל משם, קובע. </w:t>
      </w:r>
      <w:r>
        <w:rPr>
          <w:b/>
          <w:bCs/>
          <w:u w:val="single"/>
          <w:rtl/>
          <w:lang w:bidi="he-IL"/>
        </w:rPr>
        <w:t>(לד:, לה.)</w:t>
      </w:r>
    </w:p>
  </w:footnote>
  <w:footnote w:id="382">
    <w:p w14:paraId="115E4B94" w14:textId="77777777" w:rsidR="0009007A" w:rsidRDefault="00000000">
      <w:pPr>
        <w:pStyle w:val="FootnoteText"/>
        <w:rPr>
          <w:lang w:bidi="he-IL"/>
        </w:rPr>
      </w:pPr>
      <w:r>
        <w:rPr>
          <w:rStyle w:val="FootnoteCharacters"/>
        </w:rPr>
        <w:footnoteRef/>
      </w:r>
      <w:r>
        <w:rPr>
          <w:rtl/>
          <w:lang w:bidi="he-IL"/>
        </w:rPr>
        <w:tab/>
        <w:t>אין חיוב מעשה בשביעית. לכן, לא צריך להפריש את המעשר ממנו.</w:t>
      </w:r>
    </w:p>
  </w:footnote>
  <w:footnote w:id="383">
    <w:p w14:paraId="69863512" w14:textId="77777777" w:rsidR="0009007A" w:rsidRDefault="00000000">
      <w:pPr>
        <w:pStyle w:val="FootnoteText"/>
        <w:rPr>
          <w:lang w:bidi="he-IL"/>
        </w:rPr>
      </w:pPr>
      <w:r>
        <w:rPr>
          <w:rStyle w:val="FootnoteCharacters"/>
        </w:rPr>
        <w:footnoteRef/>
      </w:r>
      <w:r>
        <w:rPr>
          <w:rtl/>
          <w:lang w:bidi="he-IL"/>
        </w:rPr>
        <w:tab/>
        <w:t xml:space="preserve">חולקים רבי אליעזר ורבנן אם יש ברירה (ואז הוברר שמה שיקח למחר הוא מה שהכין) או אין ברירה (ואז צריך לפרט קודם לכן). (רשי </w:t>
      </w:r>
      <w:r>
        <w:rPr>
          <w:b/>
          <w:bCs/>
          <w:u w:val="single"/>
          <w:rtl/>
          <w:lang w:bidi="he-IL"/>
        </w:rPr>
        <w:t>לד:</w:t>
      </w:r>
      <w:r>
        <w:rPr>
          <w:rtl/>
          <w:lang w:bidi="he-IL"/>
        </w:rPr>
        <w:t>)</w:t>
      </w:r>
    </w:p>
  </w:footnote>
  <w:footnote w:id="384">
    <w:p w14:paraId="5CAED83E"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3AAAA129" w14:textId="77777777" w:rsidR="0009007A" w:rsidRDefault="00000000">
      <w:pPr>
        <w:pStyle w:val="FootnoteText"/>
        <w:numPr>
          <w:ilvl w:val="0"/>
          <w:numId w:val="54"/>
        </w:numPr>
        <w:rPr>
          <w:lang w:bidi="he-IL"/>
        </w:rPr>
      </w:pPr>
      <w:r>
        <w:rPr>
          <w:rtl/>
          <w:lang w:bidi="he-IL"/>
        </w:rPr>
        <w:t>להוציא אור- אסור.</w:t>
      </w:r>
    </w:p>
    <w:p w14:paraId="3EF5652E" w14:textId="77777777" w:rsidR="0009007A" w:rsidRDefault="00000000">
      <w:pPr>
        <w:pStyle w:val="FootnoteText"/>
        <w:numPr>
          <w:ilvl w:val="0"/>
          <w:numId w:val="54"/>
        </w:numPr>
        <w:rPr>
          <w:lang w:bidi="he-IL"/>
        </w:rPr>
      </w:pPr>
      <w:r>
        <w:rPr>
          <w:rtl/>
          <w:lang w:bidi="he-IL"/>
        </w:rPr>
        <w:t>לתקן כלי בתוך בישול- אסור.</w:t>
      </w:r>
    </w:p>
    <w:p w14:paraId="673773E5" w14:textId="77777777" w:rsidR="0009007A" w:rsidRDefault="00000000">
      <w:pPr>
        <w:pStyle w:val="FootnoteText"/>
        <w:numPr>
          <w:ilvl w:val="0"/>
          <w:numId w:val="54"/>
        </w:numPr>
        <w:rPr>
          <w:lang w:bidi="he-IL"/>
        </w:rPr>
      </w:pPr>
      <w:r>
        <w:rPr>
          <w:rtl/>
          <w:lang w:bidi="he-IL"/>
        </w:rPr>
        <w:t>לבשל באופן שאולי אינו לצורך י"ט- חול’ בגמ’ אם מותר.</w:t>
      </w:r>
    </w:p>
    <w:p w14:paraId="5565FE65" w14:textId="77777777" w:rsidR="0009007A" w:rsidRDefault="00000000">
      <w:pPr>
        <w:pStyle w:val="FootnoteText"/>
        <w:numPr>
          <w:ilvl w:val="0"/>
          <w:numId w:val="54"/>
        </w:numPr>
        <w:rPr>
          <w:lang w:bidi="he-IL"/>
        </w:rPr>
      </w:pPr>
      <w:r>
        <w:rPr>
          <w:rtl/>
          <w:lang w:bidi="he-IL"/>
        </w:rPr>
        <w:t>איך להכין פירות-</w:t>
      </w:r>
    </w:p>
    <w:p w14:paraId="44DD393D" w14:textId="77777777" w:rsidR="0009007A" w:rsidRDefault="00000000">
      <w:pPr>
        <w:pStyle w:val="FootnoteText"/>
        <w:numPr>
          <w:ilvl w:val="1"/>
          <w:numId w:val="54"/>
        </w:numPr>
        <w:rPr>
          <w:lang w:bidi="he-IL"/>
        </w:rPr>
      </w:pPr>
      <w:r>
        <w:rPr>
          <w:rtl/>
          <w:lang w:bidi="he-IL"/>
        </w:rPr>
        <w:t>אם יש ברירה- “אני אוכל מאלו,” ובי"ט יברור איזה מאלו.</w:t>
      </w:r>
    </w:p>
    <w:p w14:paraId="75E9BD1D" w14:textId="77777777" w:rsidR="0009007A" w:rsidRDefault="00000000">
      <w:pPr>
        <w:pStyle w:val="FootnoteText"/>
        <w:numPr>
          <w:ilvl w:val="1"/>
          <w:numId w:val="54"/>
        </w:numPr>
        <w:rPr>
          <w:lang w:bidi="he-IL"/>
        </w:rPr>
      </w:pPr>
      <w:r>
        <w:rPr>
          <w:rtl/>
          <w:lang w:bidi="he-IL"/>
        </w:rPr>
        <w:t>אם אין ברירה- “אני אוכל אלו ואלו מאלו.”</w:t>
      </w:r>
    </w:p>
  </w:footnote>
  <w:footnote w:id="385">
    <w:p w14:paraId="2308E737" w14:textId="77777777" w:rsidR="0009007A" w:rsidRDefault="00000000">
      <w:pPr>
        <w:pStyle w:val="FootnoteText"/>
        <w:rPr>
          <w:b/>
          <w:bCs/>
          <w:lang w:bidi="he-IL"/>
        </w:rPr>
      </w:pPr>
      <w:r>
        <w:rPr>
          <w:rStyle w:val="FootnoteCharacters"/>
        </w:rPr>
        <w:footnoteRef/>
      </w:r>
      <w:r>
        <w:rPr>
          <w:b/>
          <w:bCs/>
          <w:rtl/>
          <w:lang w:bidi="he-IL"/>
        </w:rPr>
        <w:tab/>
        <w:t>משנה א:</w:t>
      </w:r>
    </w:p>
  </w:footnote>
  <w:footnote w:id="386">
    <w:p w14:paraId="279AEF31" w14:textId="77777777" w:rsidR="0009007A" w:rsidRDefault="00000000">
      <w:pPr>
        <w:pStyle w:val="FootnoteText"/>
      </w:pPr>
      <w:r>
        <w:rPr>
          <w:rStyle w:val="FootnoteCharacters"/>
        </w:rPr>
        <w:footnoteRef/>
      </w:r>
      <w:r>
        <w:rPr>
          <w:b/>
          <w:bCs/>
          <w:rtl/>
          <w:lang w:bidi="he-IL"/>
        </w:rPr>
        <w:tab/>
        <w:t>הקדמה:</w:t>
      </w:r>
    </w:p>
    <w:p w14:paraId="7DD6E5D7" w14:textId="77777777" w:rsidR="0009007A" w:rsidRDefault="00000000">
      <w:pPr>
        <w:pStyle w:val="FootnoteText"/>
        <w:rPr>
          <w:lang w:bidi="he-IL"/>
        </w:rPr>
      </w:pPr>
      <w:r>
        <w:rPr>
          <w:rtl/>
          <w:lang w:bidi="he-IL"/>
        </w:rPr>
        <w:tab/>
        <w:t>משנה זה מזכיר מקומות שאפשר לזוז מה שהוא מוקצה, משום הפסד. מגמ’ (לז.) רואים שהאיסור שמתירים כאן הוא מוקצה. גמ’ מפרש (לז.) שביצ שמאי חולק על המשנה, ואוסר.</w:t>
      </w:r>
    </w:p>
  </w:footnote>
  <w:footnote w:id="387">
    <w:p w14:paraId="383C6E67" w14:textId="77777777" w:rsidR="0009007A" w:rsidRDefault="00000000">
      <w:pPr>
        <w:pStyle w:val="FootnoteText"/>
        <w:rPr>
          <w:lang w:bidi="he-IL"/>
        </w:rPr>
      </w:pPr>
      <w:r>
        <w:rPr>
          <w:rStyle w:val="FootnoteCharacters"/>
        </w:rPr>
        <w:footnoteRef/>
      </w:r>
      <w:r>
        <w:rPr>
          <w:rtl/>
          <w:lang w:bidi="he-IL"/>
        </w:rPr>
        <w:tab/>
        <w:t xml:space="preserve">כיון שמפיל אותם, צריך להיות, לכאו’, שאינם מוקצים, שמטלטל אותם. </w:t>
      </w:r>
    </w:p>
  </w:footnote>
  <w:footnote w:id="388">
    <w:p w14:paraId="016444A8" w14:textId="77777777" w:rsidR="0009007A" w:rsidRDefault="00000000">
      <w:pPr>
        <w:pStyle w:val="FootnoteText"/>
        <w:rPr>
          <w:lang w:bidi="he-IL"/>
        </w:rPr>
      </w:pPr>
      <w:r>
        <w:rPr>
          <w:rStyle w:val="FootnoteCharacters"/>
        </w:rPr>
        <w:footnoteRef/>
      </w:r>
      <w:r>
        <w:rPr>
          <w:rtl/>
          <w:lang w:bidi="he-IL"/>
        </w:rPr>
        <w:tab/>
        <w:t xml:space="preserve">אם אדם מייבש פירות על גג שלו, ובא גשם, ורוצה להכניס אותם, יכול להפיל אותם בתוך ארובה שבגג שלו. (רק מותר להפיל, ולא לזרוק לתוך גג אחר, ולא להוריד בחבל או מדרגות, שיש בו טורח.) מצאנו דין אחר לענין פניית חפצים, והוא שמותר לפנות ארבע וחמש קופות לצורך מצווה, אבל לא אם נמצא שפינה את כל האוצר. מצאנו חילוקים להחמיר (בי"ט, אסור לזלזולי; אין כאן ביטול בית המדרש), וחילוקים להקל (כאן יש הפסד ממון; י"ט יותר קל), ואז לא יודעים אם אותם הגדרות נוהגים גם כאן. </w:t>
      </w:r>
      <w:r>
        <w:rPr>
          <w:b/>
          <w:bCs/>
          <w:u w:val="single"/>
          <w:rtl/>
          <w:lang w:bidi="he-IL"/>
        </w:rPr>
        <w:t>(לה:, לו.)</w:t>
      </w:r>
    </w:p>
  </w:footnote>
  <w:footnote w:id="389">
    <w:p w14:paraId="7EAA8F55" w14:textId="77777777" w:rsidR="0009007A" w:rsidRDefault="00000000">
      <w:pPr>
        <w:pStyle w:val="FootnoteText"/>
        <w:rPr>
          <w:lang w:bidi="he-IL"/>
        </w:rPr>
      </w:pPr>
      <w:r>
        <w:rPr>
          <w:rStyle w:val="FootnoteCharacters"/>
        </w:rPr>
        <w:footnoteRef/>
      </w:r>
      <w:r>
        <w:rPr>
          <w:rtl/>
          <w:lang w:bidi="he-IL"/>
        </w:rPr>
        <w:tab/>
        <w:t>לא הקילו רבנן להתיר לו לטרוח בשבת.</w:t>
      </w:r>
    </w:p>
  </w:footnote>
  <w:footnote w:id="390">
    <w:p w14:paraId="7049B9D2" w14:textId="77777777" w:rsidR="0009007A" w:rsidRDefault="00000000">
      <w:pPr>
        <w:pStyle w:val="FootnoteText"/>
        <w:rPr>
          <w:lang w:bidi="he-IL"/>
        </w:rPr>
      </w:pPr>
      <w:r>
        <w:rPr>
          <w:rStyle w:val="FootnoteCharacters"/>
        </w:rPr>
        <w:footnoteRef/>
      </w:r>
      <w:r>
        <w:rPr>
          <w:rtl/>
          <w:lang w:bidi="he-IL"/>
        </w:rPr>
        <w:tab/>
        <w:t xml:space="preserve">חולקים אם גם מכסים פירות מוקצים, שחול’ אם מותר לטלטל לצורך דבר המוקצה. </w:t>
      </w:r>
      <w:r>
        <w:rPr>
          <w:b/>
          <w:bCs/>
          <w:u w:val="single"/>
          <w:rtl/>
          <w:lang w:bidi="he-IL"/>
        </w:rPr>
        <w:t>(לו.)</w:t>
      </w:r>
    </w:p>
  </w:footnote>
  <w:footnote w:id="391">
    <w:p w14:paraId="576AA21A" w14:textId="77777777" w:rsidR="0009007A" w:rsidRDefault="00000000">
      <w:pPr>
        <w:pStyle w:val="FootnoteText"/>
        <w:rPr>
          <w:lang w:bidi="he-IL"/>
        </w:rPr>
      </w:pPr>
      <w:r>
        <w:rPr>
          <w:rStyle w:val="FootnoteCharacters"/>
        </w:rPr>
        <w:footnoteRef/>
      </w:r>
      <w:r>
        <w:rPr>
          <w:rtl/>
          <w:lang w:bidi="he-IL"/>
        </w:rPr>
        <w:tab/>
        <w:t>חולקים מה מכוון המשנה להוסיף:</w:t>
      </w:r>
    </w:p>
    <w:p w14:paraId="30D9A02E" w14:textId="77777777" w:rsidR="0009007A" w:rsidRDefault="00000000">
      <w:pPr>
        <w:pStyle w:val="FootnoteText"/>
        <w:numPr>
          <w:ilvl w:val="0"/>
          <w:numId w:val="52"/>
        </w:numPr>
        <w:rPr>
          <w:lang w:bidi="he-IL"/>
        </w:rPr>
      </w:pPr>
      <w:r>
        <w:rPr>
          <w:rtl/>
          <w:lang w:bidi="he-IL"/>
        </w:rPr>
        <w:t>אם מותר להציל דבר המוקצה, כדים אלו של טבל הם, ומשנה מחדש שמותר להציל דבר מוקצה.</w:t>
      </w:r>
    </w:p>
    <w:p w14:paraId="27E2CB4C" w14:textId="77777777" w:rsidR="0009007A" w:rsidRDefault="00000000">
      <w:pPr>
        <w:pStyle w:val="FootnoteText"/>
        <w:numPr>
          <w:ilvl w:val="0"/>
          <w:numId w:val="52"/>
        </w:numPr>
        <w:rPr>
          <w:lang w:bidi="he-IL"/>
        </w:rPr>
      </w:pPr>
      <w:r>
        <w:rPr>
          <w:rtl/>
          <w:lang w:bidi="he-IL"/>
        </w:rPr>
        <w:t xml:space="preserve">אם אסור להציל דבר המוקצה, כדים אלו אין בהם כל כך חסרון, ומחדש שאף שם מותר. </w:t>
      </w:r>
      <w:r>
        <w:rPr>
          <w:b/>
          <w:bCs/>
          <w:u w:val="single"/>
          <w:rtl/>
          <w:lang w:bidi="he-IL"/>
        </w:rPr>
        <w:t>(לו.)</w:t>
      </w:r>
    </w:p>
  </w:footnote>
  <w:footnote w:id="392">
    <w:p w14:paraId="429DDA22" w14:textId="77777777" w:rsidR="0009007A" w:rsidRDefault="00000000">
      <w:pPr>
        <w:pStyle w:val="FootnoteText"/>
        <w:rPr>
          <w:lang w:bidi="he-IL"/>
        </w:rPr>
      </w:pPr>
      <w:r>
        <w:rPr>
          <w:rStyle w:val="FootnoteCharacters"/>
        </w:rPr>
        <w:footnoteRef/>
      </w:r>
      <w:r>
        <w:rPr>
          <w:rtl/>
          <w:lang w:bidi="he-IL"/>
        </w:rPr>
        <w:tab/>
        <w:t>כאן, יש שני חששות:</w:t>
      </w:r>
    </w:p>
    <w:p w14:paraId="3CC614AE" w14:textId="77777777" w:rsidR="0009007A" w:rsidRDefault="00000000">
      <w:pPr>
        <w:pStyle w:val="FootnoteText"/>
        <w:numPr>
          <w:ilvl w:val="0"/>
          <w:numId w:val="53"/>
        </w:numPr>
      </w:pPr>
      <w:r>
        <w:rPr>
          <w:rtl/>
          <w:lang w:bidi="he-IL"/>
        </w:rPr>
        <w:t>מטלטל כלי לצורך דבר מוקצה. אז, יחלקו אם צריך הדלף להיות מוכן, ולא מוקצה, או לא.</w:t>
      </w:r>
    </w:p>
    <w:p w14:paraId="1614383F" w14:textId="77777777" w:rsidR="0009007A" w:rsidRDefault="00000000">
      <w:pPr>
        <w:pStyle w:val="FootnoteText"/>
        <w:numPr>
          <w:ilvl w:val="0"/>
          <w:numId w:val="53"/>
        </w:numPr>
      </w:pPr>
      <w:r>
        <w:rPr>
          <w:rtl/>
          <w:lang w:bidi="he-IL"/>
        </w:rPr>
        <w:t xml:space="preserve">מבטל את הכלי מהכנו, שכיון שהדלף בתוכו, הוא מוקצה. אולי צריך להיות מוכן או צריך להיות הצלה מצויה. (שבת </w:t>
      </w:r>
      <w:r>
        <w:rPr>
          <w:b/>
          <w:bCs/>
          <w:u w:val="single"/>
          <w:rtl/>
          <w:lang w:bidi="he-IL"/>
        </w:rPr>
        <w:t>מב:</w:t>
      </w:r>
      <w:r>
        <w:rPr>
          <w:rtl/>
          <w:lang w:bidi="he-IL"/>
        </w:rPr>
        <w:t>)</w:t>
      </w:r>
    </w:p>
  </w:footnote>
  <w:footnote w:id="393">
    <w:p w14:paraId="20BE84FB" w14:textId="77777777" w:rsidR="0009007A" w:rsidRDefault="00000000">
      <w:pPr>
        <w:pStyle w:val="FootnoteText"/>
        <w:rPr>
          <w:lang w:bidi="he-IL"/>
        </w:rPr>
      </w:pPr>
      <w:r>
        <w:rPr>
          <w:rStyle w:val="FootnoteCharacters"/>
        </w:rPr>
        <w:footnoteRef/>
      </w:r>
      <w:r>
        <w:rPr>
          <w:rtl/>
          <w:lang w:bidi="he-IL"/>
        </w:rPr>
        <w:tab/>
        <w:t>זה מותר בשבת, שאין לו טורח.</w:t>
      </w:r>
    </w:p>
  </w:footnote>
  <w:footnote w:id="394">
    <w:p w14:paraId="48005E96"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51396C52" w14:textId="77777777" w:rsidR="0009007A" w:rsidRDefault="00000000">
      <w:pPr>
        <w:pStyle w:val="FootnoteText"/>
        <w:numPr>
          <w:ilvl w:val="0"/>
          <w:numId w:val="55"/>
        </w:numPr>
        <w:rPr>
          <w:lang w:bidi="he-IL"/>
        </w:rPr>
      </w:pPr>
      <w:r>
        <w:rPr>
          <w:rtl/>
          <w:lang w:bidi="he-IL"/>
        </w:rPr>
        <w:t>להציל פירות בי"ט:</w:t>
      </w:r>
    </w:p>
    <w:p w14:paraId="22FD58BD" w14:textId="77777777" w:rsidR="0009007A" w:rsidRDefault="00000000">
      <w:pPr>
        <w:pStyle w:val="FootnoteText"/>
        <w:numPr>
          <w:ilvl w:val="1"/>
          <w:numId w:val="55"/>
        </w:numPr>
        <w:rPr>
          <w:lang w:bidi="he-IL"/>
        </w:rPr>
      </w:pPr>
      <w:r>
        <w:rPr>
          <w:rtl/>
          <w:lang w:bidi="he-IL"/>
        </w:rPr>
        <w:t>להפיל בארובה- מותר.</w:t>
      </w:r>
    </w:p>
    <w:p w14:paraId="6C42010E" w14:textId="77777777" w:rsidR="0009007A" w:rsidRDefault="00000000">
      <w:pPr>
        <w:pStyle w:val="FootnoteText"/>
        <w:numPr>
          <w:ilvl w:val="1"/>
          <w:numId w:val="55"/>
        </w:numPr>
        <w:rPr>
          <w:lang w:bidi="he-IL"/>
        </w:rPr>
      </w:pPr>
      <w:r>
        <w:rPr>
          <w:rtl/>
          <w:lang w:bidi="he-IL"/>
        </w:rPr>
        <w:t>לזרוק לגג- אסור.</w:t>
      </w:r>
    </w:p>
    <w:p w14:paraId="3B2F7158" w14:textId="77777777" w:rsidR="0009007A" w:rsidRDefault="00000000">
      <w:pPr>
        <w:pStyle w:val="FootnoteText"/>
        <w:numPr>
          <w:ilvl w:val="1"/>
          <w:numId w:val="55"/>
        </w:numPr>
        <w:rPr>
          <w:lang w:bidi="he-IL"/>
        </w:rPr>
      </w:pPr>
      <w:r>
        <w:rPr>
          <w:rtl/>
          <w:lang w:bidi="he-IL"/>
        </w:rPr>
        <w:t>להוריד במדרגות- אסור.</w:t>
      </w:r>
    </w:p>
    <w:p w14:paraId="261C0F2B" w14:textId="77777777" w:rsidR="0009007A" w:rsidRDefault="00000000">
      <w:pPr>
        <w:pStyle w:val="FootnoteText"/>
        <w:numPr>
          <w:ilvl w:val="1"/>
          <w:numId w:val="55"/>
        </w:numPr>
        <w:rPr>
          <w:lang w:bidi="he-IL"/>
        </w:rPr>
      </w:pPr>
      <w:r>
        <w:rPr>
          <w:rtl/>
          <w:lang w:bidi="he-IL"/>
        </w:rPr>
        <w:t xml:space="preserve">לכסות בדבר- </w:t>
      </w:r>
    </w:p>
    <w:p w14:paraId="1D7EA211" w14:textId="77777777" w:rsidR="0009007A" w:rsidRDefault="00000000">
      <w:pPr>
        <w:pStyle w:val="FootnoteText"/>
        <w:numPr>
          <w:ilvl w:val="2"/>
          <w:numId w:val="55"/>
        </w:numPr>
        <w:rPr>
          <w:lang w:bidi="he-IL"/>
        </w:rPr>
      </w:pPr>
      <w:r>
        <w:rPr>
          <w:rtl/>
          <w:lang w:bidi="he-IL"/>
        </w:rPr>
        <w:t>אם מכסה דבר מוקצה- חולקים.</w:t>
      </w:r>
    </w:p>
    <w:p w14:paraId="1E1C178E" w14:textId="77777777" w:rsidR="0009007A" w:rsidRDefault="00000000">
      <w:pPr>
        <w:pStyle w:val="FootnoteText"/>
        <w:numPr>
          <w:ilvl w:val="2"/>
          <w:numId w:val="55"/>
        </w:numPr>
        <w:rPr>
          <w:lang w:bidi="he-IL"/>
        </w:rPr>
      </w:pPr>
      <w:r>
        <w:rPr>
          <w:rtl/>
          <w:lang w:bidi="he-IL"/>
        </w:rPr>
        <w:t>אם מכסה דבר מוכן- מותר.</w:t>
      </w:r>
    </w:p>
    <w:p w14:paraId="36C070F6" w14:textId="77777777" w:rsidR="0009007A" w:rsidRDefault="00000000">
      <w:pPr>
        <w:pStyle w:val="FootnoteText"/>
        <w:numPr>
          <w:ilvl w:val="0"/>
          <w:numId w:val="55"/>
        </w:numPr>
        <w:rPr>
          <w:lang w:bidi="he-IL"/>
        </w:rPr>
      </w:pPr>
      <w:r>
        <w:rPr>
          <w:rtl/>
          <w:lang w:bidi="he-IL"/>
        </w:rPr>
        <w:t>להציל פירות בי"ט- כל מש"כ לעיל אסור, ורק מותר אם אין בו טורח (כמו נתינת כלי תחת דלף).</w:t>
      </w:r>
    </w:p>
  </w:footnote>
  <w:footnote w:id="395">
    <w:p w14:paraId="0FBA670F" w14:textId="77777777" w:rsidR="0009007A" w:rsidRDefault="00000000">
      <w:pPr>
        <w:pStyle w:val="FootnoteText"/>
        <w:rPr>
          <w:b/>
          <w:bCs/>
          <w:lang w:bidi="he-IL"/>
        </w:rPr>
      </w:pPr>
      <w:r>
        <w:rPr>
          <w:rStyle w:val="FootnoteCharacters"/>
        </w:rPr>
        <w:footnoteRef/>
      </w:r>
      <w:r>
        <w:rPr>
          <w:b/>
          <w:bCs/>
          <w:rtl/>
          <w:lang w:bidi="he-IL"/>
        </w:rPr>
        <w:tab/>
        <w:t>משנה ב:</w:t>
      </w:r>
    </w:p>
  </w:footnote>
  <w:footnote w:id="396">
    <w:p w14:paraId="7D106E2E" w14:textId="77777777" w:rsidR="0009007A" w:rsidRDefault="00000000">
      <w:pPr>
        <w:pStyle w:val="FootnoteText"/>
        <w:rPr>
          <w:lang w:bidi="he-IL"/>
        </w:rPr>
      </w:pPr>
      <w:r>
        <w:rPr>
          <w:rStyle w:val="FootnoteCharacters"/>
        </w:rPr>
        <w:footnoteRef/>
      </w:r>
      <w:r>
        <w:rPr>
          <w:b/>
          <w:bCs/>
          <w:rtl/>
          <w:lang w:bidi="he-IL"/>
        </w:rPr>
        <w:tab/>
        <w:t>הקדמה:</w:t>
      </w:r>
    </w:p>
    <w:p w14:paraId="7A5FE2B4" w14:textId="77777777" w:rsidR="0009007A" w:rsidRDefault="00000000">
      <w:pPr>
        <w:pStyle w:val="FootnoteText"/>
        <w:rPr>
          <w:lang w:bidi="he-IL"/>
        </w:rPr>
      </w:pPr>
      <w:r>
        <w:rPr>
          <w:b/>
          <w:bCs/>
          <w:rtl/>
          <w:lang w:bidi="he-IL"/>
        </w:rPr>
        <w:tab/>
      </w:r>
      <w:r>
        <w:rPr>
          <w:rtl/>
          <w:lang w:bidi="he-IL"/>
        </w:rPr>
        <w:t>משנה זה מזכיר כמה איסורים דרבנן שנאסרו בשבת ובי"ט. מסיים עם דמיון דינים שבין שבת לי"ט.</w:t>
      </w:r>
    </w:p>
  </w:footnote>
  <w:footnote w:id="397">
    <w:p w14:paraId="4B89074E" w14:textId="77777777" w:rsidR="0009007A" w:rsidRDefault="00000000">
      <w:pPr>
        <w:pStyle w:val="FootnoteText"/>
        <w:rPr>
          <w:lang w:bidi="he-IL"/>
        </w:rPr>
      </w:pPr>
      <w:r>
        <w:rPr>
          <w:rStyle w:val="FootnoteCharacters"/>
        </w:rPr>
        <w:footnoteRef/>
      </w:r>
      <w:r>
        <w:rPr>
          <w:rtl/>
          <w:lang w:bidi="he-IL"/>
        </w:rPr>
        <w:tab/>
        <w:t>בדרך כלל, לא חייבים על איסור דרבנן. אפשר לומר שחייב עליו מכת מרדות, אבל מרשי (לו:) נראה שרצה לומר שהוא חייב שלא לעשות אותו.</w:t>
      </w:r>
    </w:p>
  </w:footnote>
  <w:footnote w:id="398">
    <w:p w14:paraId="62EA152C" w14:textId="77777777" w:rsidR="0009007A" w:rsidRDefault="00000000">
      <w:pPr>
        <w:pStyle w:val="FootnoteText"/>
        <w:rPr>
          <w:lang w:bidi="he-IL"/>
        </w:rPr>
      </w:pPr>
      <w:r>
        <w:rPr>
          <w:rStyle w:val="FootnoteCharacters"/>
        </w:rPr>
        <w:footnoteRef/>
      </w:r>
      <w:r>
        <w:rPr>
          <w:rtl/>
          <w:lang w:bidi="he-IL"/>
        </w:rPr>
        <w:tab/>
        <w:t xml:space="preserve">רצה לומר, שאסור לעשות אותו מדרבנן בשבת, ואין בו שום מצווה. </w:t>
      </w:r>
      <w:r>
        <w:rPr>
          <w:b/>
          <w:bCs/>
          <w:u w:val="single"/>
          <w:rtl/>
          <w:lang w:bidi="he-IL"/>
        </w:rPr>
        <w:t>(לז.)</w:t>
      </w:r>
    </w:p>
  </w:footnote>
  <w:footnote w:id="399">
    <w:p w14:paraId="493B3105" w14:textId="77777777" w:rsidR="0009007A" w:rsidRDefault="00000000">
      <w:pPr>
        <w:pStyle w:val="FootnoteText"/>
        <w:rPr>
          <w:lang w:bidi="he-IL"/>
        </w:rPr>
      </w:pPr>
      <w:r>
        <w:rPr>
          <w:rStyle w:val="FootnoteCharacters"/>
        </w:rPr>
        <w:footnoteRef/>
      </w:r>
      <w:r>
        <w:rPr>
          <w:rtl/>
          <w:lang w:bidi="he-IL"/>
        </w:rPr>
        <w:tab/>
        <w:t xml:space="preserve">רצה לומר, שאסור לעשות אותו מדרבנן בשבת, אבל יש בו קצת מצווה בדר"כ. </w:t>
      </w:r>
      <w:r>
        <w:rPr>
          <w:b/>
          <w:bCs/>
          <w:u w:val="single"/>
          <w:rtl/>
          <w:lang w:bidi="he-IL"/>
        </w:rPr>
        <w:t>(לז.)</w:t>
      </w:r>
    </w:p>
  </w:footnote>
  <w:footnote w:id="400">
    <w:p w14:paraId="7ED46634" w14:textId="77777777" w:rsidR="0009007A" w:rsidRDefault="00000000">
      <w:pPr>
        <w:pStyle w:val="FootnoteText"/>
        <w:rPr>
          <w:lang w:bidi="he-IL"/>
        </w:rPr>
      </w:pPr>
      <w:r>
        <w:rPr>
          <w:rStyle w:val="FootnoteCharacters"/>
        </w:rPr>
        <w:footnoteRef/>
      </w:r>
      <w:r>
        <w:rPr>
          <w:rtl/>
          <w:lang w:bidi="he-IL"/>
        </w:rPr>
        <w:tab/>
        <w:t xml:space="preserve">ר"ל, שאסור לעשות אותו מדרבנן בשבת, אבל יש בו מצווה בדרך כלל. </w:t>
      </w:r>
      <w:r>
        <w:rPr>
          <w:b/>
          <w:bCs/>
          <w:u w:val="single"/>
          <w:rtl/>
          <w:lang w:bidi="he-IL"/>
        </w:rPr>
        <w:t>(לז.)</w:t>
      </w:r>
    </w:p>
  </w:footnote>
  <w:footnote w:id="401">
    <w:p w14:paraId="3561CD7B" w14:textId="77777777" w:rsidR="0009007A" w:rsidRDefault="00000000">
      <w:pPr>
        <w:pStyle w:val="FootnoteText"/>
        <w:rPr>
          <w:lang w:bidi="he-IL"/>
        </w:rPr>
      </w:pPr>
      <w:r>
        <w:rPr>
          <w:rStyle w:val="FootnoteCharacters"/>
        </w:rPr>
        <w:footnoteRef/>
      </w:r>
      <w:r>
        <w:rPr>
          <w:rtl/>
          <w:lang w:bidi="he-IL"/>
        </w:rPr>
        <w:tab/>
        <w:t xml:space="preserve">חוששים שמא יתלוש. </w:t>
      </w:r>
      <w:r>
        <w:rPr>
          <w:b/>
          <w:bCs/>
          <w:u w:val="single"/>
          <w:rtl/>
          <w:lang w:bidi="he-IL"/>
        </w:rPr>
        <w:t>(לו:)</w:t>
      </w:r>
    </w:p>
  </w:footnote>
  <w:footnote w:id="402">
    <w:p w14:paraId="0414B371" w14:textId="77777777" w:rsidR="0009007A" w:rsidRDefault="00000000">
      <w:pPr>
        <w:pStyle w:val="FootnoteText"/>
        <w:rPr>
          <w:lang w:bidi="he-IL"/>
        </w:rPr>
      </w:pPr>
      <w:r>
        <w:rPr>
          <w:rStyle w:val="FootnoteCharacters"/>
        </w:rPr>
        <w:footnoteRef/>
      </w:r>
      <w:r>
        <w:rPr>
          <w:rtl/>
          <w:lang w:bidi="he-IL"/>
        </w:rPr>
        <w:tab/>
        <w:t xml:space="preserve">אולי חוששים שמא ילך חוץ לתחום (רק אפשר לומר שזהו סיבת הגזי’ אם נאמר שתחומים דאו’) או חוש’ שיתלוש עץ להכות את הבהמה. </w:t>
      </w:r>
      <w:r>
        <w:rPr>
          <w:b/>
          <w:bCs/>
          <w:u w:val="single"/>
          <w:rtl/>
          <w:lang w:bidi="he-IL"/>
        </w:rPr>
        <w:t>(לו:)</w:t>
      </w:r>
    </w:p>
  </w:footnote>
  <w:footnote w:id="403">
    <w:p w14:paraId="29349BAB" w14:textId="77777777" w:rsidR="0009007A" w:rsidRDefault="00000000">
      <w:pPr>
        <w:pStyle w:val="FootnoteText"/>
        <w:rPr>
          <w:lang w:bidi="he-IL"/>
        </w:rPr>
      </w:pPr>
      <w:r>
        <w:rPr>
          <w:rStyle w:val="FootnoteCharacters"/>
        </w:rPr>
        <w:footnoteRef/>
      </w:r>
      <w:r>
        <w:rPr>
          <w:rtl/>
          <w:lang w:bidi="he-IL"/>
        </w:rPr>
        <w:tab/>
        <w:t xml:space="preserve">חוששים שמא יעשה כלי כדי להגביה אותו במים. </w:t>
      </w:r>
      <w:r>
        <w:rPr>
          <w:b/>
          <w:bCs/>
          <w:u w:val="single"/>
          <w:rtl/>
          <w:lang w:bidi="he-IL"/>
        </w:rPr>
        <w:t>(לו:)</w:t>
      </w:r>
    </w:p>
  </w:footnote>
  <w:footnote w:id="404">
    <w:p w14:paraId="6244A9A3" w14:textId="77777777" w:rsidR="0009007A" w:rsidRDefault="00000000">
      <w:pPr>
        <w:pStyle w:val="FootnoteText"/>
        <w:rPr>
          <w:lang w:bidi="he-IL"/>
        </w:rPr>
      </w:pPr>
      <w:r>
        <w:rPr>
          <w:rStyle w:val="FootnoteCharacters"/>
        </w:rPr>
        <w:footnoteRef/>
      </w:r>
      <w:r>
        <w:rPr>
          <w:rtl/>
          <w:lang w:bidi="he-IL"/>
        </w:rPr>
        <w:tab/>
        <w:t>עושה קול של שיר בידו. (קוראים לזה קלא"פינג).</w:t>
      </w:r>
    </w:p>
  </w:footnote>
  <w:footnote w:id="405">
    <w:p w14:paraId="7F2CCD18" w14:textId="77777777" w:rsidR="0009007A" w:rsidRDefault="00000000">
      <w:pPr>
        <w:pStyle w:val="FootnoteText"/>
        <w:rPr>
          <w:lang w:bidi="he-IL"/>
        </w:rPr>
      </w:pPr>
      <w:r>
        <w:rPr>
          <w:rStyle w:val="FootnoteCharacters"/>
        </w:rPr>
        <w:footnoteRef/>
      </w:r>
      <w:r>
        <w:rPr>
          <w:rtl/>
          <w:lang w:bidi="he-IL"/>
        </w:rPr>
        <w:tab/>
        <w:t>עושה קול של שיר עם יד וירך (סלא"ף את הטיי"א).</w:t>
      </w:r>
    </w:p>
  </w:footnote>
  <w:footnote w:id="406">
    <w:p w14:paraId="74C50DB9" w14:textId="77777777" w:rsidR="0009007A" w:rsidRDefault="00000000">
      <w:pPr>
        <w:pStyle w:val="FootnoteText"/>
        <w:rPr>
          <w:lang w:bidi="he-IL"/>
        </w:rPr>
      </w:pPr>
      <w:r>
        <w:rPr>
          <w:rStyle w:val="FootnoteCharacters"/>
        </w:rPr>
        <w:footnoteRef/>
      </w:r>
      <w:r>
        <w:rPr>
          <w:rtl/>
          <w:lang w:bidi="he-IL"/>
        </w:rPr>
        <w:tab/>
        <w:t>יש להעיר שנמצא שריקוד בשבת וי"ט אינו אף רשות. וי"ל ששל מצווה לא נאסר, ורק אומר דין של מה שאינו לשמחת י"ט ושבת.</w:t>
      </w:r>
    </w:p>
  </w:footnote>
  <w:footnote w:id="407">
    <w:p w14:paraId="46AC63B9" w14:textId="77777777" w:rsidR="0009007A" w:rsidRDefault="00000000">
      <w:pPr>
        <w:pStyle w:val="FootnoteText"/>
        <w:rPr>
          <w:lang w:bidi="he-IL"/>
        </w:rPr>
      </w:pPr>
      <w:r>
        <w:rPr>
          <w:rStyle w:val="FootnoteCharacters"/>
        </w:rPr>
        <w:footnoteRef/>
      </w:r>
      <w:r>
        <w:rPr>
          <w:rtl/>
          <w:lang w:bidi="he-IL"/>
        </w:rPr>
        <w:tab/>
        <w:t xml:space="preserve">שלשה אלו אסורים מפני שחוששים שיביא כלי שיר, וישבר, ויתקן אותו, שהוא אסור, כיון שאין מתקנים כלים בי"ט. </w:t>
      </w:r>
      <w:r>
        <w:rPr>
          <w:b/>
          <w:bCs/>
          <w:u w:val="single"/>
          <w:rtl/>
          <w:lang w:bidi="he-IL"/>
        </w:rPr>
        <w:t>(לו:)</w:t>
      </w:r>
    </w:p>
  </w:footnote>
  <w:footnote w:id="408">
    <w:p w14:paraId="5E7A913D" w14:textId="77777777" w:rsidR="0009007A" w:rsidRDefault="00000000">
      <w:pPr>
        <w:pStyle w:val="FootnoteText"/>
        <w:rPr>
          <w:lang w:bidi="he-IL"/>
        </w:rPr>
      </w:pPr>
      <w:r>
        <w:rPr>
          <w:rStyle w:val="FootnoteCharacters"/>
        </w:rPr>
        <w:footnoteRef/>
      </w:r>
      <w:r>
        <w:rPr>
          <w:rtl/>
          <w:lang w:bidi="he-IL"/>
        </w:rPr>
        <w:tab/>
        <w:t xml:space="preserve">גמ’ מפרש שלפעמים יש מצווה בזה, והוא אם אין אחר יותר גדול ממנו. (אבל, אף שם, נאסר.) </w:t>
      </w:r>
      <w:r>
        <w:rPr>
          <w:b/>
          <w:bCs/>
          <w:u w:val="single"/>
          <w:rtl/>
          <w:lang w:bidi="he-IL"/>
        </w:rPr>
        <w:t>(לו:)</w:t>
      </w:r>
    </w:p>
  </w:footnote>
  <w:footnote w:id="409">
    <w:p w14:paraId="1F22B39E" w14:textId="77777777" w:rsidR="0009007A" w:rsidRDefault="00000000">
      <w:pPr>
        <w:pStyle w:val="FootnoteText"/>
        <w:rPr>
          <w:lang w:bidi="he-IL"/>
        </w:rPr>
      </w:pPr>
      <w:r>
        <w:rPr>
          <w:rStyle w:val="FootnoteCharacters"/>
        </w:rPr>
        <w:footnoteRef/>
      </w:r>
      <w:r>
        <w:rPr>
          <w:rtl/>
          <w:lang w:bidi="he-IL"/>
        </w:rPr>
        <w:tab/>
        <w:t xml:space="preserve">גמ’ מפרש שלפעמים יש מצווה בזה, והוא אם אין לו בנים </w:t>
      </w:r>
      <w:r>
        <w:rPr>
          <w:b/>
          <w:bCs/>
          <w:u w:val="single"/>
          <w:rtl/>
          <w:lang w:bidi="he-IL"/>
        </w:rPr>
        <w:t>(לו:)</w:t>
      </w:r>
    </w:p>
  </w:footnote>
  <w:footnote w:id="410">
    <w:p w14:paraId="115181CD" w14:textId="77777777" w:rsidR="0009007A" w:rsidRDefault="00000000">
      <w:pPr>
        <w:pStyle w:val="FootnoteText"/>
        <w:rPr>
          <w:lang w:bidi="he-IL"/>
        </w:rPr>
      </w:pPr>
      <w:r>
        <w:rPr>
          <w:rStyle w:val="FootnoteCharacters"/>
        </w:rPr>
        <w:footnoteRef/>
      </w:r>
      <w:r>
        <w:rPr>
          <w:rtl/>
          <w:lang w:bidi="he-IL"/>
        </w:rPr>
        <w:tab/>
        <w:t xml:space="preserve">גמ’ מפרש שלפעמים יש מצווה בזה, והוא אם הוא הגדול. כמו כן הוא גם בייבום. </w:t>
      </w:r>
      <w:r>
        <w:rPr>
          <w:b/>
          <w:bCs/>
          <w:u w:val="single"/>
          <w:rtl/>
          <w:lang w:bidi="he-IL"/>
        </w:rPr>
        <w:t>(לז.)</w:t>
      </w:r>
    </w:p>
  </w:footnote>
  <w:footnote w:id="411">
    <w:p w14:paraId="7EED614C" w14:textId="77777777" w:rsidR="0009007A" w:rsidRDefault="00000000">
      <w:pPr>
        <w:pStyle w:val="FootnoteText"/>
        <w:rPr>
          <w:lang w:bidi="he-IL"/>
        </w:rPr>
      </w:pPr>
      <w:r>
        <w:rPr>
          <w:rStyle w:val="FootnoteCharacters"/>
        </w:rPr>
        <w:footnoteRef/>
      </w:r>
      <w:r>
        <w:rPr>
          <w:rtl/>
          <w:lang w:bidi="he-IL"/>
        </w:rPr>
        <w:tab/>
        <w:t xml:space="preserve">כל אלו (האסורים משום רשות) אסורים משום גזי’ שמא יכתוב. </w:t>
      </w:r>
      <w:r>
        <w:rPr>
          <w:b/>
          <w:bCs/>
          <w:u w:val="single"/>
          <w:rtl/>
          <w:lang w:bidi="he-IL"/>
        </w:rPr>
        <w:t>(לז.)</w:t>
      </w:r>
    </w:p>
  </w:footnote>
  <w:footnote w:id="412">
    <w:p w14:paraId="73BA99EA" w14:textId="77777777" w:rsidR="0009007A" w:rsidRDefault="00000000">
      <w:pPr>
        <w:pStyle w:val="FootnoteText"/>
        <w:rPr>
          <w:lang w:bidi="he-IL"/>
        </w:rPr>
      </w:pPr>
      <w:r>
        <w:rPr>
          <w:rStyle w:val="FootnoteCharacters"/>
        </w:rPr>
        <w:footnoteRef/>
      </w:r>
      <w:r>
        <w:rPr>
          <w:rtl/>
          <w:lang w:bidi="he-IL"/>
        </w:rPr>
        <w:tab/>
        <w:t xml:space="preserve">שלש אלו הם מינים שונים של הכנסת דבר להקדש. הם אסורים כיון שנראה כמקח וממכר. </w:t>
      </w:r>
      <w:r>
        <w:rPr>
          <w:b/>
          <w:bCs/>
          <w:u w:val="single"/>
          <w:rtl/>
          <w:lang w:bidi="he-IL"/>
        </w:rPr>
        <w:t>(לז.)</w:t>
      </w:r>
    </w:p>
  </w:footnote>
  <w:footnote w:id="413">
    <w:p w14:paraId="58AFA935" w14:textId="77777777" w:rsidR="0009007A" w:rsidRDefault="00000000">
      <w:pPr>
        <w:pStyle w:val="FootnoteText"/>
        <w:rPr>
          <w:lang w:bidi="he-IL"/>
        </w:rPr>
      </w:pPr>
      <w:r>
        <w:rPr>
          <w:rStyle w:val="FootnoteCharacters"/>
        </w:rPr>
        <w:footnoteRef/>
      </w:r>
      <w:r>
        <w:rPr>
          <w:rtl/>
          <w:lang w:bidi="he-IL"/>
        </w:rPr>
        <w:tab/>
        <w:t xml:space="preserve">אסור כיון שנראה כמתקן. אף אם נותן אותם לכהן בו ביום, נראה כמתקן (ולא נראה רק כנותן מתנה לכהן). </w:t>
      </w:r>
      <w:r>
        <w:rPr>
          <w:b/>
          <w:bCs/>
          <w:u w:val="single"/>
          <w:rtl/>
          <w:lang w:bidi="he-IL"/>
        </w:rPr>
        <w:t>(לז.)</w:t>
      </w:r>
    </w:p>
  </w:footnote>
  <w:footnote w:id="414">
    <w:p w14:paraId="65FB3230" w14:textId="77777777" w:rsidR="0009007A" w:rsidRDefault="00000000">
      <w:pPr>
        <w:pStyle w:val="FootnoteText"/>
        <w:rPr>
          <w:lang w:bidi="he-IL"/>
        </w:rPr>
      </w:pPr>
      <w:r>
        <w:rPr>
          <w:rStyle w:val="FootnoteCharacters"/>
        </w:rPr>
        <w:footnoteRef/>
      </w:r>
      <w:r>
        <w:rPr>
          <w:rtl/>
          <w:lang w:bidi="he-IL"/>
        </w:rPr>
        <w:tab/>
        <w:t>גמ’ מפרש שאם נעשו טבל בי"ט (לא מצוי, אבל אפשר), יכול להפריש אותו היום. (</w:t>
      </w:r>
      <w:r>
        <w:rPr>
          <w:b/>
          <w:bCs/>
          <w:u w:val="single"/>
          <w:rtl/>
          <w:lang w:bidi="he-IL"/>
        </w:rPr>
        <w:t>לז.</w:t>
      </w:r>
      <w:r>
        <w:rPr>
          <w:rtl/>
          <w:lang w:bidi="he-IL"/>
        </w:rPr>
        <w:t>, וגם ע’ לעיל, גבי הולכת חלה.)</w:t>
      </w:r>
    </w:p>
  </w:footnote>
  <w:footnote w:id="415">
    <w:p w14:paraId="70C156C4" w14:textId="77777777" w:rsidR="0009007A" w:rsidRDefault="00000000">
      <w:pPr>
        <w:pStyle w:val="FootnoteText"/>
        <w:rPr>
          <w:lang w:bidi="he-IL"/>
        </w:rPr>
      </w:pPr>
      <w:r>
        <w:rPr>
          <w:rStyle w:val="FootnoteCharacters"/>
        </w:rPr>
        <w:footnoteRef/>
      </w:r>
      <w:r>
        <w:rPr>
          <w:rtl/>
          <w:lang w:bidi="he-IL"/>
        </w:rPr>
        <w:tab/>
        <w:t>לשון משנה זה אומר שרק אוכל נפש עצמו מותר. זה מחלקת תנאים, שרבי יהודה חולק וסובר שאף מכשירי אוכל נפש מותרים.</w:t>
      </w:r>
    </w:p>
  </w:footnote>
  <w:footnote w:id="416">
    <w:p w14:paraId="442A9CA8" w14:textId="77777777" w:rsidR="0009007A" w:rsidRDefault="00000000">
      <w:pPr>
        <w:pStyle w:val="FootnoteText"/>
        <w:rPr>
          <w:lang w:bidi="he-IL"/>
        </w:rPr>
      </w:pPr>
      <w:r>
        <w:rPr>
          <w:rStyle w:val="FootnoteCharacters"/>
        </w:rPr>
        <w:footnoteRef/>
      </w:r>
      <w:r>
        <w:rPr>
          <w:rtl/>
          <w:lang w:bidi="he-IL"/>
        </w:rPr>
        <w:tab/>
        <w:t xml:space="preserve">אף שבמשנה א’ מצאנו חי’ אחר, זה לא נמנה, שיש תנא (בית שמאי) שמחמיר יותר במוקצה, וחולק על אותו משנה. </w:t>
      </w:r>
      <w:r>
        <w:rPr>
          <w:b/>
          <w:bCs/>
          <w:u w:val="single"/>
          <w:rtl/>
          <w:lang w:bidi="he-IL"/>
        </w:rPr>
        <w:t>(לז.)</w:t>
      </w:r>
      <w:r>
        <w:rPr>
          <w:rtl/>
          <w:lang w:bidi="he-IL"/>
        </w:rPr>
        <w:t xml:space="preserve"> (ק"ק, שמצאנו עוד חילוקים, כמו בדיני טבילה. ותחשב.)</w:t>
      </w:r>
    </w:p>
  </w:footnote>
  <w:footnote w:id="417">
    <w:p w14:paraId="31C8B1D3"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7B5AA87E" w14:textId="77777777" w:rsidR="0009007A" w:rsidRDefault="00000000">
      <w:pPr>
        <w:pStyle w:val="FootnoteText"/>
        <w:numPr>
          <w:ilvl w:val="0"/>
          <w:numId w:val="56"/>
        </w:numPr>
        <w:rPr>
          <w:lang w:bidi="he-IL"/>
        </w:rPr>
      </w:pPr>
      <w:r>
        <w:rPr>
          <w:rtl/>
          <w:lang w:bidi="he-IL"/>
        </w:rPr>
        <w:t>גזי’ שאין בהם מצוה:</w:t>
      </w:r>
    </w:p>
    <w:p w14:paraId="5FFED67E" w14:textId="77777777" w:rsidR="0009007A" w:rsidRDefault="00000000">
      <w:pPr>
        <w:pStyle w:val="FootnoteText"/>
        <w:numPr>
          <w:ilvl w:val="1"/>
          <w:numId w:val="56"/>
        </w:numPr>
        <w:rPr>
          <w:lang w:bidi="he-IL"/>
        </w:rPr>
      </w:pPr>
      <w:r>
        <w:rPr>
          <w:rtl/>
          <w:lang w:bidi="he-IL"/>
        </w:rPr>
        <w:t>לֹא עוֹלִין בָּאִילָן:</w:t>
      </w:r>
    </w:p>
    <w:p w14:paraId="4E778F31" w14:textId="77777777" w:rsidR="0009007A" w:rsidRDefault="00000000">
      <w:pPr>
        <w:pStyle w:val="FootnoteText"/>
        <w:numPr>
          <w:ilvl w:val="2"/>
          <w:numId w:val="56"/>
        </w:numPr>
        <w:rPr>
          <w:lang w:bidi="he-IL"/>
        </w:rPr>
      </w:pPr>
      <w:r>
        <w:rPr>
          <w:rtl/>
          <w:lang w:bidi="he-IL"/>
        </w:rPr>
        <w:t>חוששים שיתלוש.</w:t>
      </w:r>
    </w:p>
    <w:p w14:paraId="5BBD2876" w14:textId="77777777" w:rsidR="0009007A" w:rsidRDefault="00000000">
      <w:pPr>
        <w:pStyle w:val="FootnoteText"/>
        <w:numPr>
          <w:ilvl w:val="1"/>
          <w:numId w:val="56"/>
        </w:numPr>
        <w:rPr>
          <w:lang w:bidi="he-IL"/>
        </w:rPr>
      </w:pPr>
      <w:r>
        <w:rPr>
          <w:rtl/>
          <w:lang w:bidi="he-IL"/>
        </w:rPr>
        <w:t>לֹא רוֹכְבִין עַל גַּבֵּי בְהֵמָה:</w:t>
      </w:r>
    </w:p>
    <w:p w14:paraId="02C612A9" w14:textId="77777777" w:rsidR="0009007A" w:rsidRDefault="00000000">
      <w:pPr>
        <w:pStyle w:val="FootnoteText"/>
        <w:numPr>
          <w:ilvl w:val="2"/>
          <w:numId w:val="56"/>
        </w:numPr>
        <w:rPr>
          <w:lang w:bidi="he-IL"/>
        </w:rPr>
      </w:pPr>
      <w:r>
        <w:rPr>
          <w:rtl/>
          <w:lang w:bidi="he-IL"/>
        </w:rPr>
        <w:t>חוששים שיצא חוץ לתחום.</w:t>
      </w:r>
    </w:p>
    <w:p w14:paraId="03C67E11" w14:textId="77777777" w:rsidR="0009007A" w:rsidRDefault="00000000">
      <w:pPr>
        <w:pStyle w:val="FootnoteText"/>
        <w:numPr>
          <w:ilvl w:val="2"/>
          <w:numId w:val="56"/>
        </w:numPr>
        <w:rPr>
          <w:lang w:bidi="he-IL"/>
        </w:rPr>
      </w:pPr>
      <w:r>
        <w:rPr>
          <w:rtl/>
          <w:lang w:bidi="he-IL"/>
        </w:rPr>
        <w:t>חוששים שיתלוש להכות בהמתו.</w:t>
      </w:r>
    </w:p>
    <w:p w14:paraId="70DF0D25" w14:textId="77777777" w:rsidR="0009007A" w:rsidRDefault="00000000">
      <w:pPr>
        <w:pStyle w:val="FootnoteText"/>
        <w:numPr>
          <w:ilvl w:val="1"/>
          <w:numId w:val="56"/>
        </w:numPr>
        <w:rPr>
          <w:lang w:bidi="he-IL"/>
        </w:rPr>
      </w:pPr>
      <w:r>
        <w:rPr>
          <w:rtl/>
          <w:lang w:bidi="he-IL"/>
        </w:rPr>
        <w:t>לֹא שָׁטִין עַל פְּנֵי הַמַּיִם:</w:t>
      </w:r>
    </w:p>
    <w:p w14:paraId="38083367" w14:textId="77777777" w:rsidR="0009007A" w:rsidRDefault="00000000">
      <w:pPr>
        <w:pStyle w:val="FootnoteText"/>
        <w:numPr>
          <w:ilvl w:val="2"/>
          <w:numId w:val="56"/>
        </w:numPr>
        <w:rPr>
          <w:lang w:bidi="he-IL"/>
        </w:rPr>
      </w:pPr>
      <w:r>
        <w:rPr>
          <w:rtl/>
          <w:lang w:bidi="he-IL"/>
        </w:rPr>
        <w:t>חוששים שיעשה חבית של שייטים.</w:t>
      </w:r>
    </w:p>
    <w:p w14:paraId="2DA8C16C" w14:textId="77777777" w:rsidR="0009007A" w:rsidRDefault="00000000">
      <w:pPr>
        <w:pStyle w:val="FootnoteText"/>
        <w:numPr>
          <w:ilvl w:val="1"/>
          <w:numId w:val="56"/>
        </w:numPr>
        <w:rPr>
          <w:lang w:bidi="he-IL"/>
        </w:rPr>
      </w:pPr>
      <w:r>
        <w:rPr>
          <w:rtl/>
          <w:lang w:bidi="he-IL"/>
        </w:rPr>
        <w:t>לֹא מְטַפְּחִין</w:t>
      </w:r>
    </w:p>
    <w:p w14:paraId="3E111F41" w14:textId="77777777" w:rsidR="0009007A" w:rsidRDefault="00000000">
      <w:pPr>
        <w:pStyle w:val="FootnoteText"/>
        <w:numPr>
          <w:ilvl w:val="2"/>
          <w:numId w:val="56"/>
        </w:numPr>
        <w:rPr>
          <w:lang w:bidi="he-IL"/>
        </w:rPr>
      </w:pPr>
      <w:r>
        <w:rPr>
          <w:rtl/>
          <w:lang w:bidi="he-IL"/>
        </w:rPr>
        <w:t>חוששים שיתקן כלי שיר.</w:t>
      </w:r>
    </w:p>
    <w:p w14:paraId="31E8E458" w14:textId="77777777" w:rsidR="0009007A" w:rsidRDefault="00000000">
      <w:pPr>
        <w:pStyle w:val="FootnoteText"/>
        <w:numPr>
          <w:ilvl w:val="1"/>
          <w:numId w:val="56"/>
        </w:numPr>
        <w:rPr>
          <w:lang w:bidi="he-IL"/>
        </w:rPr>
      </w:pPr>
      <w:r>
        <w:rPr>
          <w:rtl/>
          <w:lang w:bidi="he-IL"/>
        </w:rPr>
        <w:t>לֹא מְסַפְּקִין</w:t>
      </w:r>
    </w:p>
    <w:p w14:paraId="4E8CD4BE" w14:textId="77777777" w:rsidR="0009007A" w:rsidRDefault="00000000">
      <w:pPr>
        <w:pStyle w:val="FootnoteText"/>
        <w:numPr>
          <w:ilvl w:val="2"/>
          <w:numId w:val="56"/>
        </w:numPr>
        <w:rPr>
          <w:lang w:bidi="he-IL"/>
        </w:rPr>
      </w:pPr>
      <w:r>
        <w:rPr>
          <w:rtl/>
          <w:lang w:bidi="he-IL"/>
        </w:rPr>
        <w:t>חוששים שיתקן כלי שיר.</w:t>
      </w:r>
    </w:p>
    <w:p w14:paraId="0BCA4F86" w14:textId="77777777" w:rsidR="0009007A" w:rsidRDefault="00000000">
      <w:pPr>
        <w:pStyle w:val="FootnoteText"/>
        <w:numPr>
          <w:ilvl w:val="1"/>
          <w:numId w:val="56"/>
        </w:numPr>
        <w:rPr>
          <w:lang w:bidi="he-IL"/>
        </w:rPr>
      </w:pPr>
      <w:r>
        <w:rPr>
          <w:rtl/>
          <w:lang w:bidi="he-IL"/>
        </w:rPr>
        <w:t>לֹא מְרַקְּדִין.</w:t>
      </w:r>
    </w:p>
    <w:p w14:paraId="6B597AA1" w14:textId="77777777" w:rsidR="0009007A" w:rsidRDefault="00000000">
      <w:pPr>
        <w:pStyle w:val="FootnoteText"/>
        <w:numPr>
          <w:ilvl w:val="2"/>
          <w:numId w:val="56"/>
        </w:numPr>
        <w:rPr>
          <w:lang w:bidi="he-IL"/>
        </w:rPr>
      </w:pPr>
      <w:r>
        <w:rPr>
          <w:rtl/>
          <w:lang w:bidi="he-IL"/>
        </w:rPr>
        <w:t>חוששים שיתקן כלי שיר.</w:t>
      </w:r>
    </w:p>
    <w:p w14:paraId="62C2601B" w14:textId="77777777" w:rsidR="0009007A" w:rsidRDefault="00000000">
      <w:pPr>
        <w:pStyle w:val="FootnoteText"/>
        <w:numPr>
          <w:ilvl w:val="0"/>
          <w:numId w:val="56"/>
        </w:numPr>
        <w:rPr>
          <w:lang w:bidi="he-IL"/>
        </w:rPr>
      </w:pPr>
      <w:r>
        <w:rPr>
          <w:rtl/>
          <w:lang w:bidi="he-IL"/>
        </w:rPr>
        <w:t>גזי’ שיש בהם קצת מצווה:</w:t>
      </w:r>
    </w:p>
    <w:p w14:paraId="55EDE21F" w14:textId="77777777" w:rsidR="0009007A" w:rsidRDefault="00000000">
      <w:pPr>
        <w:pStyle w:val="FootnoteText"/>
        <w:numPr>
          <w:ilvl w:val="1"/>
          <w:numId w:val="56"/>
        </w:numPr>
        <w:rPr>
          <w:lang w:bidi="he-IL"/>
        </w:rPr>
      </w:pPr>
      <w:r>
        <w:rPr>
          <w:rtl/>
          <w:lang w:bidi="he-IL"/>
        </w:rPr>
        <w:t>לֹא דָנִין כשיש חכם יותר טוב:</w:t>
      </w:r>
    </w:p>
    <w:p w14:paraId="220891D6" w14:textId="77777777" w:rsidR="0009007A" w:rsidRDefault="00000000">
      <w:pPr>
        <w:pStyle w:val="FootnoteText"/>
        <w:numPr>
          <w:ilvl w:val="2"/>
          <w:numId w:val="56"/>
        </w:numPr>
        <w:rPr>
          <w:lang w:bidi="he-IL"/>
        </w:rPr>
      </w:pPr>
      <w:r>
        <w:rPr>
          <w:rtl/>
          <w:lang w:bidi="he-IL"/>
        </w:rPr>
        <w:t>חוששים שיכתוב.</w:t>
      </w:r>
    </w:p>
    <w:p w14:paraId="3DCF78AA" w14:textId="77777777" w:rsidR="0009007A" w:rsidRDefault="00000000">
      <w:pPr>
        <w:pStyle w:val="FootnoteText"/>
        <w:numPr>
          <w:ilvl w:val="1"/>
          <w:numId w:val="56"/>
        </w:numPr>
        <w:rPr>
          <w:lang w:bidi="he-IL"/>
        </w:rPr>
      </w:pPr>
      <w:r>
        <w:rPr>
          <w:rtl/>
          <w:lang w:bidi="he-IL"/>
        </w:rPr>
        <w:t>לֹא מְקַדְּשִׁין אם יש לו אשה ובנים:</w:t>
      </w:r>
    </w:p>
    <w:p w14:paraId="5B54D4E4" w14:textId="77777777" w:rsidR="0009007A" w:rsidRDefault="00000000">
      <w:pPr>
        <w:pStyle w:val="FootnoteText"/>
        <w:numPr>
          <w:ilvl w:val="2"/>
          <w:numId w:val="56"/>
        </w:numPr>
        <w:rPr>
          <w:lang w:bidi="he-IL"/>
        </w:rPr>
      </w:pPr>
      <w:r>
        <w:rPr>
          <w:rtl/>
          <w:lang w:bidi="he-IL"/>
        </w:rPr>
        <w:t>חוששים שיכתוב.</w:t>
      </w:r>
    </w:p>
    <w:p w14:paraId="60782570" w14:textId="77777777" w:rsidR="0009007A" w:rsidRDefault="00000000">
      <w:pPr>
        <w:pStyle w:val="FootnoteText"/>
        <w:numPr>
          <w:ilvl w:val="1"/>
          <w:numId w:val="56"/>
        </w:numPr>
        <w:rPr>
          <w:lang w:bidi="he-IL"/>
        </w:rPr>
      </w:pPr>
      <w:r>
        <w:rPr>
          <w:rtl/>
          <w:lang w:bidi="he-IL"/>
        </w:rPr>
        <w:t>לֹא חוֹלְצִין כשיש לו אח גדול:</w:t>
      </w:r>
    </w:p>
    <w:p w14:paraId="7C412821" w14:textId="77777777" w:rsidR="0009007A" w:rsidRDefault="00000000">
      <w:pPr>
        <w:pStyle w:val="FootnoteText"/>
        <w:numPr>
          <w:ilvl w:val="2"/>
          <w:numId w:val="56"/>
        </w:numPr>
        <w:rPr>
          <w:lang w:bidi="he-IL"/>
        </w:rPr>
      </w:pPr>
      <w:r>
        <w:rPr>
          <w:rtl/>
          <w:lang w:bidi="he-IL"/>
        </w:rPr>
        <w:t>חוששים שיכתוב.</w:t>
      </w:r>
      <w:r>
        <w:rPr>
          <w:rtl/>
          <w:lang w:bidi="he-IL"/>
        </w:rPr>
        <w:tab/>
      </w:r>
    </w:p>
    <w:p w14:paraId="6AAD7026" w14:textId="77777777" w:rsidR="0009007A" w:rsidRDefault="00000000">
      <w:pPr>
        <w:pStyle w:val="FootnoteText"/>
        <w:numPr>
          <w:ilvl w:val="1"/>
          <w:numId w:val="56"/>
        </w:numPr>
        <w:rPr>
          <w:lang w:bidi="he-IL"/>
        </w:rPr>
      </w:pPr>
      <w:r>
        <w:rPr>
          <w:rtl/>
          <w:lang w:bidi="he-IL"/>
        </w:rPr>
        <w:t>לֹא מְיַבְּמִין כשיש לו אח גדול:</w:t>
      </w:r>
    </w:p>
    <w:p w14:paraId="1AB44CE1" w14:textId="77777777" w:rsidR="0009007A" w:rsidRDefault="00000000">
      <w:pPr>
        <w:pStyle w:val="FootnoteText"/>
        <w:numPr>
          <w:ilvl w:val="2"/>
          <w:numId w:val="56"/>
        </w:numPr>
        <w:rPr>
          <w:lang w:bidi="he-IL"/>
        </w:rPr>
      </w:pPr>
      <w:r>
        <w:rPr>
          <w:rtl/>
          <w:lang w:bidi="he-IL"/>
        </w:rPr>
        <w:t>חוששים שיכתוב.</w:t>
      </w:r>
    </w:p>
    <w:p w14:paraId="11F61CDF" w14:textId="77777777" w:rsidR="0009007A" w:rsidRDefault="00000000">
      <w:pPr>
        <w:pStyle w:val="FootnoteText"/>
        <w:numPr>
          <w:ilvl w:val="0"/>
          <w:numId w:val="56"/>
        </w:numPr>
        <w:rPr>
          <w:lang w:bidi="he-IL"/>
        </w:rPr>
      </w:pPr>
      <w:r>
        <w:rPr>
          <w:rtl/>
          <w:lang w:bidi="he-IL"/>
        </w:rPr>
        <w:t>גזי’ שיש בהם מצווה:</w:t>
      </w:r>
    </w:p>
    <w:p w14:paraId="29BE5547" w14:textId="77777777" w:rsidR="0009007A" w:rsidRDefault="00000000">
      <w:pPr>
        <w:pStyle w:val="FootnoteText"/>
        <w:numPr>
          <w:ilvl w:val="1"/>
          <w:numId w:val="56"/>
        </w:numPr>
        <w:rPr>
          <w:lang w:bidi="he-IL"/>
        </w:rPr>
      </w:pPr>
      <w:r>
        <w:rPr>
          <w:rtl/>
          <w:lang w:bidi="he-IL"/>
        </w:rPr>
        <w:t>לֹא דָנִין כשאין חכם יותר טוב:</w:t>
      </w:r>
    </w:p>
    <w:p w14:paraId="05DA5C77" w14:textId="77777777" w:rsidR="0009007A" w:rsidRDefault="00000000">
      <w:pPr>
        <w:pStyle w:val="FootnoteText"/>
        <w:numPr>
          <w:ilvl w:val="2"/>
          <w:numId w:val="56"/>
        </w:numPr>
        <w:rPr>
          <w:lang w:bidi="he-IL"/>
        </w:rPr>
      </w:pPr>
      <w:r>
        <w:rPr>
          <w:rtl/>
          <w:lang w:bidi="he-IL"/>
        </w:rPr>
        <w:t>חוששים שיכתוב.</w:t>
      </w:r>
    </w:p>
    <w:p w14:paraId="2519E247" w14:textId="77777777" w:rsidR="0009007A" w:rsidRDefault="00000000">
      <w:pPr>
        <w:pStyle w:val="FootnoteText"/>
        <w:numPr>
          <w:ilvl w:val="1"/>
          <w:numId w:val="56"/>
        </w:numPr>
        <w:rPr>
          <w:lang w:bidi="he-IL"/>
        </w:rPr>
      </w:pPr>
      <w:r>
        <w:rPr>
          <w:rtl/>
          <w:lang w:bidi="he-IL"/>
        </w:rPr>
        <w:t>לֹא מְקַדְּשִׁין כשאין לו אשה ובנים:</w:t>
      </w:r>
    </w:p>
    <w:p w14:paraId="6D0A753D" w14:textId="77777777" w:rsidR="0009007A" w:rsidRDefault="00000000">
      <w:pPr>
        <w:pStyle w:val="FootnoteText"/>
        <w:numPr>
          <w:ilvl w:val="2"/>
          <w:numId w:val="56"/>
        </w:numPr>
        <w:rPr>
          <w:lang w:bidi="he-IL"/>
        </w:rPr>
      </w:pPr>
      <w:r>
        <w:rPr>
          <w:rtl/>
          <w:lang w:bidi="he-IL"/>
        </w:rPr>
        <w:t>חוששים שיכתוב.</w:t>
      </w:r>
    </w:p>
    <w:p w14:paraId="45408EE2" w14:textId="77777777" w:rsidR="0009007A" w:rsidRDefault="00000000">
      <w:pPr>
        <w:pStyle w:val="FootnoteText"/>
        <w:numPr>
          <w:ilvl w:val="1"/>
          <w:numId w:val="56"/>
        </w:numPr>
        <w:rPr>
          <w:lang w:bidi="he-IL"/>
        </w:rPr>
      </w:pPr>
      <w:r>
        <w:rPr>
          <w:rtl/>
          <w:lang w:bidi="he-IL"/>
        </w:rPr>
        <w:t>לֹא חוֹלְצִין כשהוא אח גדול:</w:t>
      </w:r>
    </w:p>
    <w:p w14:paraId="58B65954" w14:textId="77777777" w:rsidR="0009007A" w:rsidRDefault="00000000">
      <w:pPr>
        <w:pStyle w:val="FootnoteText"/>
        <w:numPr>
          <w:ilvl w:val="2"/>
          <w:numId w:val="56"/>
        </w:numPr>
        <w:rPr>
          <w:lang w:bidi="he-IL"/>
        </w:rPr>
      </w:pPr>
      <w:r>
        <w:rPr>
          <w:rtl/>
          <w:lang w:bidi="he-IL"/>
        </w:rPr>
        <w:t>חוששים שיכתוב.</w:t>
      </w:r>
    </w:p>
    <w:p w14:paraId="668DD490" w14:textId="77777777" w:rsidR="0009007A" w:rsidRDefault="00000000">
      <w:pPr>
        <w:pStyle w:val="FootnoteText"/>
        <w:numPr>
          <w:ilvl w:val="1"/>
          <w:numId w:val="56"/>
        </w:numPr>
        <w:rPr>
          <w:lang w:bidi="he-IL"/>
        </w:rPr>
      </w:pPr>
      <w:r>
        <w:rPr>
          <w:rtl/>
          <w:lang w:bidi="he-IL"/>
        </w:rPr>
        <w:t>לֹא מְיַבְּמִין כשהוא אח גדול:</w:t>
      </w:r>
    </w:p>
    <w:p w14:paraId="6A208B7A" w14:textId="77777777" w:rsidR="0009007A" w:rsidRDefault="00000000">
      <w:pPr>
        <w:pStyle w:val="FootnoteText"/>
        <w:numPr>
          <w:ilvl w:val="2"/>
          <w:numId w:val="56"/>
        </w:numPr>
        <w:rPr>
          <w:lang w:bidi="he-IL"/>
        </w:rPr>
      </w:pPr>
      <w:r>
        <w:rPr>
          <w:rtl/>
          <w:lang w:bidi="he-IL"/>
        </w:rPr>
        <w:t>חוששים שיכתוב.</w:t>
      </w:r>
    </w:p>
    <w:p w14:paraId="7D93A820" w14:textId="77777777" w:rsidR="0009007A" w:rsidRDefault="00000000">
      <w:pPr>
        <w:pStyle w:val="FootnoteText"/>
        <w:numPr>
          <w:ilvl w:val="1"/>
          <w:numId w:val="56"/>
        </w:numPr>
        <w:rPr>
          <w:lang w:bidi="he-IL"/>
        </w:rPr>
      </w:pPr>
      <w:r>
        <w:rPr>
          <w:rtl/>
          <w:lang w:bidi="he-IL"/>
        </w:rPr>
        <w:t>לֹא מַקְדִּישִׁין:</w:t>
      </w:r>
    </w:p>
    <w:p w14:paraId="24A5C78B" w14:textId="77777777" w:rsidR="0009007A" w:rsidRDefault="00000000">
      <w:pPr>
        <w:pStyle w:val="FootnoteText"/>
        <w:numPr>
          <w:ilvl w:val="2"/>
          <w:numId w:val="56"/>
        </w:numPr>
        <w:rPr>
          <w:lang w:bidi="he-IL"/>
        </w:rPr>
      </w:pPr>
      <w:r>
        <w:rPr>
          <w:rtl/>
          <w:lang w:bidi="he-IL"/>
        </w:rPr>
        <w:t>נראה כמקח וממכר.</w:t>
      </w:r>
    </w:p>
    <w:p w14:paraId="06E4D2FA" w14:textId="77777777" w:rsidR="0009007A" w:rsidRDefault="00000000">
      <w:pPr>
        <w:pStyle w:val="FootnoteText"/>
        <w:numPr>
          <w:ilvl w:val="1"/>
          <w:numId w:val="56"/>
        </w:numPr>
        <w:rPr>
          <w:lang w:bidi="he-IL"/>
        </w:rPr>
      </w:pPr>
      <w:r>
        <w:rPr>
          <w:rtl/>
          <w:lang w:bidi="he-IL"/>
        </w:rPr>
        <w:t>לֹא מַעֲרִיכִין:</w:t>
      </w:r>
    </w:p>
    <w:p w14:paraId="137E6C22" w14:textId="77777777" w:rsidR="0009007A" w:rsidRDefault="00000000">
      <w:pPr>
        <w:pStyle w:val="FootnoteText"/>
        <w:numPr>
          <w:ilvl w:val="2"/>
          <w:numId w:val="56"/>
        </w:numPr>
        <w:rPr>
          <w:lang w:bidi="he-IL"/>
        </w:rPr>
      </w:pPr>
      <w:r>
        <w:rPr>
          <w:rtl/>
          <w:lang w:bidi="he-IL"/>
        </w:rPr>
        <w:t>נראה כמקח וממכר.</w:t>
      </w:r>
    </w:p>
    <w:p w14:paraId="74070760" w14:textId="77777777" w:rsidR="0009007A" w:rsidRDefault="00000000">
      <w:pPr>
        <w:pStyle w:val="FootnoteText"/>
        <w:numPr>
          <w:ilvl w:val="1"/>
          <w:numId w:val="56"/>
        </w:numPr>
        <w:rPr>
          <w:lang w:bidi="he-IL"/>
        </w:rPr>
      </w:pPr>
      <w:r>
        <w:rPr>
          <w:rtl/>
          <w:lang w:bidi="he-IL"/>
        </w:rPr>
        <w:t>לֹא מַחֲרִימִין:</w:t>
      </w:r>
    </w:p>
    <w:p w14:paraId="4CB2E277" w14:textId="77777777" w:rsidR="0009007A" w:rsidRDefault="00000000">
      <w:pPr>
        <w:pStyle w:val="FootnoteText"/>
        <w:numPr>
          <w:ilvl w:val="2"/>
          <w:numId w:val="56"/>
        </w:numPr>
        <w:rPr>
          <w:lang w:bidi="he-IL"/>
        </w:rPr>
      </w:pPr>
      <w:r>
        <w:rPr>
          <w:rtl/>
          <w:lang w:bidi="he-IL"/>
        </w:rPr>
        <w:t>נראה כמקח וממכר.</w:t>
      </w:r>
    </w:p>
    <w:p w14:paraId="05A6BAFD" w14:textId="77777777" w:rsidR="0009007A" w:rsidRDefault="00000000">
      <w:pPr>
        <w:pStyle w:val="FootnoteText"/>
        <w:numPr>
          <w:ilvl w:val="1"/>
          <w:numId w:val="56"/>
        </w:numPr>
        <w:rPr>
          <w:lang w:bidi="he-IL"/>
        </w:rPr>
      </w:pPr>
      <w:r>
        <w:rPr>
          <w:rtl/>
          <w:lang w:bidi="he-IL"/>
        </w:rPr>
        <w:t>לֹא מַגְבִּיהִין תְּרוּמָה וּמַעֲשֵׂר:</w:t>
      </w:r>
    </w:p>
    <w:p w14:paraId="68602186" w14:textId="77777777" w:rsidR="0009007A" w:rsidRDefault="00000000">
      <w:pPr>
        <w:pStyle w:val="FootnoteText"/>
        <w:numPr>
          <w:ilvl w:val="2"/>
          <w:numId w:val="56"/>
        </w:numPr>
        <w:rPr>
          <w:lang w:bidi="he-IL"/>
        </w:rPr>
      </w:pPr>
      <w:r>
        <w:rPr>
          <w:rtl/>
          <w:lang w:bidi="he-IL"/>
        </w:rPr>
        <w:t>נראה כמתקן.</w:t>
      </w:r>
    </w:p>
  </w:footnote>
  <w:footnote w:id="418">
    <w:p w14:paraId="4AF2F290" w14:textId="77777777" w:rsidR="0009007A" w:rsidRDefault="00000000">
      <w:pPr>
        <w:pStyle w:val="FootnoteText"/>
        <w:rPr>
          <w:b/>
          <w:bCs/>
          <w:lang w:bidi="he-IL"/>
        </w:rPr>
      </w:pPr>
      <w:r>
        <w:rPr>
          <w:rStyle w:val="FootnoteCharacters"/>
        </w:rPr>
        <w:footnoteRef/>
      </w:r>
      <w:r>
        <w:rPr>
          <w:b/>
          <w:bCs/>
          <w:rtl/>
          <w:lang w:bidi="he-IL"/>
        </w:rPr>
        <w:tab/>
        <w:t>משנה ג:</w:t>
      </w:r>
    </w:p>
  </w:footnote>
  <w:footnote w:id="419">
    <w:p w14:paraId="655052D4" w14:textId="77777777" w:rsidR="0009007A" w:rsidRDefault="00000000">
      <w:pPr>
        <w:pStyle w:val="FootnoteText"/>
        <w:rPr>
          <w:b/>
          <w:bCs/>
          <w:lang w:bidi="he-IL"/>
        </w:rPr>
      </w:pPr>
      <w:r>
        <w:rPr>
          <w:rStyle w:val="FootnoteCharacters"/>
        </w:rPr>
        <w:footnoteRef/>
      </w:r>
      <w:r>
        <w:rPr>
          <w:b/>
          <w:bCs/>
          <w:rtl/>
          <w:lang w:bidi="he-IL"/>
        </w:rPr>
        <w:tab/>
        <w:t>הקדמה:</w:t>
      </w:r>
    </w:p>
    <w:p w14:paraId="55868B05" w14:textId="77777777" w:rsidR="0009007A" w:rsidRDefault="00000000">
      <w:pPr>
        <w:pStyle w:val="FootnoteText"/>
        <w:rPr>
          <w:b/>
          <w:bCs/>
          <w:lang w:bidi="he-IL"/>
        </w:rPr>
      </w:pPr>
      <w:r>
        <w:rPr>
          <w:b/>
          <w:bCs/>
          <w:rtl/>
          <w:lang w:bidi="he-IL"/>
        </w:rPr>
        <w:tab/>
      </w:r>
      <w:r>
        <w:rPr>
          <w:rtl/>
          <w:lang w:bidi="he-IL"/>
        </w:rPr>
        <w:t>משנה זה מבאר איסור של תחומים. בשבת ויום טוב, אסור לצאת מן התחום. (התחום הוא אלפיים אמה ממקום האדם, בכל צד. מקום האדם אינו תמיד תחתיו, אלא אם יש לו מאכל שהוא בתוך אלפיים אמה מתחתיו בביה"ש, יכול לכוון לשבות שם.) לא רק אסור לאיש לצאת מתוך התחום שלו, אלא גם אסור להוליך חפצים חוץ מתחום שלהם. אם אדם יצא מתחום שלו בשבת, ואף אם יצא באונס, רק יש לו ד"א ללכת בהם. משנה זה יבאר מהו תחום של חפצים.</w:t>
      </w:r>
    </w:p>
    <w:p w14:paraId="25903043" w14:textId="77777777" w:rsidR="0009007A" w:rsidRDefault="00000000">
      <w:pPr>
        <w:pStyle w:val="FootnoteText"/>
        <w:rPr>
          <w:b/>
          <w:bCs/>
          <w:lang w:bidi="he-IL"/>
        </w:rPr>
      </w:pPr>
      <w:r>
        <w:rPr>
          <w:rtl/>
          <w:lang w:bidi="he-IL"/>
        </w:rPr>
        <w:tab/>
        <w:t>חולקים תנאים (רבי עקיבא ורבנן) אם איסור תחומים הוא מדאו’ או מדרבנן.</w:t>
      </w:r>
    </w:p>
    <w:p w14:paraId="27982DF8" w14:textId="77777777" w:rsidR="0009007A" w:rsidRDefault="00000000">
      <w:pPr>
        <w:pStyle w:val="FootnoteText"/>
        <w:rPr>
          <w:b/>
          <w:bCs/>
          <w:lang w:bidi="he-IL"/>
        </w:rPr>
      </w:pPr>
      <w:r>
        <w:rPr>
          <w:rtl/>
          <w:lang w:bidi="he-IL"/>
        </w:rPr>
        <w:tab/>
        <w:t>יש להעיר שגמ’ דן בכ"מ אם יש איסור תחומים בי"ט. משנה זו סוברת שיש איסור תחומים בי"ט.</w:t>
      </w:r>
    </w:p>
  </w:footnote>
  <w:footnote w:id="420">
    <w:p w14:paraId="14283C58" w14:textId="77777777" w:rsidR="0009007A" w:rsidRDefault="00000000">
      <w:pPr>
        <w:pStyle w:val="FootnoteText"/>
        <w:rPr>
          <w:lang w:bidi="he-IL"/>
        </w:rPr>
      </w:pPr>
      <w:r>
        <w:rPr>
          <w:rStyle w:val="FootnoteCharacters"/>
        </w:rPr>
        <w:footnoteRef/>
      </w:r>
      <w:r>
        <w:rPr>
          <w:rtl/>
          <w:lang w:bidi="he-IL"/>
        </w:rPr>
        <w:tab/>
        <w:t xml:space="preserve">חולקים תנאים אם יש מקום לכלי הפקר. אם יש, מקבל מקומו. אם אין, יכול ללכת בכל מקום. </w:t>
      </w:r>
      <w:r>
        <w:rPr>
          <w:b/>
          <w:bCs/>
          <w:rtl/>
          <w:lang w:bidi="he-IL"/>
        </w:rPr>
        <w:t>(לז:)</w:t>
      </w:r>
    </w:p>
  </w:footnote>
  <w:footnote w:id="421">
    <w:p w14:paraId="669FA6C0" w14:textId="77777777" w:rsidR="0009007A" w:rsidRDefault="00000000">
      <w:pPr>
        <w:pStyle w:val="FootnoteText"/>
        <w:rPr>
          <w:lang w:bidi="he-IL"/>
        </w:rPr>
      </w:pPr>
      <w:r>
        <w:rPr>
          <w:rStyle w:val="FootnoteCharacters"/>
        </w:rPr>
        <w:footnoteRef/>
      </w:r>
      <w:r>
        <w:rPr>
          <w:rtl/>
          <w:lang w:bidi="he-IL"/>
        </w:rPr>
        <w:tab/>
        <w:t xml:space="preserve">חולקים רבי דוסא ורבנן אם כרגלי רועה או כרגלי בעל הוא. גמ’ מתחיל לחשוב שמשנה שלנו אינו כרבי דוסא. דוחה שאולי רבי דוסא רק אמר כן אם הכל נותנים לרועה אחד. ממה שגם מזכיר בנו במשנה, משמע שאינו כן. אז, המשנה כרבי דוסא. </w:t>
      </w:r>
      <w:r>
        <w:rPr>
          <w:b/>
          <w:bCs/>
          <w:u w:val="single"/>
          <w:rtl/>
          <w:lang w:bidi="he-IL"/>
        </w:rPr>
        <w:t>(לז:)</w:t>
      </w:r>
    </w:p>
  </w:footnote>
  <w:footnote w:id="422">
    <w:p w14:paraId="15CD0917" w14:textId="77777777" w:rsidR="0009007A" w:rsidRDefault="00000000">
      <w:pPr>
        <w:pStyle w:val="FootnoteText"/>
        <w:rPr>
          <w:lang w:bidi="he-IL"/>
        </w:rPr>
      </w:pPr>
      <w:r>
        <w:rPr>
          <w:rStyle w:val="FootnoteCharacters"/>
        </w:rPr>
        <w:footnoteRef/>
      </w:r>
      <w:r>
        <w:rPr>
          <w:rtl/>
          <w:lang w:bidi="he-IL"/>
        </w:rPr>
        <w:tab/>
        <w:t>שבבין השמשות לא היה פשוט שיתן אותו לבנו או לרועה.</w:t>
      </w:r>
    </w:p>
  </w:footnote>
  <w:footnote w:id="423">
    <w:p w14:paraId="75E27C10" w14:textId="77777777" w:rsidR="0009007A" w:rsidRDefault="00000000">
      <w:pPr>
        <w:pStyle w:val="FootnoteText"/>
        <w:rPr>
          <w:lang w:bidi="he-IL"/>
        </w:rPr>
      </w:pPr>
      <w:r>
        <w:rPr>
          <w:rStyle w:val="FootnoteCharacters"/>
        </w:rPr>
        <w:footnoteRef/>
      </w:r>
      <w:r>
        <w:rPr>
          <w:rtl/>
          <w:lang w:bidi="he-IL"/>
        </w:rPr>
        <w:tab/>
        <w:t xml:space="preserve">למקום שכולם יכולים ללכת, כיון שהם תלויים בכל אחד מהם. (רשי </w:t>
      </w:r>
      <w:r>
        <w:rPr>
          <w:b/>
          <w:bCs/>
          <w:u w:val="single"/>
          <w:rtl/>
          <w:lang w:bidi="he-IL"/>
        </w:rPr>
        <w:t>לז.</w:t>
      </w:r>
      <w:r>
        <w:rPr>
          <w:rtl/>
          <w:lang w:bidi="he-IL"/>
        </w:rPr>
        <w:t>)</w:t>
      </w:r>
    </w:p>
  </w:footnote>
  <w:footnote w:id="424">
    <w:p w14:paraId="0CBE614F" w14:textId="77777777" w:rsidR="0009007A" w:rsidRDefault="00000000">
      <w:pPr>
        <w:pStyle w:val="FootnoteText"/>
        <w:rPr>
          <w:lang w:bidi="he-IL"/>
        </w:rPr>
      </w:pPr>
      <w:r>
        <w:rPr>
          <w:rStyle w:val="FootnoteCharacters"/>
        </w:rPr>
        <w:footnoteRef/>
      </w:r>
      <w:r>
        <w:rPr>
          <w:rtl/>
          <w:lang w:bidi="he-IL"/>
        </w:rPr>
        <w:tab/>
        <w:t>אחים גרים ביחד בבית. לפעמים, לא חלקו בנכסים, ואז כרגלי כולם הם. יש נכסים שכבר חלקו (או שלא באו מתפ"ב), ובהם יש דין של כל נסכים שבעולם, והוא שהולכים אחרי מקום הבעלים. (נ’ שההו"א הוא שכיון שדרים ביחד, עומדים לשאלה לכל אחד ואחד.)</w:t>
      </w:r>
    </w:p>
  </w:footnote>
  <w:footnote w:id="425">
    <w:p w14:paraId="7EA7D1F6" w14:textId="77777777" w:rsidR="0009007A" w:rsidRDefault="00000000">
      <w:pPr>
        <w:pStyle w:val="FootnoteText"/>
        <w:rPr>
          <w:b/>
          <w:bCs/>
          <w:lang w:bidi="he-IL"/>
        </w:rPr>
      </w:pPr>
      <w:r>
        <w:rPr>
          <w:rStyle w:val="FootnoteCharacters"/>
        </w:rPr>
        <w:footnoteRef/>
      </w:r>
      <w:r>
        <w:rPr>
          <w:b/>
          <w:bCs/>
          <w:rtl/>
          <w:lang w:bidi="he-IL"/>
        </w:rPr>
        <w:tab/>
        <w:t>משנה ד:</w:t>
      </w:r>
    </w:p>
  </w:footnote>
  <w:footnote w:id="426">
    <w:p w14:paraId="072EC866" w14:textId="77777777" w:rsidR="0009007A" w:rsidRDefault="00000000">
      <w:pPr>
        <w:pStyle w:val="FootnoteText"/>
        <w:rPr>
          <w:b/>
          <w:bCs/>
          <w:lang w:bidi="he-IL"/>
        </w:rPr>
      </w:pPr>
      <w:r>
        <w:rPr>
          <w:rStyle w:val="FootnoteCharacters"/>
        </w:rPr>
        <w:footnoteRef/>
      </w:r>
      <w:r>
        <w:rPr>
          <w:b/>
          <w:bCs/>
          <w:rtl/>
          <w:lang w:bidi="he-IL"/>
        </w:rPr>
        <w:tab/>
        <w:t>הקדמה:</w:t>
      </w:r>
    </w:p>
    <w:p w14:paraId="28CAB89D" w14:textId="77777777" w:rsidR="0009007A" w:rsidRDefault="00000000">
      <w:pPr>
        <w:pStyle w:val="FootnoteText"/>
        <w:rPr>
          <w:b/>
          <w:bCs/>
          <w:lang w:bidi="he-IL"/>
        </w:rPr>
      </w:pPr>
      <w:r>
        <w:rPr>
          <w:rtl/>
          <w:lang w:bidi="he-IL"/>
        </w:rPr>
        <w:tab/>
        <w:t>משנה זה ממשיך לדון בתחום, ומבאר מהו מקום דבר הנשאל, או דבר שחלק ממנו נשאל.</w:t>
      </w:r>
    </w:p>
  </w:footnote>
  <w:footnote w:id="427">
    <w:p w14:paraId="0419246C" w14:textId="77777777" w:rsidR="0009007A" w:rsidRDefault="00000000">
      <w:pPr>
        <w:pStyle w:val="FootnoteText"/>
        <w:rPr>
          <w:lang w:bidi="he-IL"/>
        </w:rPr>
      </w:pPr>
      <w:r>
        <w:rPr>
          <w:rStyle w:val="FootnoteCharacters"/>
        </w:rPr>
        <w:footnoteRef/>
      </w:r>
      <w:r>
        <w:rPr>
          <w:rtl/>
          <w:lang w:bidi="he-IL"/>
        </w:rPr>
        <w:tab/>
        <w:t xml:space="preserve">גמ’ מבאר שיש בזה חידוש- אף שאל נתן לו הכלי בעי"ט, מקומו כמקום השואל. </w:t>
      </w:r>
      <w:r>
        <w:rPr>
          <w:b/>
          <w:bCs/>
          <w:u w:val="single"/>
          <w:rtl/>
          <w:lang w:bidi="he-IL"/>
        </w:rPr>
        <w:t>(לח.)</w:t>
      </w:r>
    </w:p>
  </w:footnote>
  <w:footnote w:id="428">
    <w:p w14:paraId="5396FE5A" w14:textId="77777777" w:rsidR="0009007A" w:rsidRDefault="00000000">
      <w:pPr>
        <w:pStyle w:val="FootnoteText"/>
        <w:rPr>
          <w:lang w:bidi="he-IL"/>
        </w:rPr>
      </w:pPr>
      <w:r>
        <w:rPr>
          <w:rStyle w:val="FootnoteCharacters"/>
        </w:rPr>
        <w:footnoteRef/>
      </w:r>
      <w:r>
        <w:rPr>
          <w:rtl/>
          <w:lang w:bidi="he-IL"/>
        </w:rPr>
        <w:tab/>
        <w:t xml:space="preserve">גמ’ מבאר שיש בזה חידוש- אף אם רגיל לשאול ממנו, כיון שלא שאל ממנו, אין מקומו כמקום השואל. </w:t>
      </w:r>
      <w:r>
        <w:rPr>
          <w:b/>
          <w:bCs/>
          <w:u w:val="single"/>
          <w:rtl/>
          <w:lang w:bidi="he-IL"/>
        </w:rPr>
        <w:t>(לח.)</w:t>
      </w:r>
    </w:p>
  </w:footnote>
  <w:footnote w:id="429">
    <w:p w14:paraId="62A8A899" w14:textId="77777777" w:rsidR="0009007A" w:rsidRDefault="00000000">
      <w:pPr>
        <w:pStyle w:val="FootnoteText"/>
        <w:rPr>
          <w:lang w:bidi="he-IL"/>
        </w:rPr>
      </w:pPr>
      <w:r>
        <w:rPr>
          <w:rStyle w:val="FootnoteCharacters"/>
        </w:rPr>
        <w:footnoteRef/>
      </w:r>
      <w:r>
        <w:rPr>
          <w:rtl/>
          <w:lang w:bidi="he-IL"/>
        </w:rPr>
        <w:tab/>
        <w:t>גמ’ שואל למה לא בטלים בעיסה. נותן ארבע תירוצים:</w:t>
      </w:r>
    </w:p>
    <w:p w14:paraId="7B58D09E" w14:textId="77777777" w:rsidR="0009007A" w:rsidRDefault="00000000">
      <w:pPr>
        <w:pStyle w:val="FootnoteText"/>
        <w:numPr>
          <w:ilvl w:val="0"/>
          <w:numId w:val="57"/>
        </w:numPr>
        <w:rPr>
          <w:lang w:bidi="he-IL"/>
        </w:rPr>
      </w:pPr>
      <w:r>
        <w:rPr>
          <w:rtl/>
          <w:lang w:bidi="he-IL"/>
        </w:rPr>
        <w:t xml:space="preserve">כיון שגורם ממון לאחר (שצריך לשלם לו), חשוב הוא, ולא בטל. דוחה גמ’ את זה כיון שמצאנו אותו חשיבות גם לדבר של הפקר, לפי שיטות שלדבר הפקר יש תחום. </w:t>
      </w:r>
    </w:p>
    <w:p w14:paraId="194831D7" w14:textId="77777777" w:rsidR="0009007A" w:rsidRDefault="00000000">
      <w:pPr>
        <w:pStyle w:val="FootnoteText"/>
        <w:numPr>
          <w:ilvl w:val="0"/>
          <w:numId w:val="57"/>
        </w:numPr>
        <w:rPr>
          <w:lang w:bidi="he-IL"/>
        </w:rPr>
      </w:pPr>
      <w:r>
        <w:rPr>
          <w:rtl/>
          <w:lang w:bidi="he-IL"/>
        </w:rPr>
        <w:t>גזי’ הוא שמא יעשו עיסה בשותפות, שכל אחד יוליך אותו למקומוה (ולאחד בוודאי אסור).</w:t>
      </w:r>
    </w:p>
    <w:p w14:paraId="01ACC313" w14:textId="77777777" w:rsidR="0009007A" w:rsidRDefault="00000000">
      <w:pPr>
        <w:pStyle w:val="FootnoteText"/>
        <w:numPr>
          <w:ilvl w:val="0"/>
          <w:numId w:val="57"/>
        </w:numPr>
        <w:rPr>
          <w:lang w:bidi="he-IL"/>
        </w:rPr>
      </w:pPr>
      <w:r>
        <w:rPr>
          <w:rtl/>
          <w:lang w:bidi="he-IL"/>
        </w:rPr>
        <w:t xml:space="preserve">דברים אלו עשויים לטעם, ולכך חשובים, ולא בטלים. </w:t>
      </w:r>
    </w:p>
    <w:p w14:paraId="5BC46BB2" w14:textId="77777777" w:rsidR="0009007A" w:rsidRDefault="00000000">
      <w:pPr>
        <w:pStyle w:val="FootnoteText"/>
        <w:numPr>
          <w:ilvl w:val="0"/>
          <w:numId w:val="57"/>
        </w:numPr>
        <w:rPr>
          <w:lang w:bidi="he-IL"/>
        </w:rPr>
      </w:pPr>
      <w:r>
        <w:rPr>
          <w:rtl/>
          <w:lang w:bidi="he-IL"/>
        </w:rPr>
        <w:t xml:space="preserve">דבר שיש לו מתירים הוא, ולכן לא בטל. </w:t>
      </w:r>
      <w:r>
        <w:rPr>
          <w:b/>
          <w:bCs/>
          <w:u w:val="single"/>
          <w:rtl/>
          <w:lang w:bidi="he-IL"/>
        </w:rPr>
        <w:t>(לח:, לט.)</w:t>
      </w:r>
    </w:p>
  </w:footnote>
  <w:footnote w:id="430">
    <w:p w14:paraId="1964638F" w14:textId="77777777" w:rsidR="0009007A" w:rsidRDefault="00000000">
      <w:pPr>
        <w:pStyle w:val="FootnoteText"/>
      </w:pPr>
      <w:r>
        <w:rPr>
          <w:rStyle w:val="FootnoteCharacters"/>
        </w:rPr>
        <w:footnoteRef/>
      </w:r>
      <w:r>
        <w:rPr>
          <w:rtl/>
          <w:lang w:bidi="he-IL"/>
        </w:rPr>
        <w:tab/>
        <w:t xml:space="preserve">גם פוטר במלח סדומית, שהיא דקה מאד. </w:t>
      </w:r>
      <w:r>
        <w:rPr>
          <w:b/>
          <w:bCs/>
          <w:u w:val="single"/>
          <w:rtl/>
          <w:lang w:bidi="he-IL"/>
        </w:rPr>
        <w:t>(לט.)</w:t>
      </w:r>
    </w:p>
  </w:footnote>
  <w:footnote w:id="431">
    <w:p w14:paraId="3B4C31E7" w14:textId="77777777" w:rsidR="0009007A" w:rsidRDefault="00000000">
      <w:pPr>
        <w:pStyle w:val="FootnoteText"/>
        <w:rPr>
          <w:lang w:bidi="he-IL"/>
        </w:rPr>
      </w:pPr>
      <w:r>
        <w:rPr>
          <w:rStyle w:val="FootnoteCharacters"/>
        </w:rPr>
        <w:footnoteRef/>
      </w:r>
      <w:r>
        <w:rPr>
          <w:rtl/>
          <w:lang w:bidi="he-IL"/>
        </w:rPr>
        <w:tab/>
        <w:t>לא מוסיף טעם.</w:t>
      </w:r>
    </w:p>
  </w:footnote>
  <w:footnote w:id="432">
    <w:p w14:paraId="7523334C" w14:textId="77777777" w:rsidR="0009007A" w:rsidRDefault="00000000">
      <w:pPr>
        <w:pStyle w:val="FootnoteText"/>
        <w:rPr>
          <w:lang w:bidi="he-IL"/>
        </w:rPr>
      </w:pPr>
      <w:r>
        <w:rPr>
          <w:rStyle w:val="FootnoteCharacters"/>
        </w:rPr>
        <w:footnoteRef/>
      </w:r>
      <w:r>
        <w:rPr>
          <w:rtl/>
          <w:lang w:bidi="he-IL"/>
        </w:rPr>
        <w:tab/>
        <w:t xml:space="preserve">גמ’ מבאר שאם יש הרבה רוטב, לא בטלים, שמוסיפים את הרוטב. </w:t>
      </w:r>
      <w:r>
        <w:rPr>
          <w:b/>
          <w:bCs/>
          <w:u w:val="single"/>
          <w:rtl/>
          <w:lang w:bidi="he-IL"/>
        </w:rPr>
        <w:t>(לט.)</w:t>
      </w:r>
      <w:r>
        <w:rPr>
          <w:rtl/>
          <w:lang w:bidi="he-IL"/>
        </w:rPr>
        <w:t xml:space="preserve"> </w:t>
      </w:r>
    </w:p>
  </w:footnote>
  <w:footnote w:id="433">
    <w:p w14:paraId="6273D648"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10F062BF" w14:textId="77777777" w:rsidR="0009007A" w:rsidRDefault="00000000">
      <w:pPr>
        <w:pStyle w:val="FootnoteText"/>
        <w:numPr>
          <w:ilvl w:val="0"/>
          <w:numId w:val="59"/>
        </w:numPr>
        <w:rPr>
          <w:lang w:bidi="he-IL"/>
        </w:rPr>
      </w:pPr>
      <w:r>
        <w:rPr>
          <w:rtl/>
          <w:lang w:bidi="he-IL"/>
        </w:rPr>
        <w:t>כלי ששאל בעי"ט- כרגל השואל.</w:t>
      </w:r>
    </w:p>
    <w:p w14:paraId="71090403" w14:textId="77777777" w:rsidR="0009007A" w:rsidRDefault="00000000">
      <w:pPr>
        <w:pStyle w:val="FootnoteText"/>
        <w:numPr>
          <w:ilvl w:val="0"/>
          <w:numId w:val="59"/>
        </w:numPr>
        <w:rPr>
          <w:lang w:bidi="he-IL"/>
        </w:rPr>
      </w:pPr>
      <w:r>
        <w:rPr>
          <w:rtl/>
          <w:lang w:bidi="he-IL"/>
        </w:rPr>
        <w:t>כלי ששאל בי"ט- כרגלי המשאיל.</w:t>
      </w:r>
    </w:p>
    <w:p w14:paraId="01EBE400" w14:textId="77777777" w:rsidR="0009007A" w:rsidRDefault="00000000">
      <w:pPr>
        <w:pStyle w:val="FootnoteText"/>
        <w:numPr>
          <w:ilvl w:val="0"/>
          <w:numId w:val="59"/>
        </w:numPr>
        <w:rPr>
          <w:lang w:bidi="he-IL"/>
        </w:rPr>
      </w:pPr>
      <w:r>
        <w:rPr>
          <w:rtl/>
          <w:lang w:bidi="he-IL"/>
        </w:rPr>
        <w:t>דבר שמקצת ממנו נשאל בי"ט- כרגלי שניהם.</w:t>
      </w:r>
    </w:p>
    <w:p w14:paraId="51967FAF" w14:textId="77777777" w:rsidR="0009007A" w:rsidRDefault="00000000">
      <w:pPr>
        <w:pStyle w:val="FootnoteText"/>
        <w:numPr>
          <w:ilvl w:val="1"/>
          <w:numId w:val="59"/>
        </w:numPr>
        <w:rPr>
          <w:lang w:bidi="he-IL"/>
        </w:rPr>
      </w:pPr>
      <w:r>
        <w:rPr>
          <w:rtl/>
          <w:lang w:bidi="he-IL"/>
        </w:rPr>
        <w:t>רבי יהודה אומר שאם שאל מלח סדומית או מים לתבשיל עבה, אינו חשוב, ואין חוששים למקום של המשאיל.</w:t>
      </w:r>
    </w:p>
  </w:footnote>
  <w:footnote w:id="434">
    <w:p w14:paraId="15AD3273" w14:textId="77777777" w:rsidR="0009007A" w:rsidRDefault="00000000">
      <w:pPr>
        <w:pStyle w:val="FootnoteText"/>
        <w:rPr>
          <w:b/>
          <w:bCs/>
          <w:lang w:bidi="he-IL"/>
        </w:rPr>
      </w:pPr>
      <w:r>
        <w:rPr>
          <w:rStyle w:val="FootnoteCharacters"/>
        </w:rPr>
        <w:footnoteRef/>
      </w:r>
      <w:r>
        <w:rPr>
          <w:b/>
          <w:bCs/>
          <w:rtl/>
          <w:lang w:bidi="he-IL"/>
        </w:rPr>
        <w:tab/>
        <w:t>משנה ה:</w:t>
      </w:r>
    </w:p>
  </w:footnote>
  <w:footnote w:id="435">
    <w:p w14:paraId="3075100A" w14:textId="77777777" w:rsidR="0009007A" w:rsidRDefault="00000000">
      <w:pPr>
        <w:pStyle w:val="FootnoteText"/>
        <w:rPr>
          <w:lang w:bidi="he-IL"/>
        </w:rPr>
      </w:pPr>
      <w:r>
        <w:rPr>
          <w:rStyle w:val="FootnoteCharacters"/>
        </w:rPr>
        <w:footnoteRef/>
      </w:r>
      <w:r>
        <w:rPr>
          <w:b/>
          <w:bCs/>
          <w:rtl/>
          <w:lang w:bidi="he-IL"/>
        </w:rPr>
        <w:tab/>
        <w:t>הקדמה:</w:t>
      </w:r>
    </w:p>
    <w:p w14:paraId="15F51432" w14:textId="77777777" w:rsidR="0009007A" w:rsidRDefault="00000000">
      <w:pPr>
        <w:pStyle w:val="FootnoteText"/>
        <w:rPr>
          <w:lang w:bidi="he-IL"/>
        </w:rPr>
      </w:pPr>
      <w:r>
        <w:rPr>
          <w:b/>
          <w:bCs/>
          <w:rtl/>
          <w:lang w:bidi="he-IL"/>
        </w:rPr>
        <w:tab/>
      </w:r>
      <w:r>
        <w:rPr>
          <w:rtl/>
          <w:lang w:bidi="he-IL"/>
        </w:rPr>
        <w:t>יסוד של המשנה הוא שלגחלת יש ממשות, ולכן יש לו הרבה דינים. לשלהבת, אין ממשות, ואז יש הרבה דינים שלא נוגעים לו. אחר זה, משנה ממשיך לדון במקומות של מים, ותחום של המים היוצאים מהם.</w:t>
      </w:r>
    </w:p>
  </w:footnote>
  <w:footnote w:id="436">
    <w:p w14:paraId="76147D5B" w14:textId="77777777" w:rsidR="0009007A" w:rsidRDefault="00000000">
      <w:pPr>
        <w:pStyle w:val="FootnoteText"/>
        <w:rPr>
          <w:lang w:bidi="he-IL"/>
        </w:rPr>
      </w:pPr>
      <w:r>
        <w:rPr>
          <w:rStyle w:val="FootnoteCharacters"/>
        </w:rPr>
        <w:footnoteRef/>
      </w:r>
      <w:r>
        <w:rPr>
          <w:rtl/>
          <w:lang w:bidi="he-IL"/>
        </w:rPr>
        <w:tab/>
        <w:t xml:space="preserve">כיון שיש לו ממשות, קונה שביתה. </w:t>
      </w:r>
    </w:p>
  </w:footnote>
  <w:footnote w:id="437">
    <w:p w14:paraId="0B19F8EF" w14:textId="77777777" w:rsidR="0009007A" w:rsidRDefault="00000000">
      <w:pPr>
        <w:pStyle w:val="FootnoteText"/>
        <w:rPr>
          <w:lang w:bidi="he-IL"/>
        </w:rPr>
      </w:pPr>
      <w:r>
        <w:rPr>
          <w:rStyle w:val="FootnoteCharacters"/>
        </w:rPr>
        <w:footnoteRef/>
      </w:r>
      <w:r>
        <w:rPr>
          <w:rtl/>
          <w:lang w:bidi="he-IL"/>
        </w:rPr>
        <w:tab/>
        <w:t>אין בו ממשות, ולכן לא קונה שביתה.</w:t>
      </w:r>
    </w:p>
  </w:footnote>
  <w:footnote w:id="438">
    <w:p w14:paraId="7E6F9973" w14:textId="77777777" w:rsidR="0009007A" w:rsidRDefault="00000000">
      <w:pPr>
        <w:pStyle w:val="FootnoteText"/>
        <w:rPr>
          <w:lang w:bidi="he-IL"/>
        </w:rPr>
      </w:pPr>
      <w:r>
        <w:rPr>
          <w:rStyle w:val="FootnoteCharacters"/>
        </w:rPr>
        <w:footnoteRef/>
      </w:r>
      <w:r>
        <w:rPr>
          <w:rtl/>
          <w:lang w:bidi="he-IL"/>
        </w:rPr>
        <w:tab/>
        <w:t xml:space="preserve">לא מועלים בה, אבל מדרבנן אסור להנות בו. (גמ’ במעילה מבאר שיש איסורי מעילה דרבנן; זה אינו אף נכנס לכך, אלא אסור להנות.) וא"ת הרי אין בו ממשות, ולמה אסרו רבנן. וי"ל שכיון שאין בני אדם כל כך בדילים מהקדש, הוצרכו לגזור. </w:t>
      </w:r>
      <w:r>
        <w:rPr>
          <w:b/>
          <w:bCs/>
          <w:u w:val="single"/>
          <w:rtl/>
          <w:lang w:bidi="he-IL"/>
        </w:rPr>
        <w:t>(לט.)</w:t>
      </w:r>
    </w:p>
  </w:footnote>
  <w:footnote w:id="439">
    <w:p w14:paraId="1A5ECC90" w14:textId="77777777" w:rsidR="0009007A" w:rsidRDefault="00000000">
      <w:pPr>
        <w:pStyle w:val="FootnoteText"/>
        <w:rPr>
          <w:lang w:bidi="he-IL"/>
        </w:rPr>
      </w:pPr>
      <w:r>
        <w:rPr>
          <w:rStyle w:val="FootnoteCharacters"/>
        </w:rPr>
        <w:footnoteRef/>
      </w:r>
      <w:r>
        <w:rPr>
          <w:rtl/>
          <w:lang w:bidi="he-IL"/>
        </w:rPr>
        <w:tab/>
        <w:t>כיון שיש בו ממשות, הוציא חפץ חשוב.</w:t>
      </w:r>
    </w:p>
  </w:footnote>
  <w:footnote w:id="440">
    <w:p w14:paraId="41DA667C" w14:textId="77777777" w:rsidR="0009007A" w:rsidRDefault="00000000">
      <w:pPr>
        <w:pStyle w:val="FootnoteText"/>
        <w:rPr>
          <w:lang w:bidi="he-IL"/>
        </w:rPr>
      </w:pPr>
      <w:r>
        <w:rPr>
          <w:rStyle w:val="FootnoteCharacters"/>
        </w:rPr>
        <w:footnoteRef/>
      </w:r>
      <w:r>
        <w:rPr>
          <w:rtl/>
          <w:lang w:bidi="he-IL"/>
        </w:rPr>
        <w:tab/>
        <w:t>כיון שאין בו ממשות, לא הוציא כלום, ופטור.</w:t>
      </w:r>
    </w:p>
  </w:footnote>
  <w:footnote w:id="441">
    <w:p w14:paraId="729A8965" w14:textId="77777777" w:rsidR="0009007A" w:rsidRDefault="00000000">
      <w:pPr>
        <w:pStyle w:val="FootnoteText"/>
        <w:rPr>
          <w:lang w:bidi="he-IL"/>
        </w:rPr>
      </w:pPr>
      <w:r>
        <w:rPr>
          <w:rStyle w:val="FootnoteCharacters"/>
        </w:rPr>
        <w:footnoteRef/>
      </w:r>
      <w:r>
        <w:rPr>
          <w:rtl/>
          <w:lang w:bidi="he-IL"/>
        </w:rPr>
        <w:tab/>
        <w:t xml:space="preserve">זה רק בבור, כיון שהמים יושב. אבל, אם הוא מושך, אין לו מקום. </w:t>
      </w:r>
      <w:r>
        <w:rPr>
          <w:b/>
          <w:bCs/>
          <w:u w:val="single"/>
          <w:rtl/>
          <w:lang w:bidi="he-IL"/>
        </w:rPr>
        <w:t>(לט.)</w:t>
      </w:r>
    </w:p>
  </w:footnote>
  <w:footnote w:id="442">
    <w:p w14:paraId="2D95EC8A" w14:textId="77777777" w:rsidR="0009007A" w:rsidRDefault="00000000">
      <w:pPr>
        <w:pStyle w:val="FootnoteText"/>
        <w:rPr>
          <w:lang w:bidi="he-IL"/>
        </w:rPr>
      </w:pPr>
      <w:r>
        <w:rPr>
          <w:rStyle w:val="FootnoteCharacters"/>
        </w:rPr>
        <w:footnoteRef/>
      </w:r>
      <w:r>
        <w:rPr>
          <w:rtl/>
          <w:lang w:bidi="he-IL"/>
        </w:rPr>
        <w:tab/>
        <w:t>רצה לומר, המים הוא כרגלי היחיד.</w:t>
      </w:r>
    </w:p>
  </w:footnote>
  <w:footnote w:id="443">
    <w:p w14:paraId="6BA045EB" w14:textId="77777777" w:rsidR="0009007A" w:rsidRDefault="00000000">
      <w:pPr>
        <w:pStyle w:val="FootnoteText"/>
        <w:rPr>
          <w:lang w:bidi="he-IL"/>
        </w:rPr>
      </w:pPr>
      <w:r>
        <w:rPr>
          <w:rStyle w:val="FootnoteCharacters"/>
        </w:rPr>
        <w:footnoteRef/>
      </w:r>
      <w:r>
        <w:rPr>
          <w:rtl/>
          <w:lang w:bidi="he-IL"/>
        </w:rPr>
        <w:tab/>
        <w:t>הולך למקום שכולם יכולים ללכת.</w:t>
      </w:r>
    </w:p>
  </w:footnote>
  <w:footnote w:id="444">
    <w:p w14:paraId="7EA735C3" w14:textId="77777777" w:rsidR="0009007A" w:rsidRDefault="00000000">
      <w:pPr>
        <w:pStyle w:val="FootnoteText"/>
        <w:rPr>
          <w:lang w:bidi="he-IL"/>
        </w:rPr>
      </w:pPr>
      <w:r>
        <w:rPr>
          <w:rStyle w:val="FootnoteCharacters"/>
        </w:rPr>
        <w:footnoteRef/>
      </w:r>
      <w:r>
        <w:rPr>
          <w:rtl/>
          <w:lang w:bidi="he-IL"/>
        </w:rPr>
        <w:tab/>
        <w:t xml:space="preserve">היו בורות שעשו בני הגולה לשתות כשעולים לא"י. עשו אותם לצרכי רבים, והיו הפקר. </w:t>
      </w:r>
      <w:r>
        <w:rPr>
          <w:b/>
          <w:bCs/>
          <w:u w:val="single"/>
          <w:rtl/>
          <w:lang w:bidi="he-IL"/>
        </w:rPr>
        <w:t>(לט:)</w:t>
      </w:r>
    </w:p>
  </w:footnote>
  <w:footnote w:id="445">
    <w:p w14:paraId="6FC68188" w14:textId="77777777" w:rsidR="0009007A" w:rsidRDefault="00000000">
      <w:pPr>
        <w:pStyle w:val="FootnoteText"/>
        <w:rPr>
          <w:lang w:bidi="he-IL"/>
        </w:rPr>
      </w:pPr>
      <w:r>
        <w:rPr>
          <w:rStyle w:val="FootnoteCharacters"/>
        </w:rPr>
        <w:footnoteRef/>
      </w:r>
      <w:r>
        <w:rPr>
          <w:rtl/>
          <w:lang w:bidi="he-IL"/>
        </w:rPr>
        <w:tab/>
        <w:t>חפצי הפקר הם. לכן, אין להם שום מקום שביתה. אבל, חושש לומר שיש ברירה, ואז יש לו מקום על פי מה שיתברר למחר. נמצא, אז, שבדין זה יכול להיות שלש שיטות:</w:t>
      </w:r>
    </w:p>
    <w:p w14:paraId="2D643CD0" w14:textId="77777777" w:rsidR="0009007A" w:rsidRDefault="00000000">
      <w:pPr>
        <w:pStyle w:val="FootnoteText"/>
        <w:numPr>
          <w:ilvl w:val="0"/>
          <w:numId w:val="58"/>
        </w:numPr>
        <w:rPr>
          <w:lang w:bidi="he-IL"/>
        </w:rPr>
      </w:pPr>
      <w:r>
        <w:rPr>
          <w:rtl/>
          <w:lang w:bidi="he-IL"/>
        </w:rPr>
        <w:t>אם יש שביתה לדבר הפקר- שביתתו במקומו.</w:t>
      </w:r>
    </w:p>
    <w:p w14:paraId="797DBB85" w14:textId="77777777" w:rsidR="0009007A" w:rsidRDefault="00000000">
      <w:pPr>
        <w:pStyle w:val="FootnoteText"/>
        <w:numPr>
          <w:ilvl w:val="0"/>
          <w:numId w:val="58"/>
        </w:numPr>
        <w:rPr>
          <w:lang w:bidi="he-IL"/>
        </w:rPr>
      </w:pPr>
      <w:r>
        <w:rPr>
          <w:rtl/>
          <w:lang w:bidi="he-IL"/>
        </w:rPr>
        <w:t>אם אין שביתה לדבר הפקר, ואין ברירה- כל מקום מותר.</w:t>
      </w:r>
    </w:p>
    <w:p w14:paraId="678FD3DA" w14:textId="77777777" w:rsidR="0009007A" w:rsidRDefault="00000000">
      <w:pPr>
        <w:pStyle w:val="FootnoteText"/>
        <w:numPr>
          <w:ilvl w:val="0"/>
          <w:numId w:val="58"/>
        </w:numPr>
        <w:rPr>
          <w:lang w:bidi="he-IL"/>
        </w:rPr>
      </w:pPr>
      <w:r>
        <w:rPr>
          <w:rtl/>
          <w:lang w:bidi="he-IL"/>
        </w:rPr>
        <w:t xml:space="preserve">אם אין שביתה לדבר הפקר, ויש ברירה- מקומו כמקום הממלא. </w:t>
      </w:r>
      <w:r>
        <w:rPr>
          <w:b/>
          <w:bCs/>
          <w:u w:val="single"/>
          <w:rtl/>
          <w:lang w:bidi="he-IL"/>
        </w:rPr>
        <w:t>(</w:t>
      </w:r>
      <w:r>
        <w:rPr>
          <w:rtl/>
          <w:lang w:bidi="he-IL"/>
        </w:rPr>
        <w:t xml:space="preserve">רשי </w:t>
      </w:r>
      <w:r>
        <w:rPr>
          <w:b/>
          <w:bCs/>
          <w:u w:val="single"/>
          <w:rtl/>
          <w:lang w:bidi="he-IL"/>
        </w:rPr>
        <w:t>לט.)</w:t>
      </w:r>
    </w:p>
  </w:footnote>
  <w:footnote w:id="446">
    <w:p w14:paraId="13BF39D3" w14:textId="77777777" w:rsidR="0009007A" w:rsidRDefault="00000000">
      <w:pPr>
        <w:pStyle w:val="FootnoteText"/>
      </w:pPr>
      <w:r>
        <w:rPr>
          <w:rStyle w:val="FootnoteCharacters"/>
        </w:rPr>
        <w:footnoteRef/>
      </w:r>
      <w:r>
        <w:rPr>
          <w:rtl/>
          <w:lang w:bidi="he-IL"/>
        </w:rPr>
        <w:tab/>
        <w:t xml:space="preserve"> </w:t>
      </w:r>
    </w:p>
    <w:tbl>
      <w:tblPr>
        <w:tblStyle w:val="TableGrid"/>
        <w:bidiVisual/>
        <w:tblW w:w="9550" w:type="dxa"/>
        <w:tblInd w:w="108" w:type="dxa"/>
        <w:tblLayout w:type="fixed"/>
        <w:tblLook w:val="04A0" w:firstRow="1" w:lastRow="0" w:firstColumn="1" w:lastColumn="0" w:noHBand="0" w:noVBand="1"/>
      </w:tblPr>
      <w:tblGrid>
        <w:gridCol w:w="2381"/>
        <w:gridCol w:w="1778"/>
        <w:gridCol w:w="5391"/>
      </w:tblGrid>
      <w:tr w:rsidR="0009007A" w14:paraId="4B59ACF1" w14:textId="77777777">
        <w:tc>
          <w:tcPr>
            <w:tcW w:w="2381" w:type="dxa"/>
          </w:tcPr>
          <w:p w14:paraId="2A1A0F26" w14:textId="77777777" w:rsidR="0009007A" w:rsidRDefault="0009007A">
            <w:pPr>
              <w:pStyle w:val="FootnoteText"/>
              <w:widowControl w:val="0"/>
              <w:ind w:left="0" w:firstLine="0"/>
              <w:rPr>
                <w:b/>
                <w:bCs/>
                <w:lang w:bidi="he-IL"/>
              </w:rPr>
            </w:pPr>
          </w:p>
        </w:tc>
        <w:tc>
          <w:tcPr>
            <w:tcW w:w="1778" w:type="dxa"/>
          </w:tcPr>
          <w:p w14:paraId="44C3E0D3" w14:textId="77777777" w:rsidR="0009007A" w:rsidRDefault="00000000">
            <w:pPr>
              <w:pStyle w:val="FootnoteText"/>
              <w:widowControl w:val="0"/>
              <w:ind w:left="0" w:firstLine="0"/>
              <w:rPr>
                <w:b/>
                <w:bCs/>
                <w:lang w:bidi="he-IL"/>
              </w:rPr>
            </w:pPr>
            <w:r>
              <w:rPr>
                <w:b/>
                <w:bCs/>
                <w:rtl/>
                <w:lang w:bidi="he-IL"/>
              </w:rPr>
              <w:t>גחלת</w:t>
            </w:r>
          </w:p>
        </w:tc>
        <w:tc>
          <w:tcPr>
            <w:tcW w:w="5391" w:type="dxa"/>
          </w:tcPr>
          <w:p w14:paraId="2994C516" w14:textId="77777777" w:rsidR="0009007A" w:rsidRDefault="00000000">
            <w:pPr>
              <w:pStyle w:val="FootnoteText"/>
              <w:widowControl w:val="0"/>
              <w:ind w:left="0" w:firstLine="0"/>
              <w:rPr>
                <w:b/>
                <w:bCs/>
                <w:lang w:bidi="he-IL"/>
              </w:rPr>
            </w:pPr>
            <w:r>
              <w:rPr>
                <w:b/>
                <w:bCs/>
                <w:rtl/>
                <w:lang w:bidi="he-IL"/>
              </w:rPr>
              <w:t>שלהבת</w:t>
            </w:r>
          </w:p>
        </w:tc>
      </w:tr>
      <w:tr w:rsidR="0009007A" w14:paraId="0F5338E3" w14:textId="77777777">
        <w:tc>
          <w:tcPr>
            <w:tcW w:w="2381" w:type="dxa"/>
          </w:tcPr>
          <w:p w14:paraId="4A4C6C1F" w14:textId="77777777" w:rsidR="0009007A" w:rsidRDefault="00000000">
            <w:pPr>
              <w:pStyle w:val="FootnoteText"/>
              <w:widowControl w:val="0"/>
              <w:ind w:left="0" w:firstLine="0"/>
              <w:rPr>
                <w:b/>
                <w:bCs/>
                <w:lang w:bidi="he-IL"/>
              </w:rPr>
            </w:pPr>
            <w:r>
              <w:rPr>
                <w:b/>
                <w:bCs/>
                <w:rtl/>
                <w:lang w:bidi="he-IL"/>
              </w:rPr>
              <w:t>איסור תחום:</w:t>
            </w:r>
          </w:p>
        </w:tc>
        <w:tc>
          <w:tcPr>
            <w:tcW w:w="1778" w:type="dxa"/>
          </w:tcPr>
          <w:p w14:paraId="70DCC18B" w14:textId="77777777" w:rsidR="0009007A" w:rsidRDefault="00000000">
            <w:pPr>
              <w:pStyle w:val="FootnoteText"/>
              <w:widowControl w:val="0"/>
              <w:ind w:left="0" w:firstLine="0"/>
              <w:rPr>
                <w:lang w:bidi="he-IL"/>
              </w:rPr>
            </w:pPr>
            <w:r>
              <w:rPr>
                <w:rtl/>
                <w:lang w:bidi="he-IL"/>
              </w:rPr>
              <w:t>יש איסור תחום.</w:t>
            </w:r>
          </w:p>
        </w:tc>
        <w:tc>
          <w:tcPr>
            <w:tcW w:w="5391" w:type="dxa"/>
          </w:tcPr>
          <w:p w14:paraId="5FF9DAFE" w14:textId="77777777" w:rsidR="0009007A" w:rsidRDefault="00000000">
            <w:pPr>
              <w:pStyle w:val="FootnoteText"/>
              <w:widowControl w:val="0"/>
              <w:ind w:left="0" w:firstLine="0"/>
              <w:rPr>
                <w:lang w:bidi="he-IL"/>
              </w:rPr>
            </w:pPr>
            <w:r>
              <w:rPr>
                <w:rtl/>
                <w:lang w:bidi="he-IL"/>
              </w:rPr>
              <w:t>אין איסור תחום.</w:t>
            </w:r>
          </w:p>
        </w:tc>
      </w:tr>
      <w:tr w:rsidR="0009007A" w14:paraId="4EE0FB11" w14:textId="77777777">
        <w:tc>
          <w:tcPr>
            <w:tcW w:w="2381" w:type="dxa"/>
          </w:tcPr>
          <w:p w14:paraId="06BA248D" w14:textId="77777777" w:rsidR="0009007A" w:rsidRDefault="00000000">
            <w:pPr>
              <w:pStyle w:val="FootnoteText"/>
              <w:widowControl w:val="0"/>
              <w:ind w:left="0" w:firstLine="0"/>
              <w:rPr>
                <w:b/>
                <w:bCs/>
                <w:lang w:bidi="he-IL"/>
              </w:rPr>
            </w:pPr>
            <w:r>
              <w:rPr>
                <w:b/>
                <w:bCs/>
                <w:rtl/>
                <w:lang w:bidi="he-IL"/>
              </w:rPr>
              <w:t>מעילה:</w:t>
            </w:r>
          </w:p>
        </w:tc>
        <w:tc>
          <w:tcPr>
            <w:tcW w:w="1778" w:type="dxa"/>
          </w:tcPr>
          <w:p w14:paraId="2E18DEA9" w14:textId="77777777" w:rsidR="0009007A" w:rsidRDefault="00000000">
            <w:pPr>
              <w:pStyle w:val="FootnoteText"/>
              <w:widowControl w:val="0"/>
              <w:ind w:left="0" w:firstLine="0"/>
              <w:rPr>
                <w:lang w:bidi="he-IL"/>
              </w:rPr>
            </w:pPr>
            <w:r>
              <w:rPr>
                <w:rtl/>
                <w:lang w:bidi="he-IL"/>
              </w:rPr>
              <w:t>יש מעילה.</w:t>
            </w:r>
          </w:p>
        </w:tc>
        <w:tc>
          <w:tcPr>
            <w:tcW w:w="5391" w:type="dxa"/>
          </w:tcPr>
          <w:p w14:paraId="0B22BE08" w14:textId="77777777" w:rsidR="0009007A" w:rsidRDefault="00000000">
            <w:pPr>
              <w:pStyle w:val="FootnoteText"/>
              <w:widowControl w:val="0"/>
              <w:ind w:left="0" w:firstLine="0"/>
              <w:rPr>
                <w:lang w:bidi="he-IL"/>
              </w:rPr>
            </w:pPr>
            <w:r>
              <w:rPr>
                <w:rtl/>
                <w:lang w:bidi="he-IL"/>
              </w:rPr>
              <w:t>אין מעילה, אבל יש איסור הנאה מדרבנן (כיון שלא נבדלים ממנו בנ"א).</w:t>
            </w:r>
          </w:p>
        </w:tc>
      </w:tr>
      <w:tr w:rsidR="0009007A" w14:paraId="05759D08" w14:textId="77777777">
        <w:tc>
          <w:tcPr>
            <w:tcW w:w="2381" w:type="dxa"/>
          </w:tcPr>
          <w:p w14:paraId="280CA3ED" w14:textId="77777777" w:rsidR="0009007A" w:rsidRDefault="00000000">
            <w:pPr>
              <w:pStyle w:val="FootnoteText"/>
              <w:widowControl w:val="0"/>
              <w:ind w:left="0" w:firstLine="0"/>
              <w:rPr>
                <w:b/>
                <w:bCs/>
                <w:lang w:bidi="he-IL"/>
              </w:rPr>
            </w:pPr>
            <w:r>
              <w:rPr>
                <w:b/>
                <w:bCs/>
                <w:rtl/>
                <w:lang w:bidi="he-IL"/>
              </w:rPr>
              <w:t>הוצאה:</w:t>
            </w:r>
          </w:p>
        </w:tc>
        <w:tc>
          <w:tcPr>
            <w:tcW w:w="1778" w:type="dxa"/>
          </w:tcPr>
          <w:p w14:paraId="07F99265" w14:textId="77777777" w:rsidR="0009007A" w:rsidRDefault="00000000">
            <w:pPr>
              <w:pStyle w:val="FootnoteText"/>
              <w:widowControl w:val="0"/>
              <w:ind w:left="0" w:firstLine="0"/>
              <w:rPr>
                <w:lang w:bidi="he-IL"/>
              </w:rPr>
            </w:pPr>
            <w:r>
              <w:rPr>
                <w:rtl/>
                <w:lang w:bidi="he-IL"/>
              </w:rPr>
              <w:t>יש איסור.</w:t>
            </w:r>
          </w:p>
        </w:tc>
        <w:tc>
          <w:tcPr>
            <w:tcW w:w="5391" w:type="dxa"/>
          </w:tcPr>
          <w:p w14:paraId="0C71D143" w14:textId="77777777" w:rsidR="0009007A" w:rsidRDefault="00000000">
            <w:pPr>
              <w:pStyle w:val="FootnoteText"/>
              <w:widowControl w:val="0"/>
              <w:ind w:left="0" w:firstLine="0"/>
              <w:rPr>
                <w:lang w:bidi="he-IL"/>
              </w:rPr>
            </w:pPr>
            <w:r>
              <w:rPr>
                <w:rtl/>
                <w:lang w:bidi="he-IL"/>
              </w:rPr>
              <w:t>אין איסור.</w:t>
            </w:r>
          </w:p>
        </w:tc>
      </w:tr>
      <w:tr w:rsidR="0009007A" w14:paraId="04240E6F" w14:textId="77777777">
        <w:tc>
          <w:tcPr>
            <w:tcW w:w="2381" w:type="dxa"/>
          </w:tcPr>
          <w:p w14:paraId="0C15FD66" w14:textId="77777777" w:rsidR="0009007A" w:rsidRDefault="00000000">
            <w:pPr>
              <w:pStyle w:val="FootnoteText"/>
              <w:widowControl w:val="0"/>
              <w:ind w:left="0" w:firstLine="0"/>
              <w:rPr>
                <w:b/>
                <w:bCs/>
                <w:lang w:bidi="he-IL"/>
              </w:rPr>
            </w:pPr>
            <w:r>
              <w:rPr>
                <w:b/>
                <w:bCs/>
                <w:rtl/>
                <w:lang w:bidi="he-IL"/>
              </w:rPr>
              <w:t>עבודה זרה:</w:t>
            </w:r>
          </w:p>
        </w:tc>
        <w:tc>
          <w:tcPr>
            <w:tcW w:w="1778" w:type="dxa"/>
          </w:tcPr>
          <w:p w14:paraId="42A6DC17" w14:textId="77777777" w:rsidR="0009007A" w:rsidRDefault="00000000">
            <w:pPr>
              <w:pStyle w:val="FootnoteText"/>
              <w:widowControl w:val="0"/>
              <w:ind w:left="0" w:firstLine="0"/>
              <w:rPr>
                <w:lang w:bidi="he-IL"/>
              </w:rPr>
            </w:pPr>
            <w:r>
              <w:rPr>
                <w:rtl/>
                <w:lang w:bidi="he-IL"/>
              </w:rPr>
              <w:t>אם נעבד, אסור.</w:t>
            </w:r>
          </w:p>
        </w:tc>
        <w:tc>
          <w:tcPr>
            <w:tcW w:w="5391" w:type="dxa"/>
          </w:tcPr>
          <w:p w14:paraId="16563460" w14:textId="77777777" w:rsidR="0009007A" w:rsidRDefault="00000000">
            <w:pPr>
              <w:pStyle w:val="FootnoteText"/>
              <w:widowControl w:val="0"/>
              <w:ind w:left="0" w:firstLine="0"/>
              <w:rPr>
                <w:lang w:bidi="he-IL"/>
              </w:rPr>
            </w:pPr>
            <w:r>
              <w:rPr>
                <w:rtl/>
                <w:lang w:bidi="he-IL"/>
              </w:rPr>
              <w:t>אם נעבד, לא אסור. (לא גזרו על זה, כיון שמאוס הוא, ובנ"א נבדלים ממנו.)</w:t>
            </w:r>
          </w:p>
        </w:tc>
      </w:tr>
      <w:tr w:rsidR="0009007A" w14:paraId="54123EEF" w14:textId="77777777">
        <w:tc>
          <w:tcPr>
            <w:tcW w:w="2381" w:type="dxa"/>
          </w:tcPr>
          <w:p w14:paraId="764A7DB4" w14:textId="77777777" w:rsidR="0009007A" w:rsidRDefault="00000000">
            <w:pPr>
              <w:pStyle w:val="FootnoteText"/>
              <w:widowControl w:val="0"/>
              <w:ind w:left="0" w:firstLine="0"/>
              <w:rPr>
                <w:b/>
                <w:bCs/>
                <w:lang w:bidi="he-IL"/>
              </w:rPr>
            </w:pPr>
            <w:r>
              <w:rPr>
                <w:b/>
                <w:bCs/>
                <w:rtl/>
                <w:lang w:bidi="he-IL"/>
              </w:rPr>
              <w:t>מודר הנאה:</w:t>
            </w:r>
          </w:p>
        </w:tc>
        <w:tc>
          <w:tcPr>
            <w:tcW w:w="1778" w:type="dxa"/>
          </w:tcPr>
          <w:p w14:paraId="22C56A3D" w14:textId="77777777" w:rsidR="0009007A" w:rsidRDefault="00000000">
            <w:pPr>
              <w:pStyle w:val="FootnoteText"/>
              <w:widowControl w:val="0"/>
              <w:ind w:left="0" w:firstLine="0"/>
              <w:rPr>
                <w:lang w:bidi="he-IL"/>
              </w:rPr>
            </w:pPr>
            <w:r>
              <w:rPr>
                <w:rtl/>
                <w:lang w:bidi="he-IL"/>
              </w:rPr>
              <w:t>אסור להנות ממנו.</w:t>
            </w:r>
          </w:p>
        </w:tc>
        <w:tc>
          <w:tcPr>
            <w:tcW w:w="5391" w:type="dxa"/>
          </w:tcPr>
          <w:p w14:paraId="0A8965C7" w14:textId="77777777" w:rsidR="0009007A" w:rsidRDefault="00000000">
            <w:pPr>
              <w:pStyle w:val="FootnoteText"/>
              <w:widowControl w:val="0"/>
              <w:ind w:left="0" w:firstLine="0"/>
              <w:rPr>
                <w:lang w:bidi="he-IL"/>
              </w:rPr>
            </w:pPr>
            <w:r>
              <w:rPr>
                <w:rtl/>
                <w:lang w:bidi="he-IL"/>
              </w:rPr>
              <w:t>מותר להנות ממנו.</w:t>
            </w:r>
          </w:p>
        </w:tc>
      </w:tr>
    </w:tbl>
    <w:p w14:paraId="5B054724" w14:textId="77777777" w:rsidR="0009007A" w:rsidRDefault="0009007A">
      <w:pPr>
        <w:pStyle w:val="FootnoteText"/>
      </w:pPr>
    </w:p>
    <w:p w14:paraId="748714A1" w14:textId="77777777" w:rsidR="0009007A" w:rsidRDefault="0009007A">
      <w:pPr>
        <w:pStyle w:val="FootnoteText"/>
      </w:pPr>
    </w:p>
    <w:p w14:paraId="7D2F5B8C" w14:textId="77777777" w:rsidR="0009007A" w:rsidRDefault="0009007A">
      <w:pPr>
        <w:pStyle w:val="FootnoteText"/>
      </w:pPr>
    </w:p>
    <w:p w14:paraId="1CD7FBD4" w14:textId="77777777" w:rsidR="0009007A" w:rsidRDefault="0009007A">
      <w:pPr>
        <w:pStyle w:val="FootnoteText"/>
      </w:pPr>
    </w:p>
    <w:p w14:paraId="24E4B222" w14:textId="77777777" w:rsidR="0009007A" w:rsidRDefault="00000000">
      <w:pPr>
        <w:pStyle w:val="FootnoteText"/>
        <w:numPr>
          <w:ilvl w:val="0"/>
          <w:numId w:val="60"/>
        </w:numPr>
      </w:pPr>
      <w:r>
        <w:rPr>
          <w:rtl/>
          <w:lang w:bidi="he-IL"/>
        </w:rPr>
        <w:t>מים:</w:t>
      </w:r>
    </w:p>
    <w:p w14:paraId="74928C14" w14:textId="77777777" w:rsidR="0009007A" w:rsidRDefault="00000000">
      <w:pPr>
        <w:pStyle w:val="FootnoteText"/>
        <w:numPr>
          <w:ilvl w:val="1"/>
          <w:numId w:val="60"/>
        </w:numPr>
      </w:pPr>
      <w:r>
        <w:rPr>
          <w:rtl/>
          <w:lang w:bidi="he-IL"/>
        </w:rPr>
        <w:t>אם הולך- אין לו מקום (והכל מותר).</w:t>
      </w:r>
    </w:p>
    <w:p w14:paraId="3514D147" w14:textId="77777777" w:rsidR="0009007A" w:rsidRDefault="00000000">
      <w:pPr>
        <w:pStyle w:val="FootnoteText"/>
        <w:numPr>
          <w:ilvl w:val="1"/>
          <w:numId w:val="60"/>
        </w:numPr>
      </w:pPr>
      <w:r>
        <w:rPr>
          <w:rtl/>
          <w:lang w:bidi="he-IL"/>
        </w:rPr>
        <w:t>אם יושב-</w:t>
      </w:r>
    </w:p>
    <w:p w14:paraId="7AAD6DED" w14:textId="77777777" w:rsidR="0009007A" w:rsidRDefault="00000000">
      <w:pPr>
        <w:pStyle w:val="FootnoteText"/>
        <w:numPr>
          <w:ilvl w:val="2"/>
          <w:numId w:val="60"/>
        </w:numPr>
      </w:pPr>
      <w:r>
        <w:rPr>
          <w:rtl/>
          <w:lang w:bidi="he-IL"/>
        </w:rPr>
        <w:t>של יחיד- מקומו כיחיד.</w:t>
      </w:r>
    </w:p>
    <w:p w14:paraId="6A5F14D5" w14:textId="77777777" w:rsidR="0009007A" w:rsidRDefault="00000000">
      <w:pPr>
        <w:pStyle w:val="FootnoteText"/>
        <w:numPr>
          <w:ilvl w:val="2"/>
          <w:numId w:val="60"/>
        </w:numPr>
      </w:pPr>
      <w:r>
        <w:rPr>
          <w:rtl/>
          <w:lang w:bidi="he-IL"/>
        </w:rPr>
        <w:t>של רבים- מקומו כרבים (רק מותר איפה שרבים יכולים ללכת).</w:t>
      </w:r>
    </w:p>
    <w:p w14:paraId="5CAF1368" w14:textId="77777777" w:rsidR="0009007A" w:rsidRDefault="00000000">
      <w:pPr>
        <w:pStyle w:val="FootnoteText"/>
        <w:numPr>
          <w:ilvl w:val="2"/>
          <w:numId w:val="60"/>
        </w:numPr>
      </w:pPr>
      <w:r>
        <w:rPr>
          <w:rtl/>
          <w:lang w:bidi="he-IL"/>
        </w:rPr>
        <w:t>של הפקר-</w:t>
      </w:r>
    </w:p>
    <w:p w14:paraId="4388696D" w14:textId="77777777" w:rsidR="0009007A" w:rsidRDefault="00000000">
      <w:pPr>
        <w:pStyle w:val="FootnoteText"/>
        <w:numPr>
          <w:ilvl w:val="3"/>
          <w:numId w:val="60"/>
        </w:numPr>
      </w:pPr>
      <w:r>
        <w:rPr>
          <w:rtl/>
          <w:lang w:bidi="he-IL"/>
        </w:rPr>
        <w:t>אם חפצי הפקר קונים שביתה- במקומו.</w:t>
      </w:r>
    </w:p>
    <w:p w14:paraId="634162F9" w14:textId="77777777" w:rsidR="0009007A" w:rsidRDefault="00000000">
      <w:pPr>
        <w:pStyle w:val="FootnoteText"/>
        <w:numPr>
          <w:ilvl w:val="3"/>
          <w:numId w:val="60"/>
        </w:numPr>
      </w:pPr>
      <w:r>
        <w:rPr>
          <w:rtl/>
          <w:lang w:bidi="he-IL"/>
        </w:rPr>
        <w:t>אם לא קונים שביתה:</w:t>
      </w:r>
    </w:p>
    <w:p w14:paraId="5E7EC545" w14:textId="77777777" w:rsidR="0009007A" w:rsidRDefault="00000000">
      <w:pPr>
        <w:pStyle w:val="FootnoteText"/>
        <w:numPr>
          <w:ilvl w:val="4"/>
          <w:numId w:val="60"/>
        </w:numPr>
      </w:pPr>
      <w:r>
        <w:rPr>
          <w:rtl/>
          <w:lang w:bidi="he-IL"/>
        </w:rPr>
        <w:t>אם יש ברירה- כמקום הממלא.</w:t>
      </w:r>
    </w:p>
    <w:p w14:paraId="4062C79A" w14:textId="77777777" w:rsidR="0009007A" w:rsidRDefault="00000000">
      <w:pPr>
        <w:pStyle w:val="FootnoteText"/>
        <w:numPr>
          <w:ilvl w:val="4"/>
          <w:numId w:val="60"/>
        </w:numPr>
      </w:pPr>
      <w:r>
        <w:rPr>
          <w:rtl/>
          <w:lang w:bidi="he-IL"/>
        </w:rPr>
        <w:t>אם אין בירה- אין לו מקום (כל מקום מותר).</w:t>
      </w:r>
    </w:p>
  </w:footnote>
  <w:footnote w:id="447">
    <w:p w14:paraId="28902920" w14:textId="77777777" w:rsidR="0009007A" w:rsidRDefault="00000000">
      <w:pPr>
        <w:pStyle w:val="FootnoteText"/>
        <w:rPr>
          <w:b/>
          <w:bCs/>
          <w:lang w:bidi="he-IL"/>
        </w:rPr>
      </w:pPr>
      <w:r>
        <w:rPr>
          <w:rStyle w:val="FootnoteCharacters"/>
        </w:rPr>
        <w:footnoteRef/>
      </w:r>
      <w:r>
        <w:rPr>
          <w:b/>
          <w:bCs/>
          <w:rtl/>
          <w:lang w:bidi="he-IL"/>
        </w:rPr>
        <w:tab/>
        <w:t>משנה ו:</w:t>
      </w:r>
    </w:p>
  </w:footnote>
  <w:footnote w:id="448">
    <w:p w14:paraId="3D8683B9" w14:textId="77777777" w:rsidR="0009007A" w:rsidRDefault="00000000">
      <w:pPr>
        <w:pStyle w:val="FootnoteText"/>
        <w:rPr>
          <w:lang w:bidi="he-IL"/>
        </w:rPr>
      </w:pPr>
      <w:r>
        <w:rPr>
          <w:rStyle w:val="FootnoteCharacters"/>
        </w:rPr>
        <w:footnoteRef/>
      </w:r>
      <w:r>
        <w:rPr>
          <w:b/>
          <w:bCs/>
          <w:rtl/>
          <w:lang w:bidi="he-IL"/>
        </w:rPr>
        <w:tab/>
        <w:t>הקדמה:</w:t>
      </w:r>
    </w:p>
    <w:p w14:paraId="6C78148A" w14:textId="77777777" w:rsidR="0009007A" w:rsidRDefault="00000000">
      <w:pPr>
        <w:pStyle w:val="FootnoteText"/>
        <w:rPr>
          <w:lang w:bidi="he-IL"/>
        </w:rPr>
      </w:pPr>
      <w:r>
        <w:rPr>
          <w:b/>
          <w:bCs/>
          <w:rtl/>
          <w:lang w:bidi="he-IL"/>
        </w:rPr>
        <w:tab/>
      </w:r>
      <w:r>
        <w:rPr>
          <w:rtl/>
          <w:lang w:bidi="he-IL"/>
        </w:rPr>
        <w:t xml:space="preserve">חולקים רב ושמואל אם פירות המשומרים יש להם מקום שביתה של השומר או של הבעל. רב מודה לשמואל שכרגלי הבעל הוא אם קבעו לו מקום. לפי שמואל, המשנה הוא בכל ציור, ולפי רב, הוא רק אם קבעו לו מקום. </w:t>
      </w:r>
      <w:r>
        <w:rPr>
          <w:b/>
          <w:bCs/>
          <w:u w:val="single"/>
          <w:rtl/>
          <w:lang w:bidi="he-IL"/>
        </w:rPr>
        <w:t>(מ.)</w:t>
      </w:r>
    </w:p>
  </w:footnote>
  <w:footnote w:id="449">
    <w:p w14:paraId="55B8E526" w14:textId="77777777" w:rsidR="0009007A" w:rsidRDefault="00000000">
      <w:pPr>
        <w:pStyle w:val="FootnoteText"/>
        <w:rPr>
          <w:lang w:bidi="he-IL"/>
        </w:rPr>
      </w:pPr>
      <w:r>
        <w:rPr>
          <w:rStyle w:val="FootnoteCharacters"/>
        </w:rPr>
        <w:footnoteRef/>
      </w:r>
      <w:r>
        <w:rPr>
          <w:rtl/>
          <w:lang w:bidi="he-IL"/>
        </w:rPr>
        <w:tab/>
        <w:t>שהם תלויים במקום שלו, והוא לא עירב.</w:t>
      </w:r>
    </w:p>
  </w:footnote>
  <w:footnote w:id="450">
    <w:p w14:paraId="313BB5C0" w14:textId="77777777" w:rsidR="0009007A" w:rsidRDefault="00000000">
      <w:pPr>
        <w:pStyle w:val="FootnoteText"/>
        <w:rPr>
          <w:lang w:bidi="he-IL"/>
        </w:rPr>
      </w:pPr>
      <w:r>
        <w:rPr>
          <w:rStyle w:val="FootnoteCharacters"/>
        </w:rPr>
        <w:footnoteRef/>
      </w:r>
      <w:r>
        <w:rPr>
          <w:rtl/>
          <w:lang w:bidi="he-IL"/>
        </w:rPr>
        <w:tab/>
        <w:t>אף אם הם לא עירבו, שהם תלויים במקום שלו, והרי הוא ערב.</w:t>
      </w:r>
    </w:p>
  </w:footnote>
  <w:footnote w:id="451">
    <w:p w14:paraId="5AB86383"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6ECE6D7B" w14:textId="77777777" w:rsidR="0009007A" w:rsidRDefault="00000000">
      <w:pPr>
        <w:pStyle w:val="FootnoteText"/>
        <w:numPr>
          <w:ilvl w:val="0"/>
          <w:numId w:val="61"/>
        </w:numPr>
        <w:rPr>
          <w:lang w:bidi="he-IL"/>
        </w:rPr>
      </w:pPr>
      <w:r>
        <w:rPr>
          <w:rtl/>
          <w:lang w:bidi="he-IL"/>
        </w:rPr>
        <w:t>מפקיד אדם פירות שלו בבית חברו-</w:t>
      </w:r>
    </w:p>
    <w:p w14:paraId="004B002C" w14:textId="77777777" w:rsidR="0009007A" w:rsidRDefault="00000000">
      <w:pPr>
        <w:pStyle w:val="FootnoteText"/>
        <w:numPr>
          <w:ilvl w:val="1"/>
          <w:numId w:val="61"/>
        </w:numPr>
        <w:rPr>
          <w:lang w:bidi="he-IL"/>
        </w:rPr>
      </w:pPr>
      <w:r>
        <w:rPr>
          <w:rtl/>
          <w:lang w:bidi="he-IL"/>
        </w:rPr>
        <w:t>ייחד לו קרן זוית- כמקום הבעל.</w:t>
      </w:r>
    </w:p>
    <w:p w14:paraId="58524E75" w14:textId="77777777" w:rsidR="0009007A" w:rsidRDefault="00000000">
      <w:pPr>
        <w:pStyle w:val="FootnoteText"/>
        <w:numPr>
          <w:ilvl w:val="1"/>
          <w:numId w:val="61"/>
        </w:numPr>
        <w:rPr>
          <w:lang w:bidi="he-IL"/>
        </w:rPr>
      </w:pPr>
      <w:r>
        <w:rPr>
          <w:rtl/>
          <w:lang w:bidi="he-IL"/>
        </w:rPr>
        <w:t>לא ייחד לו קרן זוית-</w:t>
      </w:r>
    </w:p>
    <w:p w14:paraId="6898BA5E" w14:textId="77777777" w:rsidR="0009007A" w:rsidRDefault="00000000">
      <w:pPr>
        <w:pStyle w:val="FootnoteText"/>
        <w:numPr>
          <w:ilvl w:val="2"/>
          <w:numId w:val="61"/>
        </w:numPr>
        <w:rPr>
          <w:lang w:bidi="he-IL"/>
        </w:rPr>
      </w:pPr>
      <w:r>
        <w:rPr>
          <w:rtl/>
          <w:lang w:bidi="he-IL"/>
        </w:rPr>
        <w:t>רב- כמקום השומר.</w:t>
      </w:r>
    </w:p>
    <w:p w14:paraId="46328489" w14:textId="77777777" w:rsidR="0009007A" w:rsidRDefault="00000000">
      <w:pPr>
        <w:pStyle w:val="FootnoteText"/>
        <w:numPr>
          <w:ilvl w:val="2"/>
          <w:numId w:val="61"/>
        </w:numPr>
        <w:rPr>
          <w:lang w:bidi="he-IL"/>
        </w:rPr>
      </w:pPr>
      <w:r>
        <w:rPr>
          <w:rtl/>
          <w:lang w:bidi="he-IL"/>
        </w:rPr>
        <w:t>שמואל- כמקום הבעל.</w:t>
      </w:r>
    </w:p>
  </w:footnote>
  <w:footnote w:id="452">
    <w:p w14:paraId="1B135430" w14:textId="77777777" w:rsidR="0009007A" w:rsidRDefault="00000000">
      <w:pPr>
        <w:pStyle w:val="FootnoteText"/>
        <w:rPr>
          <w:b/>
          <w:bCs/>
          <w:lang w:bidi="he-IL"/>
        </w:rPr>
      </w:pPr>
      <w:r>
        <w:rPr>
          <w:rStyle w:val="FootnoteCharacters"/>
        </w:rPr>
        <w:footnoteRef/>
      </w:r>
      <w:r>
        <w:rPr>
          <w:b/>
          <w:bCs/>
          <w:rtl/>
          <w:lang w:bidi="he-IL"/>
        </w:rPr>
        <w:tab/>
        <w:t>משנה ז:</w:t>
      </w:r>
    </w:p>
  </w:footnote>
  <w:footnote w:id="453">
    <w:p w14:paraId="4F9175CD" w14:textId="77777777" w:rsidR="0009007A" w:rsidRDefault="00000000">
      <w:pPr>
        <w:pStyle w:val="FootnoteText"/>
        <w:rPr>
          <w:lang w:bidi="he-IL"/>
        </w:rPr>
      </w:pPr>
      <w:r>
        <w:rPr>
          <w:rStyle w:val="FootnoteCharacters"/>
        </w:rPr>
        <w:footnoteRef/>
      </w:r>
      <w:r>
        <w:rPr>
          <w:b/>
          <w:bCs/>
          <w:rtl/>
          <w:lang w:bidi="he-IL"/>
        </w:rPr>
        <w:tab/>
        <w:t>הקדמה:</w:t>
      </w:r>
    </w:p>
    <w:p w14:paraId="1A611470" w14:textId="77777777" w:rsidR="0009007A" w:rsidRDefault="00000000">
      <w:pPr>
        <w:pStyle w:val="FootnoteText"/>
        <w:rPr>
          <w:lang w:bidi="he-IL"/>
        </w:rPr>
      </w:pPr>
      <w:r>
        <w:rPr>
          <w:b/>
          <w:bCs/>
          <w:rtl/>
          <w:lang w:bidi="he-IL"/>
        </w:rPr>
        <w:tab/>
      </w:r>
      <w:r>
        <w:rPr>
          <w:rtl/>
          <w:lang w:bidi="he-IL"/>
        </w:rPr>
        <w:t>משנה זה מדבר במי שזימן לביתו אורחים מעיר אחרת, ובאים אצלו בעירוב. הוא לא ערב, אבל הם ערבו. אז, לא יתן להם מתנה, כיון שיוליכו אותו לבתיהם, והרי המתנה יש לו מקום כמקום הבעל. ממשיך מהם לדון בדין אחר של מוקצה, בנוגע איזה בהמות יכול לשחוט.</w:t>
      </w:r>
    </w:p>
  </w:footnote>
  <w:footnote w:id="454">
    <w:p w14:paraId="1959D3CC" w14:textId="77777777" w:rsidR="0009007A" w:rsidRDefault="00000000">
      <w:pPr>
        <w:pStyle w:val="FootnoteText"/>
        <w:rPr>
          <w:lang w:bidi="he-IL"/>
        </w:rPr>
      </w:pPr>
      <w:r>
        <w:rPr>
          <w:rStyle w:val="FootnoteCharacters"/>
        </w:rPr>
        <w:footnoteRef/>
      </w:r>
      <w:r>
        <w:rPr>
          <w:rtl/>
          <w:lang w:bidi="he-IL"/>
        </w:rPr>
        <w:tab/>
        <w:t xml:space="preserve">אז, המעות היו שלהם ביה"ש, וקבלו מקום שלהם. גמ’ מבאר שכאן אף רב מודה, כיון שזיכה להם, כדי לעשות שמקומם הוא מקום החפץ. </w:t>
      </w:r>
      <w:r>
        <w:rPr>
          <w:b/>
          <w:bCs/>
          <w:u w:val="single"/>
          <w:rtl/>
          <w:lang w:bidi="he-IL"/>
        </w:rPr>
        <w:t>(מ.)</w:t>
      </w:r>
    </w:p>
  </w:footnote>
  <w:footnote w:id="455">
    <w:p w14:paraId="261EFB0C" w14:textId="77777777" w:rsidR="0009007A" w:rsidRDefault="00000000">
      <w:pPr>
        <w:pStyle w:val="FootnoteText"/>
        <w:rPr>
          <w:lang w:bidi="he-IL"/>
        </w:rPr>
      </w:pPr>
      <w:r>
        <w:rPr>
          <w:rStyle w:val="FootnoteCharacters"/>
        </w:rPr>
        <w:footnoteRef/>
      </w:r>
      <w:r>
        <w:rPr>
          <w:rtl/>
          <w:lang w:bidi="he-IL"/>
        </w:rPr>
        <w:tab/>
        <w:t xml:space="preserve">כדי לעשות שקל להסיר את עור הבהמה, עצה טובה הוא להשקות את הבהמה מיד קודם שחיטה. </w:t>
      </w:r>
      <w:r>
        <w:rPr>
          <w:b/>
          <w:bCs/>
          <w:u w:val="single"/>
          <w:rtl/>
          <w:lang w:bidi="he-IL"/>
        </w:rPr>
        <w:t>(מ.)</w:t>
      </w:r>
    </w:p>
  </w:footnote>
  <w:footnote w:id="456">
    <w:p w14:paraId="0D91CF35" w14:textId="77777777" w:rsidR="0009007A" w:rsidRDefault="00000000">
      <w:pPr>
        <w:pStyle w:val="FootnoteText"/>
        <w:rPr>
          <w:lang w:bidi="he-IL"/>
        </w:rPr>
      </w:pPr>
      <w:r>
        <w:rPr>
          <w:rStyle w:val="FootnoteCharacters"/>
        </w:rPr>
        <w:footnoteRef/>
      </w:r>
      <w:r>
        <w:rPr>
          <w:rtl/>
          <w:lang w:bidi="he-IL"/>
        </w:rPr>
        <w:tab/>
        <w:t>חול’ מפרשים אם רצה לומר שנותן להם לשתות או שנותן עליהם מים.</w:t>
      </w:r>
    </w:p>
  </w:footnote>
  <w:footnote w:id="457">
    <w:p w14:paraId="2DC6E18C" w14:textId="77777777" w:rsidR="0009007A" w:rsidRDefault="00000000">
      <w:pPr>
        <w:pStyle w:val="FootnoteText"/>
        <w:rPr>
          <w:lang w:bidi="he-IL"/>
        </w:rPr>
      </w:pPr>
      <w:r>
        <w:rPr>
          <w:rStyle w:val="FootnoteCharacters"/>
        </w:rPr>
        <w:footnoteRef/>
      </w:r>
      <w:r>
        <w:rPr>
          <w:rtl/>
          <w:lang w:bidi="he-IL"/>
        </w:rPr>
        <w:tab/>
        <w:t>לא חושב לשחוט אותם, והם מוקצים. אז, כמובן, משנה זה הוא רק שיטת רבי יהודה.</w:t>
      </w:r>
    </w:p>
  </w:footnote>
  <w:footnote w:id="458">
    <w:p w14:paraId="41C781AA" w14:textId="77777777" w:rsidR="0009007A" w:rsidRDefault="00000000">
      <w:pPr>
        <w:pStyle w:val="FootnoteText"/>
        <w:rPr>
          <w:lang w:bidi="he-IL"/>
        </w:rPr>
      </w:pPr>
      <w:r>
        <w:rPr>
          <w:rStyle w:val="FootnoteCharacters"/>
        </w:rPr>
        <w:footnoteRef/>
      </w:r>
      <w:r>
        <w:rPr>
          <w:rtl/>
          <w:lang w:bidi="he-IL"/>
        </w:rPr>
        <w:tab/>
        <w:t>אינם מוקצים, שתמיד באים לו.</w:t>
      </w:r>
    </w:p>
  </w:footnote>
  <w:footnote w:id="459">
    <w:p w14:paraId="1DC62D61" w14:textId="77777777" w:rsidR="0009007A" w:rsidRDefault="00000000">
      <w:pPr>
        <w:pStyle w:val="FootnoteText"/>
        <w:rPr>
          <w:lang w:bidi="he-IL"/>
        </w:rPr>
      </w:pPr>
      <w:r>
        <w:rPr>
          <w:rStyle w:val="FootnoteCharacters"/>
        </w:rPr>
        <w:footnoteRef/>
      </w:r>
      <w:r>
        <w:rPr>
          <w:rtl/>
          <w:lang w:bidi="he-IL"/>
        </w:rPr>
        <w:tab/>
        <w:t xml:space="preserve">כך הוא שיטת חכמים. אבל, רבי אומר שרק אם לא חוזר כלל ליישוב יש לו דין של מדבריות. דן גמ’ אם רבי אומר דין זה כרבי יהודה (שיש מוקצה) או כרבי שמעון (שאין מוקצה.) </w:t>
      </w:r>
      <w:r>
        <w:rPr>
          <w:b/>
          <w:bCs/>
          <w:u w:val="single"/>
          <w:rtl/>
          <w:lang w:bidi="he-IL"/>
        </w:rPr>
        <w:t>(מ)</w:t>
      </w:r>
      <w:r>
        <w:rPr>
          <w:rtl/>
          <w:lang w:bidi="he-IL"/>
        </w:rPr>
        <w:t xml:space="preserve"> </w:t>
      </w:r>
    </w:p>
  </w:footnote>
  <w:footnote w:id="460">
    <w:p w14:paraId="56C794D0" w14:textId="77777777" w:rsidR="0009007A" w:rsidRDefault="00000000">
      <w:pPr>
        <w:pStyle w:val="FootnoteText"/>
        <w:rPr>
          <w:b/>
          <w:bCs/>
          <w:lang w:bidi="he-IL"/>
        </w:rPr>
      </w:pPr>
      <w:r>
        <w:rPr>
          <w:rStyle w:val="FootnoteCharacters"/>
        </w:rPr>
        <w:footnoteRef/>
      </w:r>
      <w:r>
        <w:rPr>
          <w:b/>
          <w:bCs/>
          <w:rtl/>
          <w:lang w:bidi="he-IL"/>
        </w:rPr>
        <w:tab/>
        <w:t>דינים היוצאים מן המשנה:</w:t>
      </w:r>
    </w:p>
    <w:p w14:paraId="41A4E0B4" w14:textId="77777777" w:rsidR="0009007A" w:rsidRDefault="00000000">
      <w:pPr>
        <w:pStyle w:val="FootnoteText"/>
        <w:numPr>
          <w:ilvl w:val="0"/>
          <w:numId w:val="62"/>
        </w:numPr>
        <w:rPr>
          <w:lang w:bidi="he-IL"/>
        </w:rPr>
      </w:pPr>
      <w:r>
        <w:rPr>
          <w:rtl/>
          <w:lang w:bidi="he-IL"/>
        </w:rPr>
        <w:t>חפצים שנותן לאחר באמצע י"ט- מקומם כמקום בעל בתחילת י"ט.</w:t>
      </w:r>
    </w:p>
    <w:p w14:paraId="6D4D3DDE" w14:textId="77777777" w:rsidR="0009007A" w:rsidRDefault="00000000">
      <w:pPr>
        <w:pStyle w:val="FootnoteText"/>
        <w:numPr>
          <w:ilvl w:val="0"/>
          <w:numId w:val="62"/>
        </w:numPr>
        <w:rPr>
          <w:lang w:bidi="he-IL"/>
        </w:rPr>
      </w:pPr>
      <w:r>
        <w:rPr>
          <w:rtl/>
          <w:lang w:bidi="he-IL"/>
        </w:rPr>
        <w:t>חפצים שזכה לפני י"ט- מקומם כמקום בעל החדש.</w:t>
      </w:r>
    </w:p>
    <w:p w14:paraId="474B5DBE" w14:textId="77777777" w:rsidR="0009007A" w:rsidRDefault="00000000">
      <w:pPr>
        <w:pStyle w:val="FootnoteText"/>
        <w:numPr>
          <w:ilvl w:val="0"/>
          <w:numId w:val="62"/>
        </w:numPr>
        <w:rPr>
          <w:lang w:bidi="he-IL"/>
        </w:rPr>
      </w:pPr>
      <w:r>
        <w:rPr>
          <w:rtl/>
          <w:lang w:bidi="he-IL"/>
        </w:rPr>
        <w:t>כששוחט, עצה טובה להשקות קודם.</w:t>
      </w:r>
    </w:p>
    <w:p w14:paraId="315811AC" w14:textId="77777777" w:rsidR="0009007A" w:rsidRDefault="00000000">
      <w:pPr>
        <w:pStyle w:val="FootnoteText"/>
        <w:numPr>
          <w:ilvl w:val="0"/>
          <w:numId w:val="62"/>
        </w:numPr>
        <w:rPr>
          <w:lang w:bidi="he-IL"/>
        </w:rPr>
      </w:pPr>
      <w:r>
        <w:rPr>
          <w:rtl/>
          <w:lang w:bidi="he-IL"/>
        </w:rPr>
        <w:t>מה שוחטים בי"ט:</w:t>
      </w:r>
    </w:p>
    <w:p w14:paraId="1AAAD08C" w14:textId="77777777" w:rsidR="0009007A" w:rsidRDefault="00000000">
      <w:pPr>
        <w:pStyle w:val="FootnoteText"/>
        <w:numPr>
          <w:ilvl w:val="1"/>
          <w:numId w:val="62"/>
        </w:numPr>
        <w:rPr>
          <w:lang w:bidi="he-IL"/>
        </w:rPr>
      </w:pPr>
      <w:r>
        <w:rPr>
          <w:rtl/>
          <w:lang w:bidi="he-IL"/>
        </w:rPr>
        <w:t>לנות בתחום- מותר.</w:t>
      </w:r>
    </w:p>
    <w:p w14:paraId="260F5544" w14:textId="77777777" w:rsidR="0009007A" w:rsidRDefault="00000000">
      <w:pPr>
        <w:pStyle w:val="FootnoteText"/>
        <w:numPr>
          <w:ilvl w:val="1"/>
          <w:numId w:val="62"/>
        </w:numPr>
        <w:rPr>
          <w:lang w:bidi="he-IL"/>
        </w:rPr>
      </w:pPr>
      <w:r>
        <w:rPr>
          <w:rtl/>
          <w:lang w:bidi="he-IL"/>
        </w:rPr>
        <w:t xml:space="preserve">באים פעם בשנה לתחום- </w:t>
      </w:r>
    </w:p>
    <w:p w14:paraId="3546D357" w14:textId="77777777" w:rsidR="0009007A" w:rsidRDefault="00000000">
      <w:pPr>
        <w:pStyle w:val="FootnoteText"/>
        <w:numPr>
          <w:ilvl w:val="2"/>
          <w:numId w:val="62"/>
        </w:numPr>
        <w:rPr>
          <w:lang w:bidi="he-IL"/>
        </w:rPr>
      </w:pPr>
      <w:r>
        <w:rPr>
          <w:rtl/>
          <w:lang w:bidi="he-IL"/>
        </w:rPr>
        <w:t>רבנן- אסור.</w:t>
      </w:r>
    </w:p>
    <w:p w14:paraId="79268EF0" w14:textId="77777777" w:rsidR="0009007A" w:rsidRDefault="00000000">
      <w:pPr>
        <w:pStyle w:val="FootnoteText"/>
        <w:numPr>
          <w:ilvl w:val="2"/>
          <w:numId w:val="62"/>
        </w:numPr>
        <w:rPr>
          <w:lang w:bidi="he-IL"/>
        </w:rPr>
      </w:pPr>
      <w:r>
        <w:rPr>
          <w:rtl/>
          <w:lang w:bidi="he-IL"/>
        </w:rPr>
        <w:t>רבי- מותר.</w:t>
      </w:r>
    </w:p>
    <w:p w14:paraId="57468153" w14:textId="77777777" w:rsidR="0009007A" w:rsidRDefault="00000000">
      <w:pPr>
        <w:pStyle w:val="FootnoteText"/>
        <w:numPr>
          <w:ilvl w:val="1"/>
          <w:numId w:val="62"/>
        </w:numPr>
        <w:rPr>
          <w:lang w:bidi="he-IL"/>
        </w:rPr>
      </w:pPr>
      <w:r>
        <w:rPr>
          <w:rtl/>
          <w:lang w:bidi="he-IL"/>
        </w:rPr>
        <w:t>אף פעם לא באים לתחום- אסור. (גמ’ מצדד שאולי אף בזה רבי שמעון מתיר.)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A02B" w14:textId="77777777" w:rsidR="0009007A" w:rsidRDefault="00000000">
    <w:pPr>
      <w:pStyle w:val="Header"/>
      <w:jc w:val="center"/>
      <w:rPr>
        <w:b/>
        <w:bCs/>
        <w:lang w:bidi="he-IL"/>
      </w:rPr>
    </w:pPr>
    <w:r>
      <w:rPr>
        <w:b/>
        <w:bCs/>
        <w:rtl/>
        <w:lang w:bidi="he-IL"/>
      </w:rPr>
      <w:t>מסכת ביצה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1B"/>
    <w:multiLevelType w:val="multilevel"/>
    <w:tmpl w:val="05E0D93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 w15:restartNumberingAfterBreak="0">
    <w:nsid w:val="0A576D3F"/>
    <w:multiLevelType w:val="multilevel"/>
    <w:tmpl w:val="9460AF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BE621B7"/>
    <w:multiLevelType w:val="multilevel"/>
    <w:tmpl w:val="69C0720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 w15:restartNumberingAfterBreak="0">
    <w:nsid w:val="0F252150"/>
    <w:multiLevelType w:val="multilevel"/>
    <w:tmpl w:val="4E0EF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1B345C6"/>
    <w:multiLevelType w:val="multilevel"/>
    <w:tmpl w:val="197AD56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15:restartNumberingAfterBreak="0">
    <w:nsid w:val="153C458E"/>
    <w:multiLevelType w:val="multilevel"/>
    <w:tmpl w:val="5D2CF91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 w15:restartNumberingAfterBreak="0">
    <w:nsid w:val="157854E5"/>
    <w:multiLevelType w:val="multilevel"/>
    <w:tmpl w:val="408243C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7281ED3"/>
    <w:multiLevelType w:val="multilevel"/>
    <w:tmpl w:val="619C37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1130DA"/>
    <w:multiLevelType w:val="multilevel"/>
    <w:tmpl w:val="B206415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9" w15:restartNumberingAfterBreak="0">
    <w:nsid w:val="1C384A27"/>
    <w:multiLevelType w:val="multilevel"/>
    <w:tmpl w:val="F042AE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0D71E8D"/>
    <w:multiLevelType w:val="multilevel"/>
    <w:tmpl w:val="7AF6B68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15:restartNumberingAfterBreak="0">
    <w:nsid w:val="235F3D5C"/>
    <w:multiLevelType w:val="multilevel"/>
    <w:tmpl w:val="70FCD9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4F201C5"/>
    <w:multiLevelType w:val="multilevel"/>
    <w:tmpl w:val="439E5DF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15:restartNumberingAfterBreak="0">
    <w:nsid w:val="26C2270D"/>
    <w:multiLevelType w:val="multilevel"/>
    <w:tmpl w:val="9A22864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4" w15:restartNumberingAfterBreak="0">
    <w:nsid w:val="29E32D98"/>
    <w:multiLevelType w:val="multilevel"/>
    <w:tmpl w:val="CE5E878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300A200B"/>
    <w:multiLevelType w:val="multilevel"/>
    <w:tmpl w:val="06844F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00F7BFF"/>
    <w:multiLevelType w:val="multilevel"/>
    <w:tmpl w:val="64E4F15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7" w15:restartNumberingAfterBreak="0">
    <w:nsid w:val="31294151"/>
    <w:multiLevelType w:val="multilevel"/>
    <w:tmpl w:val="1E1C914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315B2C95"/>
    <w:multiLevelType w:val="multilevel"/>
    <w:tmpl w:val="F154AC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34228C2"/>
    <w:multiLevelType w:val="multilevel"/>
    <w:tmpl w:val="C114A70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15:restartNumberingAfterBreak="0">
    <w:nsid w:val="3498714D"/>
    <w:multiLevelType w:val="multilevel"/>
    <w:tmpl w:val="C6566D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6E93D0A"/>
    <w:multiLevelType w:val="multilevel"/>
    <w:tmpl w:val="D860603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15:restartNumberingAfterBreak="0">
    <w:nsid w:val="37D07448"/>
    <w:multiLevelType w:val="multilevel"/>
    <w:tmpl w:val="85E4123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3" w15:restartNumberingAfterBreak="0">
    <w:nsid w:val="383C273F"/>
    <w:multiLevelType w:val="multilevel"/>
    <w:tmpl w:val="C89820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38BC3A76"/>
    <w:multiLevelType w:val="multilevel"/>
    <w:tmpl w:val="269A5A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A3C4BA2"/>
    <w:multiLevelType w:val="multilevel"/>
    <w:tmpl w:val="7994ABA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6" w15:restartNumberingAfterBreak="0">
    <w:nsid w:val="400C5F0A"/>
    <w:multiLevelType w:val="multilevel"/>
    <w:tmpl w:val="AC40B69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7" w15:restartNumberingAfterBreak="0">
    <w:nsid w:val="402639AD"/>
    <w:multiLevelType w:val="multilevel"/>
    <w:tmpl w:val="C01C686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8" w15:restartNumberingAfterBreak="0">
    <w:nsid w:val="406D52B5"/>
    <w:multiLevelType w:val="multilevel"/>
    <w:tmpl w:val="5DD2C54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15:restartNumberingAfterBreak="0">
    <w:nsid w:val="41547CB4"/>
    <w:multiLevelType w:val="multilevel"/>
    <w:tmpl w:val="AC6645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44A2456A"/>
    <w:multiLevelType w:val="multilevel"/>
    <w:tmpl w:val="5FE419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46167C78"/>
    <w:multiLevelType w:val="multilevel"/>
    <w:tmpl w:val="9496B66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2" w15:restartNumberingAfterBreak="0">
    <w:nsid w:val="47E979B6"/>
    <w:multiLevelType w:val="multilevel"/>
    <w:tmpl w:val="04C4468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4851210A"/>
    <w:multiLevelType w:val="multilevel"/>
    <w:tmpl w:val="6FE89D1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4" w15:restartNumberingAfterBreak="0">
    <w:nsid w:val="4AA01BDC"/>
    <w:multiLevelType w:val="multilevel"/>
    <w:tmpl w:val="0BFAE8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4AD16E88"/>
    <w:multiLevelType w:val="multilevel"/>
    <w:tmpl w:val="3CF62F6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4C2D0DD5"/>
    <w:multiLevelType w:val="multilevel"/>
    <w:tmpl w:val="B00A1E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4D2E2FAF"/>
    <w:multiLevelType w:val="multilevel"/>
    <w:tmpl w:val="1BE80DF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8" w15:restartNumberingAfterBreak="0">
    <w:nsid w:val="50935279"/>
    <w:multiLevelType w:val="multilevel"/>
    <w:tmpl w:val="8A3C82C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9" w15:restartNumberingAfterBreak="0">
    <w:nsid w:val="525A0092"/>
    <w:multiLevelType w:val="multilevel"/>
    <w:tmpl w:val="14C054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31C12FE"/>
    <w:multiLevelType w:val="multilevel"/>
    <w:tmpl w:val="A91C1D4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1" w15:restartNumberingAfterBreak="0">
    <w:nsid w:val="55265D46"/>
    <w:multiLevelType w:val="multilevel"/>
    <w:tmpl w:val="FDECF41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2" w15:restartNumberingAfterBreak="0">
    <w:nsid w:val="55A03380"/>
    <w:multiLevelType w:val="multilevel"/>
    <w:tmpl w:val="F7A89B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56E6794F"/>
    <w:multiLevelType w:val="multilevel"/>
    <w:tmpl w:val="2AE4FA7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4" w15:restartNumberingAfterBreak="0">
    <w:nsid w:val="5AFE0701"/>
    <w:multiLevelType w:val="multilevel"/>
    <w:tmpl w:val="ABFA0A3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5" w15:restartNumberingAfterBreak="0">
    <w:nsid w:val="5B465239"/>
    <w:multiLevelType w:val="multilevel"/>
    <w:tmpl w:val="18C0BC4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6" w15:restartNumberingAfterBreak="0">
    <w:nsid w:val="5CF60AA0"/>
    <w:multiLevelType w:val="multilevel"/>
    <w:tmpl w:val="B40A89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D6946C7"/>
    <w:multiLevelType w:val="multilevel"/>
    <w:tmpl w:val="F692C36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8" w15:restartNumberingAfterBreak="0">
    <w:nsid w:val="5F796A2D"/>
    <w:multiLevelType w:val="multilevel"/>
    <w:tmpl w:val="FBF450D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9" w15:restartNumberingAfterBreak="0">
    <w:nsid w:val="60380352"/>
    <w:multiLevelType w:val="multilevel"/>
    <w:tmpl w:val="453A160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0" w15:restartNumberingAfterBreak="0">
    <w:nsid w:val="608F19B4"/>
    <w:multiLevelType w:val="multilevel"/>
    <w:tmpl w:val="6EC27A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632E1F3B"/>
    <w:multiLevelType w:val="multilevel"/>
    <w:tmpl w:val="C96A8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15:restartNumberingAfterBreak="0">
    <w:nsid w:val="66B7359F"/>
    <w:multiLevelType w:val="multilevel"/>
    <w:tmpl w:val="B462C8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15:restartNumberingAfterBreak="0">
    <w:nsid w:val="66E6551A"/>
    <w:multiLevelType w:val="multilevel"/>
    <w:tmpl w:val="30E2B35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4" w15:restartNumberingAfterBreak="0">
    <w:nsid w:val="6E69042C"/>
    <w:multiLevelType w:val="multilevel"/>
    <w:tmpl w:val="669E3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5" w15:restartNumberingAfterBreak="0">
    <w:nsid w:val="715946B0"/>
    <w:multiLevelType w:val="multilevel"/>
    <w:tmpl w:val="3C5AD8B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6" w15:restartNumberingAfterBreak="0">
    <w:nsid w:val="73793DDF"/>
    <w:multiLevelType w:val="multilevel"/>
    <w:tmpl w:val="8F96D9C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7" w15:restartNumberingAfterBreak="0">
    <w:nsid w:val="76CC4E36"/>
    <w:multiLevelType w:val="multilevel"/>
    <w:tmpl w:val="77DCB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78616BC8"/>
    <w:multiLevelType w:val="multilevel"/>
    <w:tmpl w:val="564282C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9" w15:restartNumberingAfterBreak="0">
    <w:nsid w:val="7D335E8D"/>
    <w:multiLevelType w:val="multilevel"/>
    <w:tmpl w:val="206899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F496A6D"/>
    <w:multiLevelType w:val="multilevel"/>
    <w:tmpl w:val="5DF63A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7FF53DA5"/>
    <w:multiLevelType w:val="multilevel"/>
    <w:tmpl w:val="3D067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21448076">
    <w:abstractNumId w:val="54"/>
  </w:num>
  <w:num w:numId="2" w16cid:durableId="1319116852">
    <w:abstractNumId w:val="18"/>
  </w:num>
  <w:num w:numId="3" w16cid:durableId="1319963479">
    <w:abstractNumId w:val="32"/>
  </w:num>
  <w:num w:numId="4" w16cid:durableId="2101290466">
    <w:abstractNumId w:val="24"/>
  </w:num>
  <w:num w:numId="5" w16cid:durableId="271979759">
    <w:abstractNumId w:val="59"/>
  </w:num>
  <w:num w:numId="6" w16cid:durableId="609314448">
    <w:abstractNumId w:val="15"/>
  </w:num>
  <w:num w:numId="7" w16cid:durableId="1242063459">
    <w:abstractNumId w:val="52"/>
  </w:num>
  <w:num w:numId="8" w16cid:durableId="1469980168">
    <w:abstractNumId w:val="1"/>
  </w:num>
  <w:num w:numId="9" w16cid:durableId="365643894">
    <w:abstractNumId w:val="50"/>
  </w:num>
  <w:num w:numId="10" w16cid:durableId="786461168">
    <w:abstractNumId w:val="60"/>
  </w:num>
  <w:num w:numId="11" w16cid:durableId="1378625756">
    <w:abstractNumId w:val="11"/>
  </w:num>
  <w:num w:numId="12" w16cid:durableId="1974288168">
    <w:abstractNumId w:val="57"/>
  </w:num>
  <w:num w:numId="13" w16cid:durableId="745759297">
    <w:abstractNumId w:val="51"/>
  </w:num>
  <w:num w:numId="14" w16cid:durableId="1648242979">
    <w:abstractNumId w:val="23"/>
  </w:num>
  <w:num w:numId="15" w16cid:durableId="2013222143">
    <w:abstractNumId w:val="20"/>
  </w:num>
  <w:num w:numId="16" w16cid:durableId="850951385">
    <w:abstractNumId w:val="30"/>
  </w:num>
  <w:num w:numId="17" w16cid:durableId="199436942">
    <w:abstractNumId w:val="36"/>
  </w:num>
  <w:num w:numId="18" w16cid:durableId="2023238700">
    <w:abstractNumId w:val="9"/>
  </w:num>
  <w:num w:numId="19" w16cid:durableId="905184577">
    <w:abstractNumId w:val="7"/>
  </w:num>
  <w:num w:numId="20" w16cid:durableId="217280713">
    <w:abstractNumId w:val="34"/>
  </w:num>
  <w:num w:numId="21" w16cid:durableId="872771023">
    <w:abstractNumId w:val="39"/>
  </w:num>
  <w:num w:numId="22" w16cid:durableId="1685783337">
    <w:abstractNumId w:val="46"/>
  </w:num>
  <w:num w:numId="23" w16cid:durableId="183330922">
    <w:abstractNumId w:val="3"/>
  </w:num>
  <w:num w:numId="24" w16cid:durableId="2134250669">
    <w:abstractNumId w:val="61"/>
  </w:num>
  <w:num w:numId="25" w16cid:durableId="698702678">
    <w:abstractNumId w:val="5"/>
  </w:num>
  <w:num w:numId="26" w16cid:durableId="1562014718">
    <w:abstractNumId w:val="14"/>
  </w:num>
  <w:num w:numId="27" w16cid:durableId="790395089">
    <w:abstractNumId w:val="47"/>
  </w:num>
  <w:num w:numId="28" w16cid:durableId="171066735">
    <w:abstractNumId w:val="41"/>
  </w:num>
  <w:num w:numId="29" w16cid:durableId="1711538890">
    <w:abstractNumId w:val="45"/>
  </w:num>
  <w:num w:numId="30" w16cid:durableId="942343016">
    <w:abstractNumId w:val="27"/>
  </w:num>
  <w:num w:numId="31" w16cid:durableId="1816027834">
    <w:abstractNumId w:val="53"/>
  </w:num>
  <w:num w:numId="32" w16cid:durableId="1043863792">
    <w:abstractNumId w:val="56"/>
  </w:num>
  <w:num w:numId="33" w16cid:durableId="625236930">
    <w:abstractNumId w:val="16"/>
  </w:num>
  <w:num w:numId="34" w16cid:durableId="1822043323">
    <w:abstractNumId w:val="26"/>
  </w:num>
  <w:num w:numId="35" w16cid:durableId="1477844831">
    <w:abstractNumId w:val="43"/>
  </w:num>
  <w:num w:numId="36" w16cid:durableId="1256554088">
    <w:abstractNumId w:val="28"/>
  </w:num>
  <w:num w:numId="37" w16cid:durableId="120609887">
    <w:abstractNumId w:val="29"/>
  </w:num>
  <w:num w:numId="38" w16cid:durableId="217322233">
    <w:abstractNumId w:val="21"/>
  </w:num>
  <w:num w:numId="39" w16cid:durableId="1976909828">
    <w:abstractNumId w:val="35"/>
  </w:num>
  <w:num w:numId="40" w16cid:durableId="1230575434">
    <w:abstractNumId w:val="4"/>
  </w:num>
  <w:num w:numId="41" w16cid:durableId="316884679">
    <w:abstractNumId w:val="25"/>
  </w:num>
  <w:num w:numId="42" w16cid:durableId="1005207796">
    <w:abstractNumId w:val="19"/>
  </w:num>
  <w:num w:numId="43" w16cid:durableId="2030721270">
    <w:abstractNumId w:val="49"/>
  </w:num>
  <w:num w:numId="44" w16cid:durableId="706568332">
    <w:abstractNumId w:val="6"/>
  </w:num>
  <w:num w:numId="45" w16cid:durableId="1205675553">
    <w:abstractNumId w:val="55"/>
  </w:num>
  <w:num w:numId="46" w16cid:durableId="1573925075">
    <w:abstractNumId w:val="33"/>
  </w:num>
  <w:num w:numId="47" w16cid:durableId="322588121">
    <w:abstractNumId w:val="13"/>
  </w:num>
  <w:num w:numId="48" w16cid:durableId="1991251652">
    <w:abstractNumId w:val="37"/>
  </w:num>
  <w:num w:numId="49" w16cid:durableId="1180242853">
    <w:abstractNumId w:val="22"/>
  </w:num>
  <w:num w:numId="50" w16cid:durableId="715155084">
    <w:abstractNumId w:val="48"/>
  </w:num>
  <w:num w:numId="51" w16cid:durableId="1816217275">
    <w:abstractNumId w:val="0"/>
  </w:num>
  <w:num w:numId="52" w16cid:durableId="1852445944">
    <w:abstractNumId w:val="31"/>
  </w:num>
  <w:num w:numId="53" w16cid:durableId="255134225">
    <w:abstractNumId w:val="40"/>
  </w:num>
  <w:num w:numId="54" w16cid:durableId="920598509">
    <w:abstractNumId w:val="38"/>
  </w:num>
  <w:num w:numId="55" w16cid:durableId="1217932558">
    <w:abstractNumId w:val="58"/>
  </w:num>
  <w:num w:numId="56" w16cid:durableId="346447136">
    <w:abstractNumId w:val="10"/>
  </w:num>
  <w:num w:numId="57" w16cid:durableId="146359745">
    <w:abstractNumId w:val="17"/>
  </w:num>
  <w:num w:numId="58" w16cid:durableId="95831034">
    <w:abstractNumId w:val="44"/>
  </w:num>
  <w:num w:numId="59" w16cid:durableId="1141844684">
    <w:abstractNumId w:val="12"/>
  </w:num>
  <w:num w:numId="60" w16cid:durableId="730619042">
    <w:abstractNumId w:val="42"/>
  </w:num>
  <w:num w:numId="61" w16cid:durableId="782119355">
    <w:abstractNumId w:val="8"/>
  </w:num>
  <w:num w:numId="62" w16cid:durableId="1517769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007A"/>
    <w:rsid w:val="00050622"/>
    <w:rsid w:val="0009007A"/>
    <w:rsid w:val="00490933"/>
    <w:rsid w:val="00E61FEC"/>
    <w:rsid w:val="00FE538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BFE81B1"/>
  <w15:docId w15:val="{D0115835-ECDC-42AF-8280-FA7C3D32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03D"/>
    <w:pPr>
      <w:bidi/>
    </w:pPr>
  </w:style>
  <w:style w:type="paragraph" w:styleId="Heading1">
    <w:name w:val="heading 1"/>
    <w:basedOn w:val="Normal"/>
    <w:next w:val="Normal"/>
    <w:link w:val="Heading1Char"/>
    <w:uiPriority w:val="9"/>
    <w:qFormat/>
    <w:rsid w:val="00AF403D"/>
    <w:pPr>
      <w:keepNext/>
      <w:keepLines/>
      <w:jc w:val="center"/>
      <w:outlineLvl w:val="0"/>
    </w:pPr>
    <w:rPr>
      <w:rFonts w:asciiTheme="majorHAnsi" w:eastAsiaTheme="majorEastAsia" w:hAnsiTheme="majorHAnsi"/>
      <w:bCs/>
      <w:sz w:val="32"/>
      <w:u w:val="single"/>
    </w:rPr>
  </w:style>
  <w:style w:type="paragraph" w:styleId="Heading2">
    <w:name w:val="heading 2"/>
    <w:basedOn w:val="Normal"/>
    <w:next w:val="Normal"/>
    <w:link w:val="Heading2Char"/>
    <w:uiPriority w:val="9"/>
    <w:unhideWhenUsed/>
    <w:qFormat/>
    <w:rsid w:val="00AF403D"/>
    <w:pPr>
      <w:keepNext/>
      <w:keepLines/>
      <w:outlineLvl w:val="1"/>
    </w:pPr>
    <w:rPr>
      <w:rFonts w:asciiTheme="majorHAnsi" w:eastAsiaTheme="majorEastAsia" w:hAnsiTheme="majorHAnsi" w:cs="Times New Roman"/>
      <w:bCs/>
      <w:sz w:val="26"/>
    </w:rPr>
  </w:style>
  <w:style w:type="paragraph" w:styleId="Heading3">
    <w:name w:val="heading 3"/>
    <w:basedOn w:val="Heading"/>
    <w:next w:val="BodyText"/>
    <w:qFormat/>
    <w:pPr>
      <w:numPr>
        <w:ilvl w:val="2"/>
        <w:numId w:val="2"/>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Heading1Char">
    <w:name w:val="Heading 1 Char"/>
    <w:basedOn w:val="DefaultParagraphFont"/>
    <w:link w:val="Heading1"/>
    <w:uiPriority w:val="9"/>
    <w:qFormat/>
    <w:rsid w:val="00AF403D"/>
    <w:rPr>
      <w:rFonts w:asciiTheme="majorHAnsi" w:eastAsiaTheme="majorEastAsia" w:hAnsiTheme="majorHAnsi"/>
      <w:bCs/>
      <w:sz w:val="32"/>
      <w:u w:val="single"/>
    </w:rPr>
  </w:style>
  <w:style w:type="character" w:customStyle="1" w:styleId="BodyTextChar">
    <w:name w:val="Body Text Char"/>
    <w:basedOn w:val="DefaultParagraphFont"/>
    <w:link w:val="BodyText"/>
    <w:qFormat/>
    <w:rsid w:val="00AF403D"/>
  </w:style>
  <w:style w:type="character" w:customStyle="1" w:styleId="Heading2Char">
    <w:name w:val="Heading 2 Char"/>
    <w:basedOn w:val="DefaultParagraphFont"/>
    <w:link w:val="Heading2"/>
    <w:uiPriority w:val="9"/>
    <w:qFormat/>
    <w:rsid w:val="00AF403D"/>
    <w:rPr>
      <w:rFonts w:asciiTheme="majorHAnsi" w:eastAsiaTheme="majorEastAsia" w:hAnsiTheme="majorHAnsi" w:cs="NARKISSIM"/>
      <w:bCs/>
      <w:sz w:val="26"/>
    </w:rPr>
  </w:style>
  <w:style w:type="character" w:styleId="Hyperlink">
    <w:name w:val="Hyperlink"/>
    <w:basedOn w:val="DefaultParagraphFont"/>
    <w:uiPriority w:val="99"/>
    <w:semiHidden/>
    <w:unhideWhenUsed/>
    <w:rsid w:val="00973AD5"/>
    <w:rPr>
      <w:color w:val="2F6DBB"/>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FootnoteText">
    <w:name w:val="footnote text"/>
    <w:basedOn w:val="Normal"/>
    <w:pPr>
      <w:suppressLineNumbers/>
      <w:ind w:left="340" w:hanging="340"/>
    </w:pPr>
    <w:rPr>
      <w:sz w:val="20"/>
      <w:szCs w:val="20"/>
    </w:rPr>
  </w:style>
  <w:style w:type="paragraph" w:styleId="NormalWeb">
    <w:name w:val="Normal (Web)"/>
    <w:basedOn w:val="Normal"/>
    <w:uiPriority w:val="99"/>
    <w:semiHidden/>
    <w:unhideWhenUsed/>
    <w:qFormat/>
    <w:rsid w:val="00973AD5"/>
    <w:pPr>
      <w:suppressAutoHyphens w:val="0"/>
      <w:bidi w:val="0"/>
      <w:spacing w:beforeAutospacing="1" w:afterAutospacing="1"/>
    </w:pPr>
    <w:rPr>
      <w:rFonts w:eastAsia="Times New Roman" w:cs="Times New Roman"/>
      <w:kern w:val="0"/>
      <w:szCs w:val="24"/>
      <w:lang w:val="en-US" w:eastAsia="en-US" w:bidi="he-IL"/>
    </w:rPr>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table" w:styleId="TableGrid">
    <w:name w:val="Table Grid"/>
    <w:basedOn w:val="TableNormal"/>
    <w:uiPriority w:val="39"/>
    <w:rsid w:val="00021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8079</TotalTime>
  <Pages>28</Pages>
  <Words>2057</Words>
  <Characters>11728</Characters>
  <Application>Microsoft Office Word</Application>
  <DocSecurity>0</DocSecurity>
  <Lines>97</Lines>
  <Paragraphs>27</Paragraphs>
  <ScaleCrop>false</ScaleCrop>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Shaul Y Khayyat</cp:lastModifiedBy>
  <cp:revision>955</cp:revision>
  <dcterms:created xsi:type="dcterms:W3CDTF">2024-05-12T14:46:00Z</dcterms:created>
  <dcterms:modified xsi:type="dcterms:W3CDTF">2025-02-11T16:17:00Z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