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240" w:after="0"/>
        <w:jc w:val="center"/>
        <w:rPr/>
      </w:pPr>
      <w:r>
        <w:rPr>
          <w:rtl w:val="true"/>
        </w:rPr>
        <w:t>פרק ראשון</w:t>
      </w:r>
      <w:r>
        <w:rPr>
          <w:rStyle w:val="FootnoteAnchor"/>
          <w:rtl w:val="true"/>
        </w:rPr>
        <w:footnoteReference w:customMarkFollows="1" w:id="2"/>
        <w:t xml:space="preserve"> </w:t>
      </w:r>
    </w:p>
    <w:p>
      <w:pPr>
        <w:pStyle w:val="Heading2"/>
        <w:rPr/>
      </w:pPr>
      <w:r>
        <w:rPr>
          <w:rtl w:val="true"/>
        </w:rPr>
        <w:t>משנה א</w:t>
      </w:r>
      <w:r>
        <w:rPr>
          <w:rStyle w:val="FootnoteAnchor"/>
          <w:rtl w:val="true"/>
        </w:rPr>
        <w:footnoteReference w:customMarkFollows="1" w:id="3"/>
        <w:t xml:space="preserve"> </w:t>
      </w:r>
    </w:p>
    <w:p>
      <w:pPr>
        <w:pStyle w:val="Normal"/>
        <w:rPr/>
      </w:pPr>
      <w:r>
        <w:rPr>
          <w:rStyle w:val="FootnoteAnchor"/>
          <w:rtl w:val="true"/>
        </w:rPr>
        <w:footnoteReference w:customMarkFollows="1" w:id="4"/>
        <w:t xml:space="preserve"> </w:t>
      </w:r>
      <w:r>
        <w:rPr>
          <w:rtl w:val="true"/>
        </w:rPr>
        <w:t>מֵאֵימָתַי מַזְכִּירִין</w:t>
      </w:r>
      <w:r>
        <w:rPr>
          <w:rStyle w:val="FootnoteAnchor"/>
          <w:rtl w:val="true"/>
        </w:rPr>
        <w:footnoteReference w:id="5"/>
      </w:r>
      <w:r>
        <w:rPr>
          <w:rtl w:val="true"/>
        </w:rPr>
        <w:t xml:space="preserve"> גְּבוּרוֹת גְּשָׁמִים</w:t>
      </w:r>
      <w:r>
        <w:rPr>
          <w:rStyle w:val="FootnoteAnchor"/>
          <w:rtl w:val="true"/>
        </w:rPr>
        <w:footnoteReference w:id="6"/>
      </w:r>
      <w:r>
        <w:rPr>
          <w:rtl w:val="true"/>
        </w:rPr>
        <w:t xml:space="preserve">. </w:t>
      </w:r>
      <w:r>
        <w:rPr>
          <w:rtl w:val="true"/>
        </w:rPr>
        <w:t>רַבִּי אֱלִיעֶזֶר אוֹמֵר</w:t>
      </w:r>
      <w:r>
        <w:rPr>
          <w:rtl w:val="true"/>
        </w:rPr>
        <w:t xml:space="preserve">, </w:t>
      </w:r>
      <w:r>
        <w:rPr>
          <w:rtl w:val="true"/>
        </w:rPr>
        <w:t>מִיּוֹם טוֹב הָרִאשׁוֹן שֶׁל חָג</w:t>
      </w:r>
      <w:r>
        <w:rPr>
          <w:rStyle w:val="FootnoteAnchor"/>
          <w:rtl w:val="true"/>
        </w:rPr>
        <w:footnoteReference w:id="7"/>
      </w:r>
      <w:r>
        <w:rPr>
          <w:rStyle w:val="FootnoteAnchor"/>
          <w:rtl w:val="true"/>
        </w:rPr>
        <w:footnoteReference w:id="8"/>
      </w:r>
      <w:r>
        <w:rPr>
          <w:rtl w:val="true"/>
        </w:rPr>
        <w:t xml:space="preserve">. </w:t>
      </w:r>
      <w:r>
        <w:rPr>
          <w:rtl w:val="true"/>
        </w:rPr>
        <w:t>רַבִּי יְהוֹשֻׁעַ אוֹמֵר</w:t>
      </w:r>
      <w:r>
        <w:rPr>
          <w:rtl w:val="true"/>
        </w:rPr>
        <w:t xml:space="preserve">, </w:t>
      </w:r>
      <w:r>
        <w:rPr>
          <w:rtl w:val="true"/>
        </w:rPr>
        <w:t>מִיּוֹם טוֹב הָאַחֲרוֹן שֶׁל חָג</w:t>
      </w:r>
      <w:r>
        <w:rPr>
          <w:rStyle w:val="FootnoteAnchor"/>
          <w:rtl w:val="true"/>
        </w:rPr>
        <w:footnoteReference w:id="9"/>
      </w:r>
      <w:r>
        <w:rPr>
          <w:rStyle w:val="FootnoteAnchor"/>
          <w:rtl w:val="true"/>
        </w:rPr>
        <w:footnoteReference w:id="10"/>
      </w:r>
      <w:r>
        <w:rPr>
          <w:rtl w:val="true"/>
        </w:rPr>
        <w:t xml:space="preserve">. </w:t>
      </w:r>
      <w:r>
        <w:rPr>
          <w:rtl w:val="true"/>
        </w:rPr>
        <w:t>אָמַר לוֹ רַבִּי יְהוֹשֻׁעַ</w:t>
      </w:r>
      <w:r>
        <w:rPr>
          <w:rtl w:val="true"/>
        </w:rPr>
        <w:t xml:space="preserve">. </w:t>
      </w:r>
      <w:r>
        <w:rPr>
          <w:rtl w:val="true"/>
        </w:rPr>
        <w:t>הוֹאִיל וְאֵין הַגְּשָׁמִים אֶלָּא סִימַן קְלָלָה בֶּחָג</w:t>
      </w:r>
      <w:r>
        <w:rPr>
          <w:rStyle w:val="FootnoteAnchor"/>
          <w:rtl w:val="true"/>
        </w:rPr>
        <w:footnoteReference w:id="11"/>
      </w:r>
      <w:r>
        <w:rPr>
          <w:rtl w:val="true"/>
        </w:rPr>
        <w:t xml:space="preserve">, </w:t>
      </w:r>
      <w:r>
        <w:rPr>
          <w:rtl w:val="true"/>
        </w:rPr>
        <w:t>לָמָּה מַזְכִּיר</w:t>
      </w:r>
      <w:r>
        <w:rPr>
          <w:rStyle w:val="FootnoteAnchor"/>
          <w:rtl w:val="true"/>
        </w:rPr>
        <w:footnoteReference w:id="12"/>
      </w:r>
      <w:r>
        <w:rPr>
          <w:rtl w:val="true"/>
        </w:rPr>
        <w:t xml:space="preserve">. </w:t>
      </w:r>
      <w:r>
        <w:rPr>
          <w:rtl w:val="true"/>
        </w:rPr>
        <w:t>אָמַר לוֹ רַבִּי אֱלִיעֶזֶר</w:t>
      </w:r>
      <w:r>
        <w:rPr>
          <w:rtl w:val="true"/>
        </w:rPr>
        <w:t xml:space="preserve">, </w:t>
      </w:r>
      <w:r>
        <w:rPr>
          <w:rtl w:val="true"/>
        </w:rPr>
        <w:t>אַף אֲנִי לֹא אָמַרְתִּי לִשְׁאוֹל</w:t>
      </w:r>
      <w:r>
        <w:rPr>
          <w:rtl w:val="true"/>
        </w:rPr>
        <w:t xml:space="preserve">, </w:t>
      </w:r>
      <w:r>
        <w:rPr>
          <w:rtl w:val="true"/>
        </w:rPr>
        <w:t>אֶלָּא לְהַזְכִּיר מַשִּׁיב הָרוּחַ וּמוֹרִיד הַגֶּשֶׁם בְּעוֹנָתוֹ</w:t>
      </w:r>
      <w:r>
        <w:rPr>
          <w:rtl w:val="true"/>
        </w:rPr>
        <w:t xml:space="preserve">. </w:t>
      </w:r>
      <w:r>
        <w:rPr>
          <w:rtl w:val="true"/>
        </w:rPr>
        <w:t>אָמַר לוֹ</w:t>
      </w:r>
      <w:r>
        <w:rPr>
          <w:rtl w:val="true"/>
        </w:rPr>
        <w:t xml:space="preserve">, </w:t>
      </w:r>
      <w:r>
        <w:rPr>
          <w:rtl w:val="true"/>
        </w:rPr>
        <w:t>אִם כֵּן</w:t>
      </w:r>
      <w:r>
        <w:rPr>
          <w:rtl w:val="true"/>
        </w:rPr>
        <w:t xml:space="preserve">, </w:t>
      </w:r>
      <w:r>
        <w:rPr>
          <w:rtl w:val="true"/>
        </w:rPr>
        <w:t>לְעוֹלָם יְהֵא מַזְכִּיר</w:t>
      </w:r>
      <w:r>
        <w:rPr>
          <w:rStyle w:val="FootnoteAnchor"/>
          <w:rtl w:val="true"/>
        </w:rPr>
        <w:footnoteReference w:id="13"/>
      </w:r>
      <w:r>
        <w:rPr>
          <w:rStyle w:val="FootnoteAnchor"/>
          <w:rtl w:val="true"/>
        </w:rPr>
        <w:footnoteReference w:id="14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15"/>
        <w:t xml:space="preserve"> </w:t>
      </w:r>
    </w:p>
    <w:p>
      <w:pPr>
        <w:pStyle w:val="Heading2"/>
        <w:rPr/>
      </w:pPr>
      <w:r>
        <w:rPr>
          <w:rtl w:val="true"/>
        </w:rPr>
        <w:t>משנה ב</w:t>
      </w:r>
      <w:r>
        <w:rPr>
          <w:rStyle w:val="FootnoteAnchor"/>
          <w:rtl w:val="true"/>
        </w:rPr>
        <w:footnoteReference w:customMarkFollows="1" w:id="16"/>
        <w:t xml:space="preserve"> </w:t>
      </w:r>
    </w:p>
    <w:p>
      <w:pPr>
        <w:pStyle w:val="Normal"/>
        <w:spacing w:before="0" w:after="160"/>
        <w:rPr>
          <w:b/>
          <w:bCs/>
        </w:rPr>
      </w:pPr>
      <w:r>
        <w:rPr>
          <w:rStyle w:val="FootnoteAnchor"/>
          <w:rtl w:val="true"/>
        </w:rPr>
        <w:footnoteReference w:customMarkFollows="1" w:id="17"/>
        <w:t xml:space="preserve"> </w:t>
      </w:r>
      <w:r>
        <w:rPr>
          <w:rtl w:val="true"/>
        </w:rPr>
        <w:t>אֵין שׁוֹאֲלִין אֶת הַגְּשָׁמִים אֶלָּא סָמוּךְ לַגְּשָׁמִים</w:t>
      </w:r>
      <w:r>
        <w:rPr>
          <w:rStyle w:val="FootnoteAnchor"/>
          <w:rtl w:val="true"/>
        </w:rPr>
        <w:footnoteReference w:id="18"/>
      </w:r>
      <w:r>
        <w:rPr>
          <w:rStyle w:val="FootnoteAnchor"/>
          <w:rtl w:val="true"/>
        </w:rPr>
        <w:footnoteReference w:id="19"/>
      </w:r>
      <w:r>
        <w:rPr>
          <w:rtl w:val="true"/>
        </w:rPr>
        <w:t xml:space="preserve">. </w:t>
      </w:r>
      <w:r>
        <w:rPr>
          <w:rtl w:val="true"/>
        </w:rPr>
        <w:t>רַבִּי יְהוּדָה אוֹמֵר</w:t>
      </w:r>
      <w:r>
        <w:rPr>
          <w:rStyle w:val="FootnoteAnchor"/>
          <w:rtl w:val="true"/>
        </w:rPr>
        <w:footnoteReference w:id="20"/>
      </w:r>
      <w:r>
        <w:rPr>
          <w:rtl w:val="true"/>
        </w:rPr>
        <w:t xml:space="preserve">, </w:t>
      </w:r>
      <w:r>
        <w:rPr>
          <w:rtl w:val="true"/>
        </w:rPr>
        <w:t>הָעוֹבֵר לִפְנֵי הַתֵּבָה</w:t>
      </w:r>
      <w:r>
        <w:rPr>
          <w:rStyle w:val="FootnoteAnchor"/>
          <w:rtl w:val="true"/>
        </w:rPr>
        <w:footnoteReference w:id="21"/>
      </w:r>
      <w:r>
        <w:rPr>
          <w:rtl w:val="true"/>
        </w:rPr>
        <w:t xml:space="preserve"> בְּיוֹם טוֹב הָאַחֲרוֹן שֶׁל חַג</w:t>
      </w:r>
      <w:r>
        <w:rPr>
          <w:rtl w:val="true"/>
        </w:rPr>
        <w:t xml:space="preserve">, </w:t>
      </w:r>
      <w:r>
        <w:rPr>
          <w:rtl w:val="true"/>
        </w:rPr>
        <w:t>הָאַחֲרוֹן</w:t>
      </w:r>
      <w:r>
        <w:rPr>
          <w:rStyle w:val="FootnoteAnchor"/>
          <w:rtl w:val="true"/>
        </w:rPr>
        <w:footnoteReference w:id="22"/>
      </w:r>
      <w:r>
        <w:rPr>
          <w:rtl w:val="true"/>
        </w:rPr>
        <w:t xml:space="preserve"> מַזְכִּיר</w:t>
      </w:r>
      <w:r>
        <w:rPr>
          <w:rStyle w:val="FootnoteAnchor"/>
          <w:rtl w:val="true"/>
        </w:rPr>
        <w:footnoteReference w:id="23"/>
      </w:r>
      <w:r>
        <w:rPr>
          <w:rtl w:val="true"/>
        </w:rPr>
        <w:t xml:space="preserve">, </w:t>
      </w:r>
      <w:r>
        <w:rPr>
          <w:rtl w:val="true"/>
        </w:rPr>
        <w:t>הָרִאשׁוֹן</w:t>
      </w:r>
      <w:r>
        <w:rPr>
          <w:rStyle w:val="FootnoteAnchor"/>
          <w:rtl w:val="true"/>
        </w:rPr>
        <w:footnoteReference w:id="24"/>
      </w:r>
      <w:r>
        <w:rPr>
          <w:rtl w:val="true"/>
        </w:rPr>
        <w:t xml:space="preserve"> אֵינוֹ מַזְכִּיר</w:t>
      </w:r>
      <w:r>
        <w:rPr>
          <w:rtl w:val="true"/>
        </w:rPr>
        <w:t xml:space="preserve">. </w:t>
      </w:r>
      <w:r>
        <w:rPr>
          <w:rtl w:val="true"/>
        </w:rPr>
        <w:t>בְּיוֹם טוֹב הָרִאשׁוֹן שֶׁל פֶּסַח</w:t>
      </w:r>
      <w:r>
        <w:rPr>
          <w:rStyle w:val="FootnoteAnchor"/>
          <w:rtl w:val="true"/>
        </w:rPr>
        <w:footnoteReference w:id="25"/>
      </w:r>
      <w:r>
        <w:rPr>
          <w:rtl w:val="true"/>
        </w:rPr>
        <w:t xml:space="preserve">, </w:t>
      </w:r>
      <w:r>
        <w:rPr>
          <w:rtl w:val="true"/>
        </w:rPr>
        <w:t>הָרִאשׁוֹן</w:t>
      </w:r>
      <w:r>
        <w:rPr>
          <w:rStyle w:val="FootnoteAnchor"/>
          <w:rtl w:val="true"/>
        </w:rPr>
        <w:footnoteReference w:id="26"/>
      </w:r>
      <w:r>
        <w:rPr>
          <w:rtl w:val="true"/>
        </w:rPr>
        <w:t xml:space="preserve"> מַזְכִּיר</w:t>
      </w:r>
      <w:r>
        <w:rPr>
          <w:rtl w:val="true"/>
        </w:rPr>
        <w:t xml:space="preserve">, </w:t>
      </w:r>
      <w:r>
        <w:rPr>
          <w:rtl w:val="true"/>
        </w:rPr>
        <w:t>הָאַחֲרוֹן אֵינוֹ מַזְכִּיר</w:t>
      </w:r>
      <w:r>
        <w:rPr>
          <w:rStyle w:val="FootnoteAnchor"/>
          <w:rtl w:val="true"/>
        </w:rPr>
        <w:footnoteReference w:id="27"/>
      </w:r>
      <w:r>
        <w:rPr>
          <w:rtl w:val="true"/>
        </w:rPr>
        <w:t xml:space="preserve">. </w:t>
      </w:r>
      <w:r>
        <w:rPr>
          <w:rtl w:val="true"/>
        </w:rPr>
        <w:t>עַד אֵימָתַי</w:t>
      </w:r>
      <w:r>
        <w:rPr>
          <w:rStyle w:val="FootnoteAnchor"/>
          <w:rtl w:val="true"/>
        </w:rPr>
        <w:footnoteReference w:id="28"/>
      </w:r>
      <w:r>
        <w:rPr>
          <w:rtl w:val="true"/>
        </w:rPr>
        <w:t xml:space="preserve"> שׁוֹאֲלִין אֶת הַגְּשָׁמִים</w:t>
      </w:r>
      <w:r>
        <w:rPr>
          <w:rtl w:val="true"/>
        </w:rPr>
        <w:t xml:space="preserve">, </w:t>
      </w:r>
      <w:r>
        <w:rPr>
          <w:rtl w:val="true"/>
        </w:rPr>
        <w:t>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עַד שֶׁיַּעֲבֹר הַפָּסַח</w:t>
      </w:r>
      <w:r>
        <w:rPr>
          <w:rStyle w:val="FootnoteAnchor"/>
          <w:rtl w:val="true"/>
        </w:rPr>
        <w:footnoteReference w:id="29"/>
      </w:r>
      <w:r>
        <w:rPr>
          <w:rtl w:val="true"/>
        </w:rPr>
        <w:t xml:space="preserve">. </w:t>
      </w:r>
      <w:r>
        <w:rPr>
          <w:rtl w:val="true"/>
        </w:rPr>
        <w:t>רַבִּי מֵאִיר אוֹמֵר</w:t>
      </w:r>
      <w:r>
        <w:rPr>
          <w:rtl w:val="true"/>
        </w:rPr>
        <w:t xml:space="preserve">, </w:t>
      </w:r>
      <w:r>
        <w:rPr>
          <w:rtl w:val="true"/>
        </w:rPr>
        <w:t>עַד שֶׁיֵּצֵא נִיסָן</w:t>
      </w:r>
      <w:r>
        <w:rPr>
          <w:rStyle w:val="FootnoteAnchor"/>
          <w:rtl w:val="true"/>
        </w:rPr>
        <w:footnoteReference w:id="30"/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יואל ב</w:t>
      </w:r>
      <w:r>
        <w:rPr>
          <w:rtl w:val="true"/>
        </w:rPr>
        <w:t xml:space="preserve">) </w:t>
      </w:r>
      <w:r>
        <w:rPr>
          <w:rtl w:val="true"/>
        </w:rPr>
        <w:t>וַיּוֹרֶד לָכֶם גֶּשֶׁם</w:t>
      </w:r>
      <w:r>
        <w:rPr>
          <w:rtl w:val="true"/>
        </w:rPr>
        <w:t xml:space="preserve">, </w:t>
      </w:r>
      <w:r>
        <w:rPr>
          <w:rtl w:val="true"/>
        </w:rPr>
        <w:t>מוֹרֶה וּמַלְקוֹשׁ בָּרִאשׁוֹן</w:t>
      </w:r>
      <w:r>
        <w:rPr>
          <w:rStyle w:val="FootnoteAnchor"/>
          <w:rtl w:val="true"/>
        </w:rPr>
        <w:footnoteReference w:id="31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32"/>
        <w:t xml:space="preserve"> </w:t>
      </w:r>
    </w:p>
    <w:p>
      <w:pPr>
        <w:pStyle w:val="Heading2"/>
        <w:rPr>
          <w:b/>
          <w:bCs/>
        </w:rPr>
      </w:pPr>
      <w:r>
        <w:rPr>
          <w:rtl w:val="true"/>
        </w:rPr>
        <w:t>משנה ג</w:t>
      </w:r>
      <w:r>
        <w:rPr>
          <w:rStyle w:val="FootnoteAnchor"/>
          <w:rtl w:val="true"/>
        </w:rPr>
        <w:footnoteReference w:customMarkFollows="1" w:id="33"/>
        <w:t xml:space="preserve"> </w:t>
      </w:r>
    </w:p>
    <w:p>
      <w:pPr>
        <w:pStyle w:val="Normal"/>
        <w:spacing w:before="0" w:after="160"/>
        <w:rPr>
          <w:b/>
          <w:bCs/>
        </w:rPr>
      </w:pPr>
      <w:r>
        <w:rPr>
          <w:rStyle w:val="FootnoteAnchor"/>
          <w:rtl w:val="true"/>
        </w:rPr>
        <w:footnoteReference w:customMarkFollows="1" w:id="34"/>
        <w:t xml:space="preserve"> </w:t>
      </w:r>
      <w:r>
        <w:rPr>
          <w:rtl w:val="true"/>
        </w:rPr>
        <w:t>בִּשְׁלשָׁה בְמַרְחֶשְׁוָן</w:t>
      </w:r>
      <w:r>
        <w:rPr>
          <w:rStyle w:val="FootnoteAnchor"/>
          <w:rtl w:val="true"/>
        </w:rPr>
        <w:footnoteReference w:id="35"/>
      </w:r>
      <w:r>
        <w:rPr>
          <w:rtl w:val="true"/>
        </w:rPr>
        <w:t xml:space="preserve"> שׁוֹאֲלִין אֶת הַגְּשָׁמִים</w:t>
      </w:r>
      <w:r>
        <w:rPr>
          <w:rtl w:val="true"/>
        </w:rPr>
        <w:t xml:space="preserve">. </w:t>
      </w:r>
      <w:r>
        <w:rPr>
          <w:rtl w:val="true"/>
        </w:rPr>
        <w:t>רַבָּן גַּמְלִיאֵל</w:t>
      </w:r>
      <w:r>
        <w:rPr>
          <w:rStyle w:val="FootnoteAnchor"/>
          <w:rtl w:val="true"/>
        </w:rPr>
        <w:footnoteReference w:id="36"/>
      </w:r>
      <w:r>
        <w:rPr>
          <w:rStyle w:val="FootnoteAnchor"/>
          <w:rtl w:val="true"/>
        </w:rPr>
        <w:footnoteReference w:id="37"/>
      </w:r>
      <w:r>
        <w:rPr>
          <w:rtl w:val="true"/>
        </w:rPr>
        <w:t xml:space="preserve"> אוֹמֵר</w:t>
      </w:r>
      <w:r>
        <w:rPr>
          <w:rtl w:val="true"/>
        </w:rPr>
        <w:t xml:space="preserve">, </w:t>
      </w:r>
      <w:r>
        <w:rPr>
          <w:rtl w:val="true"/>
        </w:rPr>
        <w:t>בְּשִׁבְעָה בוֹ</w:t>
      </w:r>
      <w:r>
        <w:rPr>
          <w:rtl w:val="true"/>
        </w:rPr>
        <w:t xml:space="preserve">, </w:t>
      </w:r>
      <w:r>
        <w:rPr>
          <w:rtl w:val="true"/>
        </w:rPr>
        <w:t>חֲמִשָּׁה עָשָׂר יוֹם אַחַר הֶחָג</w:t>
      </w:r>
      <w:r>
        <w:rPr>
          <w:rStyle w:val="FootnoteAnchor"/>
          <w:rtl w:val="true"/>
        </w:rPr>
        <w:footnoteReference w:id="38"/>
      </w:r>
      <w:r>
        <w:rPr>
          <w:rtl w:val="true"/>
        </w:rPr>
        <w:t xml:space="preserve">, </w:t>
      </w:r>
      <w:r>
        <w:rPr>
          <w:rtl w:val="true"/>
        </w:rPr>
        <w:t>כְּדֵי שֶׁיַּגִּיעַ אַחֲרוֹן שֶׁבְּיִשְׂרָאֵל לִנְהַר פְּרָת</w:t>
      </w:r>
      <w:r>
        <w:rPr>
          <w:rStyle w:val="FootnoteAnchor"/>
          <w:rtl w:val="true"/>
        </w:rPr>
        <w:footnoteReference w:id="39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40"/>
        <w:t xml:space="preserve"> </w:t>
      </w:r>
    </w:p>
    <w:p>
      <w:pPr>
        <w:pStyle w:val="Heading2"/>
        <w:rPr>
          <w:b/>
          <w:bCs/>
        </w:rPr>
      </w:pPr>
      <w:r>
        <w:rPr>
          <w:rtl w:val="true"/>
        </w:rPr>
        <w:t>משנה ד</w:t>
      </w:r>
      <w:r>
        <w:rPr>
          <w:rStyle w:val="FootnoteAnchor"/>
          <w:rtl w:val="true"/>
        </w:rPr>
        <w:footnoteReference w:customMarkFollows="1" w:id="41"/>
        <w:t xml:space="preserve"> </w:t>
      </w:r>
    </w:p>
    <w:p>
      <w:pPr>
        <w:pStyle w:val="Normal"/>
        <w:spacing w:before="0" w:after="160"/>
        <w:rPr>
          <w:b/>
          <w:bCs/>
        </w:rPr>
      </w:pPr>
      <w:r>
        <w:rPr>
          <w:rStyle w:val="FootnoteAnchor"/>
          <w:rtl w:val="true"/>
        </w:rPr>
        <w:footnoteReference w:customMarkFollows="1" w:id="42"/>
        <w:t xml:space="preserve"> </w:t>
      </w:r>
      <w:r>
        <w:rPr>
          <w:rtl w:val="true"/>
        </w:rPr>
        <w:t>הִגִּיעַ שִׁבְעָה עָשָׂר בְּמַרְחֶשְׁוָן וְלֹא יָרְדוּ גְשָׁמִים</w:t>
      </w:r>
      <w:r>
        <w:rPr>
          <w:rStyle w:val="FootnoteAnchor"/>
          <w:rtl w:val="true"/>
        </w:rPr>
        <w:footnoteReference w:id="43"/>
      </w:r>
      <w:r>
        <w:rPr>
          <w:rtl w:val="true"/>
        </w:rPr>
        <w:t xml:space="preserve">, </w:t>
      </w:r>
      <w:r>
        <w:rPr>
          <w:rtl w:val="true"/>
        </w:rPr>
        <w:t>הִתְחִילוּ הַיְחִידִים</w:t>
      </w:r>
      <w:r>
        <w:rPr>
          <w:rStyle w:val="FootnoteAnchor"/>
          <w:rtl w:val="true"/>
        </w:rPr>
        <w:footnoteReference w:id="44"/>
      </w:r>
      <w:r>
        <w:rPr>
          <w:rStyle w:val="FootnoteAnchor"/>
          <w:rtl w:val="true"/>
        </w:rPr>
        <w:footnoteReference w:id="45"/>
      </w:r>
      <w:r>
        <w:rPr>
          <w:rtl w:val="true"/>
        </w:rPr>
        <w:t xml:space="preserve"> מִתְעַנִּין שָׁלשׁ תַּעֲנִיּוֹת</w:t>
      </w:r>
      <w:r>
        <w:rPr>
          <w:rStyle w:val="FootnoteAnchor"/>
          <w:rtl w:val="true"/>
        </w:rPr>
        <w:footnoteReference w:id="46"/>
      </w:r>
      <w:r>
        <w:rPr>
          <w:rtl w:val="true"/>
        </w:rPr>
        <w:t xml:space="preserve">. </w:t>
      </w:r>
      <w:r>
        <w:rPr>
          <w:rtl w:val="true"/>
        </w:rPr>
        <w:t>אוֹכְלִין וְשׁוֹתִין מִשֶּׁחֲשֵׁכָה</w:t>
      </w:r>
      <w:r>
        <w:rPr>
          <w:rtl w:val="true"/>
        </w:rPr>
        <w:t xml:space="preserve">, </w:t>
      </w:r>
      <w:r>
        <w:rPr>
          <w:rtl w:val="true"/>
        </w:rPr>
        <w:t>וּמֻתָּרִין בִּמְלָאכָה וּבִרְחִיצָה וּבְסִיכָה וּבִנְעִילַת הַסַּנְדָּל וּבְתַשְׁמִישׁ הַמִּטָּה</w:t>
      </w:r>
      <w:r>
        <w:rPr>
          <w:rtl w:val="true"/>
        </w:rPr>
        <w:t xml:space="preserve">: </w:t>
      </w:r>
    </w:p>
    <w:p>
      <w:pPr>
        <w:pStyle w:val="Normal"/>
        <w:spacing w:before="0" w:after="160"/>
        <w:rPr>
          <w:b/>
          <w:bCs/>
        </w:rPr>
      </w:pPr>
      <w:r>
        <w:rPr>
          <w:rtl w:val="true"/>
        </w:rPr>
      </w:r>
    </w:p>
    <w:p>
      <w:pPr>
        <w:pStyle w:val="Normal"/>
        <w:spacing w:before="0" w:after="160"/>
        <w:rPr>
          <w:b/>
          <w:bCs/>
        </w:rPr>
      </w:pPr>
      <w:r>
        <w:rPr>
          <w:rtl w:val="true"/>
        </w:rPr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bidi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tl w:val="true"/>
      </w:rPr>
      <w:t>מסכת תענית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</w:t>
      </w:r>
      <w:r>
        <w:rPr>
          <w:b/>
          <w:b/>
          <w:bCs/>
          <w:rtl w:val="true"/>
        </w:rPr>
        <w:t>פרק ראשון</w:t>
      </w:r>
    </w:p>
    <w:p>
      <w:pPr>
        <w:pStyle w:val="Footnote"/>
        <w:jc w:val="center"/>
        <w:rPr>
          <w:b/>
          <w:bCs/>
        </w:rPr>
      </w:pPr>
      <w:r>
        <w:rPr>
          <w:rtl w:val="true"/>
        </w:rPr>
      </w:r>
    </w:p>
  </w:footnote>
  <w:footnote w:id="3">
    <w:p>
      <w:pPr>
        <w:pStyle w:val="Footnote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</w:t>
      </w:r>
      <w:r>
        <w:rPr>
          <w:b/>
          <w:b/>
          <w:bCs/>
          <w:rtl w:val="true"/>
        </w:rPr>
        <w:t>משנה א</w:t>
      </w:r>
    </w:p>
  </w:footnote>
  <w:footnote w:id="4">
    <w:p>
      <w:pPr>
        <w:pStyle w:val="Footnote"/>
        <w:rPr/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</w:t>
      </w:r>
      <w:r>
        <w:rPr>
          <w:rtl w:val="true"/>
        </w:rPr>
        <w:t>משנה זה נמשך ממשנה אחרת</w:t>
      </w:r>
      <w:r>
        <w:rPr>
          <w:rtl w:val="true"/>
        </w:rPr>
        <w:t xml:space="preserve">, </w:t>
      </w:r>
      <w:r>
        <w:rPr>
          <w:rtl w:val="true"/>
        </w:rPr>
        <w:t>וצריך הקדמה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נקדים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פעמים בשנה שה</w:t>
      </w:r>
      <w:r>
        <w:rPr>
          <w:rtl w:val="true"/>
        </w:rPr>
        <w:t xml:space="preserve">' </w:t>
      </w:r>
      <w:r>
        <w:rPr>
          <w:rtl w:val="true"/>
        </w:rPr>
        <w:t>דן את העולם</w:t>
      </w:r>
      <w:r>
        <w:rPr>
          <w:rtl w:val="true"/>
        </w:rPr>
        <w:t xml:space="preserve">. </w:t>
      </w:r>
      <w:r>
        <w:rPr>
          <w:rtl w:val="true"/>
        </w:rPr>
        <w:t>בחג</w:t>
      </w:r>
      <w:r>
        <w:rPr>
          <w:rtl w:val="true"/>
        </w:rPr>
        <w:t xml:space="preserve">, </w:t>
      </w:r>
      <w:r>
        <w:rPr>
          <w:rtl w:val="true"/>
        </w:rPr>
        <w:t>נידונים על המים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צריכים להזכיר גבורת גשמים בתפלה</w:t>
      </w:r>
      <w:r>
        <w:rPr>
          <w:rtl w:val="true"/>
        </w:rPr>
        <w:t xml:space="preserve">, </w:t>
      </w:r>
      <w:r>
        <w:rPr>
          <w:rtl w:val="true"/>
        </w:rPr>
        <w:t>כדי לרצות על הגשמים ולעשות שה</w:t>
      </w:r>
      <w:r>
        <w:rPr>
          <w:rtl w:val="true"/>
        </w:rPr>
        <w:t xml:space="preserve">' </w:t>
      </w:r>
      <w:r>
        <w:rPr>
          <w:rtl w:val="true"/>
        </w:rPr>
        <w:t>יביא גשמים</w:t>
      </w:r>
      <w:r>
        <w:rPr>
          <w:rtl w:val="true"/>
        </w:rPr>
        <w:t>. 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 xml:space="preserve">משנה בברכות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לג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אומר שמזכירים גבורת גשמים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ראש השנה טז</w:t>
      </w:r>
      <w:r>
        <w:rPr>
          <w:b/>
          <w:bCs/>
          <w:rtl w:val="true"/>
        </w:rPr>
        <w:t>.)</w:t>
      </w:r>
    </w:p>
    <w:p>
      <w:pPr>
        <w:pStyle w:val="Footnote"/>
        <w:rPr/>
      </w:pPr>
      <w:bookmarkStart w:id="0" w:name="_GoBack_Copy_1_Copy_1_Copy_1_Copy_1"/>
      <w:bookmarkEnd w:id="0"/>
      <w:r>
        <w:rPr>
          <w:rtl w:val="true"/>
        </w:rPr>
        <w:tab/>
      </w:r>
      <w:r>
        <w:rPr>
          <w:rtl w:val="true"/>
        </w:rPr>
        <w:t>משנה זה מפרש מתי מזכיר אותו</w:t>
      </w:r>
      <w:r>
        <w:rPr>
          <w:rtl w:val="true"/>
        </w:rPr>
        <w:t>.</w:t>
      </w:r>
    </w:p>
    <w:p>
      <w:pPr>
        <w:pStyle w:val="Footnote"/>
        <w:rPr>
          <w:b/>
          <w:bCs/>
        </w:rPr>
      </w:pPr>
      <w:r>
        <w:rPr>
          <w:rtl w:val="true"/>
        </w:rPr>
        <w:tab/>
      </w:r>
      <w:r>
        <w:rPr>
          <w:rtl w:val="true"/>
        </w:rPr>
        <w:t>משנה ממשיך מהקדמה זה</w:t>
      </w:r>
      <w:r>
        <w:rPr>
          <w:rtl w:val="true"/>
        </w:rPr>
        <w:t xml:space="preserve">, </w:t>
      </w:r>
      <w:r>
        <w:rPr>
          <w:rtl w:val="true"/>
        </w:rPr>
        <w:t>ולכן לא מתחיל לומר שיש חיוב</w:t>
      </w:r>
      <w:r>
        <w:rPr>
          <w:rtl w:val="true"/>
        </w:rPr>
        <w:t xml:space="preserve">, </w:t>
      </w:r>
      <w:r>
        <w:rPr>
          <w:rtl w:val="true"/>
        </w:rPr>
        <w:t>אלא מתחיל בביאור מתי מתחיל החיוב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מזכירים גבורות גשמים בברכה שניה שמדברת על תחיית המתים</w:t>
      </w:r>
      <w:r>
        <w:rPr>
          <w:rtl w:val="true"/>
        </w:rPr>
        <w:t xml:space="preserve">. </w:t>
      </w:r>
      <w:r>
        <w:rPr>
          <w:rtl w:val="true"/>
        </w:rPr>
        <w:t xml:space="preserve">מזכירים אותו שם כיון שהיא שקולה או גדולה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מתחיית המתים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ברכות לג</w:t>
      </w:r>
      <w:r>
        <w:rPr>
          <w:b/>
          <w:bCs/>
          <w:rtl w:val="true"/>
        </w:rPr>
        <w:t>.)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גבורת גשמים הוא </w:t>
      </w:r>
      <w:r>
        <w:rPr>
          <w:rtl w:val="true"/>
        </w:rPr>
        <w:t>"</w:t>
      </w:r>
      <w:r>
        <w:rPr>
          <w:rtl w:val="true"/>
        </w:rPr>
        <w:t>מוריד הגשם</w:t>
      </w:r>
      <w:r>
        <w:rPr>
          <w:rtl w:val="true"/>
        </w:rPr>
        <w:t xml:space="preserve">." </w:t>
      </w:r>
      <w:r>
        <w:rPr>
          <w:rtl w:val="true"/>
        </w:rPr>
        <w:t xml:space="preserve">מזכירים עמו </w:t>
      </w:r>
      <w:r>
        <w:rPr>
          <w:rtl w:val="true"/>
        </w:rPr>
        <w:t>"</w:t>
      </w:r>
      <w:r>
        <w:rPr>
          <w:rtl w:val="true"/>
        </w:rPr>
        <w:t>משיב הרוח</w:t>
      </w:r>
      <w:r>
        <w:rPr>
          <w:rtl w:val="true"/>
        </w:rPr>
        <w:t xml:space="preserve">" </w:t>
      </w:r>
      <w:r>
        <w:rPr>
          <w:rtl w:val="true"/>
        </w:rPr>
        <w:t>כיון שרוח טוב עם הגשם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ג</w:t>
      </w:r>
      <w:r>
        <w:rPr>
          <w:b/>
          <w:bCs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 xml:space="preserve">נקרא גבורה כיון שלשון גבורה נאמר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על ידי 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על ירידת גשם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דן בשני דברים לרבי אליעזר</w:t>
      </w:r>
      <w:r>
        <w:rPr>
          <w:rtl w:val="true"/>
        </w:rPr>
        <w:t>:</w:t>
      </w:r>
    </w:p>
    <w:p>
      <w:pPr>
        <w:pStyle w:val="Footnote"/>
        <w:numPr>
          <w:ilvl w:val="0"/>
          <w:numId w:val="2"/>
        </w:numPr>
        <w:ind w:left="720" w:right="0" w:hanging="360"/>
        <w:rPr/>
      </w:pPr>
      <w:r>
        <w:rPr>
          <w:rtl w:val="true"/>
        </w:rPr>
        <w:t xml:space="preserve">מהו מקורו </w:t>
      </w:r>
      <w:r>
        <w:rPr>
          <w:rtl w:val="true"/>
        </w:rPr>
        <w:t>(</w:t>
      </w:r>
      <w:r>
        <w:rPr>
          <w:rtl w:val="true"/>
        </w:rPr>
        <w:t>להתחיל זכירת גשם אז</w:t>
      </w:r>
      <w:r>
        <w:rPr>
          <w:rtl w:val="true"/>
        </w:rPr>
        <w:t>).</w:t>
      </w:r>
    </w:p>
    <w:p>
      <w:pPr>
        <w:pStyle w:val="Footnote"/>
        <w:numPr>
          <w:ilvl w:val="0"/>
          <w:numId w:val="2"/>
        </w:numPr>
        <w:ind w:left="720" w:right="0" w:hanging="360"/>
        <w:rPr/>
      </w:pPr>
      <w:r>
        <w:rPr>
          <w:rtl w:val="true"/>
        </w:rPr>
        <w:t>מאיזה תפילה מתחילים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שנים אלו תלויים זה בזה</w:t>
      </w:r>
      <w:r>
        <w:rPr>
          <w:rtl w:val="true"/>
        </w:rPr>
        <w:t xml:space="preserve">, </w:t>
      </w:r>
      <w:r>
        <w:rPr>
          <w:rtl w:val="true"/>
        </w:rPr>
        <w:t>שמתחיל באותו תפלה שהוא כנגד מקורו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לגמ’ שני צדדים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3"/>
        </w:numPr>
        <w:ind w:left="720" w:right="0" w:hanging="360"/>
        <w:rPr/>
      </w:pPr>
      <w:r>
        <w:rPr>
          <w:rtl w:val="true"/>
        </w:rPr>
        <w:t xml:space="preserve">לומד מלולב </w:t>
      </w:r>
      <w:r>
        <w:rPr>
          <w:rtl w:val="true"/>
        </w:rPr>
        <w:t>(</w:t>
      </w:r>
      <w:r>
        <w:rPr>
          <w:rtl w:val="true"/>
        </w:rPr>
        <w:t>כיון שמרצה על מים</w:t>
      </w:r>
      <w:r>
        <w:rPr>
          <w:rtl w:val="true"/>
        </w:rPr>
        <w:t xml:space="preserve">). </w:t>
      </w:r>
      <w:r>
        <w:rPr>
          <w:rtl w:val="true"/>
        </w:rPr>
        <w:t>נוטלים לולב בבקר ראשון של חג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מזכירים מבקר ראשון</w:t>
      </w:r>
      <w:r>
        <w:rPr>
          <w:rtl w:val="true"/>
        </w:rPr>
        <w:t xml:space="preserve">^ </w:t>
      </w:r>
      <w:r>
        <w:rPr>
          <w:rtl w:val="true"/>
        </w:rPr>
        <w:t>של חג</w:t>
      </w:r>
      <w:r>
        <w:rPr>
          <w:rtl w:val="true"/>
        </w:rPr>
        <w:t xml:space="preserve">. </w:t>
      </w:r>
      <w:r>
        <w:rPr>
          <w:rtl w:val="true"/>
        </w:rPr>
        <w:t>כן מסיק גמ’</w:t>
      </w:r>
      <w:r>
        <w:rPr>
          <w:rtl w:val="true"/>
        </w:rPr>
        <w:t xml:space="preserve">. </w:t>
      </w:r>
    </w:p>
    <w:p>
      <w:pPr>
        <w:pStyle w:val="Footnote"/>
        <w:numPr>
          <w:ilvl w:val="0"/>
          <w:numId w:val="0"/>
        </w:numPr>
        <w:ind w:left="720" w:right="0" w:hanging="346"/>
        <w:rPr/>
      </w:pPr>
      <w:r>
        <w:rPr>
          <w:rtl w:val="true"/>
        </w:rPr>
        <w:t>(</w:t>
      </w:r>
      <w:r>
        <w:rPr>
          <w:rtl w:val="true"/>
        </w:rPr>
        <w:t>מביא שני מקורות שאומרים שכן סובר ר”א</w:t>
      </w:r>
      <w:r>
        <w:rPr>
          <w:rtl w:val="true"/>
        </w:rPr>
        <w:t>:</w:t>
      </w:r>
    </w:p>
    <w:p>
      <w:pPr>
        <w:pStyle w:val="Footnote"/>
        <w:numPr>
          <w:ilvl w:val="1"/>
          <w:numId w:val="3"/>
        </w:numPr>
        <w:ind w:left="1080" w:right="0" w:hanging="360"/>
        <w:rPr/>
      </w:pPr>
      <w:r>
        <w:rPr>
          <w:rtl w:val="true"/>
        </w:rPr>
        <w:t>מסורה</w:t>
      </w:r>
      <w:r>
        <w:rPr>
          <w:rtl w:val="true"/>
        </w:rPr>
        <w:t>.^</w:t>
      </w:r>
    </w:p>
    <w:p>
      <w:pPr>
        <w:pStyle w:val="Footnote"/>
        <w:numPr>
          <w:ilvl w:val="1"/>
          <w:numId w:val="3"/>
        </w:numPr>
        <w:ind w:left="1080" w:right="0" w:hanging="360"/>
        <w:rPr/>
      </w:pPr>
      <w:r>
        <w:rPr>
          <w:rtl w:val="true"/>
        </w:rPr>
        <w:t>ברייתא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3"/>
        </w:numPr>
        <w:ind w:left="720" w:right="0" w:hanging="360"/>
        <w:rPr/>
      </w:pPr>
      <w:r>
        <w:rPr>
          <w:rtl w:val="true"/>
        </w:rPr>
        <w:t>לומד מניסוך המים</w:t>
      </w:r>
      <w:r>
        <w:rPr>
          <w:rtl w:val="true"/>
        </w:rPr>
        <w:t xml:space="preserve">. </w:t>
      </w:r>
      <w:r>
        <w:rPr>
          <w:rtl w:val="true"/>
        </w:rPr>
        <w:t>ניסוך המים מתחיל בלילה</w:t>
      </w:r>
      <w:r>
        <w:rPr>
          <w:rtl w:val="true"/>
        </w:rPr>
        <w:t>. (</w:t>
      </w:r>
      <w:r>
        <w:rPr>
          <w:rtl w:val="true"/>
        </w:rPr>
        <w:t>חלקו ראשונים בזה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מזכיר שני גירסאות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לפי הראשון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מתחיל עבודתו בלילה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ולפי השני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כשר להיות נקרב בלילה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מזכירים מלילה של ראשון של חג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גמ’ מסיק נגד זה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יוצא שזה זמן התחלת החיוב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רוצה להזכיר כל השנה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 להזכיר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מביא ראיה לזה מתחיית המתים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שמזכיר אף שלא קרה</w:t>
      </w:r>
      <w:r>
        <w:rPr>
          <w:b w:val="false"/>
          <w:bCs w:val="false"/>
          <w:rtl w:val="true"/>
        </w:rPr>
        <w:t xml:space="preserve">. </w:t>
      </w:r>
    </w:p>
    <w:p>
      <w:pPr>
        <w:pStyle w:val="Footnote"/>
        <w:rPr/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רבי יהושע חולק על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וסובר שלא מזכירים אלא בזמן של דבר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מזכירים תחיית המתים כיון שכל יום נחשב זמנו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משיח יבוא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יחיו מתים</w:t>
      </w:r>
      <w:r>
        <w:rPr>
          <w:b w:val="false"/>
          <w:bCs w:val="false"/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בחג שמנה ימים</w:t>
      </w:r>
      <w:r>
        <w:rPr>
          <w:rtl w:val="true"/>
        </w:rPr>
        <w:t xml:space="preserve">. </w:t>
      </w:r>
      <w:r>
        <w:rPr>
          <w:rtl w:val="true"/>
        </w:rPr>
        <w:t>שבע ימים הם ימי הסוכות</w:t>
      </w:r>
      <w:r>
        <w:rPr>
          <w:rtl w:val="true"/>
        </w:rPr>
        <w:t xml:space="preserve">. </w:t>
      </w:r>
      <w:r>
        <w:rPr>
          <w:rtl w:val="true"/>
        </w:rPr>
        <w:t>בהם</w:t>
      </w:r>
      <w:r>
        <w:rPr>
          <w:rtl w:val="true"/>
        </w:rPr>
        <w:t xml:space="preserve">, </w:t>
      </w:r>
      <w:r>
        <w:rPr>
          <w:rtl w:val="true"/>
        </w:rPr>
        <w:t xml:space="preserve">יש יום אחד שהוא יום טוב </w:t>
      </w:r>
      <w:r>
        <w:rPr>
          <w:rtl w:val="true"/>
        </w:rPr>
        <w:t>(</w:t>
      </w:r>
      <w:r>
        <w:rPr>
          <w:rtl w:val="true"/>
        </w:rPr>
        <w:t>יום ראשון</w:t>
      </w:r>
      <w:r>
        <w:rPr>
          <w:rtl w:val="true"/>
        </w:rPr>
        <w:t xml:space="preserve">), </w:t>
      </w:r>
      <w:r>
        <w:rPr>
          <w:rtl w:val="true"/>
        </w:rPr>
        <w:t>וששה ימים שהם חול המועד</w:t>
      </w:r>
      <w:r>
        <w:rPr>
          <w:rtl w:val="true"/>
        </w:rPr>
        <w:t xml:space="preserve">. </w:t>
      </w:r>
      <w:r>
        <w:rPr>
          <w:rtl w:val="true"/>
        </w:rPr>
        <w:t>יום אחרון הוא שמיני עצרת</w:t>
      </w:r>
      <w:r>
        <w:rPr>
          <w:rtl w:val="true"/>
        </w:rPr>
        <w:t xml:space="preserve">. </w:t>
      </w:r>
      <w:r>
        <w:rPr>
          <w:rtl w:val="true"/>
        </w:rPr>
        <w:t>במקצת דברים נחשב יום טוב בפנ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ובמקצת דברים נחשב חלק מסוכות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יומא ג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</w:p>
    <w:p>
      <w:pPr>
        <w:pStyle w:val="Footnote"/>
        <w:rPr/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יום טוב אחרון של חג הוא שמיני עצרת</w:t>
      </w:r>
      <w:r>
        <w:rPr>
          <w:b w:val="false"/>
          <w:bCs w:val="false"/>
          <w:rtl w:val="true"/>
        </w:rPr>
        <w:t>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^, </w:t>
      </w:r>
      <w:r>
        <w:rPr>
          <w:rtl w:val="true"/>
        </w:rPr>
        <w:t xml:space="preserve">גמ’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שמזכיר משחרית של אותו היום</w:t>
      </w:r>
      <w:r>
        <w:rPr>
          <w:b w:val="false"/>
          <w:bCs w:val="false"/>
          <w:rtl w:val="true"/>
        </w:rPr>
        <w:t>.</w:t>
      </w:r>
    </w:p>
  </w:footnote>
  <w:footnote w:id="11">
    <w:p>
      <w:pPr>
        <w:pStyle w:val="Footnote"/>
        <w:rPr>
          <w:b w:val="false"/>
          <w:bCs w:val="false"/>
        </w:rPr>
      </w:pPr>
      <w:r>
        <w:rPr>
          <w:rStyle w:val="FootnoteCharacters"/>
        </w:rPr>
        <w:footnoteRef/>
      </w:r>
      <w:r>
        <w:rPr>
          <w:b w:val="false"/>
          <w:b w:val="false"/>
          <w:bCs w:val="false"/>
          <w:rtl w:val="true"/>
        </w:rPr>
        <w:tab/>
        <w:t xml:space="preserve">גמ’ לקמן מפרש שהם סימן קללה כיון שעושים שלא יכולים לקיים מצוות ישיבת סוכה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שמצטער פטור מסוכה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נראה שה’ לא רוצה במצוות שאנו עושים</w:t>
      </w:r>
      <w:r>
        <w:rPr>
          <w:b w:val="false"/>
          <w:bCs w:val="false"/>
          <w:rtl w:val="true"/>
        </w:rPr>
        <w:t>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לא מקשה רק למה מזכיר</w:t>
      </w:r>
      <w:r>
        <w:rPr>
          <w:rtl w:val="true"/>
        </w:rPr>
        <w:t xml:space="preserve">, </w:t>
      </w:r>
      <w:r>
        <w:rPr>
          <w:rtl w:val="true"/>
        </w:rPr>
        <w:t>וסובר שלא צריך</w:t>
      </w:r>
      <w:r>
        <w:rPr>
          <w:rtl w:val="true"/>
        </w:rPr>
        <w:t xml:space="preserve">, </w:t>
      </w:r>
      <w:r>
        <w:rPr>
          <w:rtl w:val="true"/>
        </w:rPr>
        <w:t>אלא מקשה שלא יוכל להזכיר</w:t>
      </w:r>
      <w:r>
        <w:rPr>
          <w:rtl w:val="true"/>
        </w:rPr>
        <w:t xml:space="preserve">. </w:t>
      </w:r>
      <w:r>
        <w:rPr>
          <w:rtl w:val="true"/>
        </w:rPr>
        <w:t>רבי יהושע סובר שאם אינו זמנו של דבר</w:t>
      </w:r>
      <w:r>
        <w:rPr>
          <w:rtl w:val="true"/>
        </w:rPr>
        <w:t xml:space="preserve">, </w:t>
      </w:r>
      <w:r>
        <w:rPr>
          <w:rtl w:val="true"/>
        </w:rPr>
        <w:t>ואינו חייב להזכיר</w:t>
      </w:r>
      <w:r>
        <w:rPr>
          <w:rtl w:val="true"/>
        </w:rPr>
        <w:t xml:space="preserve">, </w:t>
      </w:r>
      <w:r>
        <w:rPr>
          <w:rtl w:val="true"/>
        </w:rPr>
        <w:t>לא יכול להזכיר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מקשה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רבי אליעזר חולק</w:t>
      </w:r>
      <w:r>
        <w:rPr>
          <w:rtl w:val="true"/>
        </w:rPr>
        <w:t xml:space="preserve">, </w:t>
      </w:r>
      <w:r>
        <w:rPr>
          <w:rtl w:val="true"/>
        </w:rPr>
        <w:t>וסובר שאף שאינו זמנו של דבר</w:t>
      </w:r>
      <w:r>
        <w:rPr>
          <w:rtl w:val="true"/>
        </w:rPr>
        <w:t xml:space="preserve">, </w:t>
      </w:r>
      <w:r>
        <w:rPr>
          <w:rtl w:val="true"/>
        </w:rPr>
        <w:t>יכול להזכיר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 xml:space="preserve">שצריך ריצוי </w:t>
      </w:r>
      <w:r>
        <w:rPr>
          <w:rtl w:val="true"/>
        </w:rPr>
        <w:t>(</w:t>
      </w:r>
      <w:r>
        <w:rPr>
          <w:rtl w:val="true"/>
        </w:rPr>
        <w:t>כמו לולב</w:t>
      </w:r>
      <w:r>
        <w:rPr>
          <w:rtl w:val="true"/>
        </w:rPr>
        <w:t xml:space="preserve">), </w:t>
      </w:r>
      <w:r>
        <w:rPr>
          <w:rtl w:val="true"/>
        </w:rPr>
        <w:t>חייב להזכיר</w:t>
      </w:r>
      <w:r>
        <w:rPr>
          <w:rtl w:val="true"/>
        </w:rPr>
        <w:t xml:space="preserve">.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כן יוצא מגמ’ ב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כפי מה שבארנו בשי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.)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מפרש 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סובר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שלעולם יכול להזכיר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מביא ראיה מתחיית המתים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דוחה את הראיה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שבארנו לעיל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כשמזכיר כן לעולם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חיוב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שאינו זמן שצריך ריצוי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כאן יש חיוב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שצריך ריצוי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שנוטלים לולב לרצות</w:t>
      </w:r>
      <w:r>
        <w:rPr>
          <w:b w:val="false"/>
          <w:bCs w:val="false"/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מצאנו אז</w:t>
      </w:r>
      <w:r>
        <w:rPr>
          <w:rtl w:val="true"/>
        </w:rPr>
        <w:t xml:space="preserve">, </w:t>
      </w:r>
      <w:r>
        <w:rPr>
          <w:rtl w:val="true"/>
        </w:rPr>
        <w:t>שלש זמנים לענין הזכרת גשם</w:t>
      </w:r>
      <w:r>
        <w:rPr>
          <w:rtl w:val="true"/>
        </w:rPr>
        <w:t xml:space="preserve">. </w:t>
      </w:r>
      <w:r>
        <w:rPr>
          <w:rtl w:val="true"/>
        </w:rPr>
        <w:t>לרבי אליעזר יש שני זמנים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4"/>
        </w:numPr>
        <w:ind w:left="720" w:right="0" w:hanging="360"/>
        <w:rPr/>
      </w:pPr>
      <w:r>
        <w:rPr>
          <w:rtl w:val="true"/>
        </w:rPr>
        <w:t>כל השנה</w:t>
      </w:r>
      <w:r>
        <w:rPr>
          <w:rtl w:val="true"/>
        </w:rPr>
        <w:t xml:space="preserve">- </w:t>
      </w:r>
      <w:r>
        <w:rPr>
          <w:rtl w:val="true"/>
        </w:rPr>
        <w:t>מזכיר אם רוצה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4"/>
        </w:numPr>
        <w:ind w:left="720" w:right="0" w:hanging="360"/>
        <w:rPr/>
      </w:pPr>
      <w:r>
        <w:rPr>
          <w:rtl w:val="true"/>
        </w:rPr>
        <w:t>מבקר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של יום טוב ראשון של חג</w:t>
      </w:r>
      <w:r>
        <w:rPr>
          <w:rtl w:val="true"/>
        </w:rPr>
        <w:t xml:space="preserve">- </w:t>
      </w:r>
      <w:r>
        <w:rPr>
          <w:rtl w:val="true"/>
        </w:rPr>
        <w:t>צריך להזכיר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לרבי יהושע</w:t>
      </w:r>
      <w:r>
        <w:rPr>
          <w:rtl w:val="true"/>
        </w:rPr>
        <w:t xml:space="preserve">, </w:t>
      </w:r>
      <w:r>
        <w:rPr>
          <w:rtl w:val="true"/>
        </w:rPr>
        <w:t>יש זמן אחד</w:t>
      </w:r>
      <w:r>
        <w:rPr>
          <w:rtl w:val="true"/>
        </w:rPr>
        <w:t>:</w:t>
      </w:r>
    </w:p>
    <w:p>
      <w:pPr>
        <w:pStyle w:val="Footnote"/>
        <w:numPr>
          <w:ilvl w:val="0"/>
          <w:numId w:val="4"/>
        </w:numPr>
        <w:ind w:left="720" w:right="0" w:hanging="360"/>
        <w:rPr/>
      </w:pPr>
      <w:r>
        <w:rPr>
          <w:rtl w:val="true"/>
        </w:rPr>
        <w:t>שחרית של יום טוב אחרון של חג</w:t>
      </w:r>
      <w:r>
        <w:rPr>
          <w:rtl w:val="true"/>
        </w:rPr>
        <w:t xml:space="preserve">- </w:t>
      </w:r>
      <w:r>
        <w:rPr>
          <w:rtl w:val="true"/>
        </w:rPr>
        <w:t>יכול וצריך להזכיר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מצאנו עוד שלש זמנים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4"/>
        </w:numPr>
        <w:ind w:left="720" w:right="0" w:hanging="360"/>
        <w:rPr/>
      </w:pPr>
      <w:r>
        <w:rPr>
          <w:rtl w:val="true"/>
        </w:rPr>
        <w:t>מוסף של יום טוב האחרון של חג</w:t>
      </w:r>
      <w:r>
        <w:rPr>
          <w:rtl w:val="true"/>
        </w:rPr>
        <w:t xml:space="preserve">- </w:t>
      </w:r>
      <w:r>
        <w:rPr>
          <w:rtl w:val="true"/>
        </w:rPr>
        <w:t>רבי יהודה בשם רבי יהושע בן בתירה  אומר שצריך להזכיר מאז</w:t>
      </w:r>
      <w:r>
        <w:rPr>
          <w:rtl w:val="true"/>
        </w:rPr>
        <w:t>^. (</w:t>
      </w:r>
      <w:r>
        <w:rPr>
          <w:rtl w:val="true"/>
        </w:rPr>
        <w:t>הוא רבי יהודה שנזכר במשנה לקמן</w:t>
      </w:r>
      <w:r>
        <w:rPr>
          <w:rtl w:val="true"/>
        </w:rPr>
        <w:t xml:space="preserve">. </w:t>
      </w:r>
      <w:r>
        <w:rPr>
          <w:rtl w:val="true"/>
        </w:rPr>
        <w:t>בבריי’</w:t>
      </w:r>
      <w:r>
        <w:rPr>
          <w:rtl w:val="true"/>
        </w:rPr>
        <w:t xml:space="preserve">, </w:t>
      </w:r>
      <w:r>
        <w:rPr>
          <w:rtl w:val="true"/>
        </w:rPr>
        <w:t>אומר אותו בשם ר“י בן בתירה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כן הלכה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4"/>
        </w:numPr>
        <w:ind w:left="720" w:right="0" w:hanging="360"/>
        <w:rPr/>
      </w:pPr>
      <w:r>
        <w:rPr>
          <w:rtl w:val="true"/>
        </w:rPr>
        <w:t>יום שני</w:t>
      </w:r>
      <w:r>
        <w:rPr>
          <w:rtl w:val="true"/>
        </w:rPr>
        <w:t xml:space="preserve">^ </w:t>
      </w:r>
      <w:r>
        <w:rPr>
          <w:rtl w:val="true"/>
        </w:rPr>
        <w:t>של חג</w:t>
      </w:r>
      <w:r>
        <w:rPr>
          <w:rtl w:val="true"/>
        </w:rPr>
        <w:t xml:space="preserve">- </w:t>
      </w:r>
      <w:r>
        <w:rPr>
          <w:rtl w:val="true"/>
        </w:rPr>
        <w:t>רבי יהודה בן בבא סובר שמאז מזכיר</w:t>
      </w:r>
      <w:r>
        <w:rPr>
          <w:rtl w:val="true"/>
        </w:rPr>
        <w:t xml:space="preserve">. </w:t>
      </w:r>
      <w:r>
        <w:rPr>
          <w:rtl w:val="true"/>
        </w:rPr>
        <w:t>סובר שמזכירים בשעה שמנסכים</w:t>
      </w:r>
      <w:r>
        <w:rPr>
          <w:rtl w:val="true"/>
        </w:rPr>
        <w:t xml:space="preserve">, </w:t>
      </w:r>
      <w:r>
        <w:rPr>
          <w:rtl w:val="true"/>
        </w:rPr>
        <w:t>וסובר שמנסכים בפעם ראשונה ביום השני</w:t>
      </w:r>
      <w:r>
        <w:rPr>
          <w:rtl w:val="true"/>
        </w:rPr>
        <w:t xml:space="preserve">, </w:t>
      </w:r>
      <w:r>
        <w:rPr>
          <w:rtl w:val="true"/>
        </w:rPr>
        <w:t>שסובר שדורשים חיוב ניסוך מייתור מ”ם של יום שני</w:t>
      </w:r>
      <w:r>
        <w:rPr>
          <w:rtl w:val="true"/>
        </w:rPr>
        <w:t xml:space="preserve">, </w:t>
      </w:r>
      <w:r>
        <w:rPr>
          <w:rtl w:val="true"/>
        </w:rPr>
        <w:t>יו”ד של יום ששי</w:t>
      </w:r>
      <w:r>
        <w:rPr>
          <w:rtl w:val="true"/>
        </w:rPr>
        <w:t xml:space="preserve">, </w:t>
      </w:r>
      <w:r>
        <w:rPr>
          <w:rtl w:val="true"/>
        </w:rPr>
        <w:t>ומ”ם של יום שביעי</w:t>
      </w:r>
      <w:r>
        <w:rPr>
          <w:rtl w:val="true"/>
        </w:rPr>
        <w:t xml:space="preserve">, </w:t>
      </w:r>
      <w:r>
        <w:rPr>
          <w:rtl w:val="true"/>
        </w:rPr>
        <w:t>שהוא “מים</w:t>
      </w:r>
      <w:r>
        <w:rPr>
          <w:rtl w:val="true"/>
        </w:rPr>
        <w:t xml:space="preserve">.”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מתחיל ביום ראשון</w:t>
      </w:r>
      <w:r>
        <w:rPr>
          <w:rtl w:val="true"/>
        </w:rPr>
        <w:t xml:space="preserve">, </w:t>
      </w:r>
      <w:r>
        <w:rPr>
          <w:rtl w:val="true"/>
        </w:rPr>
        <w:t>כיון שדרשת הבאתו מתחיל שם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4"/>
        </w:numPr>
        <w:ind w:left="720" w:right="0" w:hanging="36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יום ששי של חג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רבי עקיבא סובר שמאז מזכיר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סובר שמזכירים בשעה שמנסכים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וסובר שמנסכים בפעם ראשונה ביום הששי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שסובר שדורשים חיוב ניסוך משינוי לשון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שמשמע שני נסכים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שנאמר ביום ששי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אף שרק דורשים שהוא מים מייתור מ”ם של יום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יו”ד של יום ששי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ומ”ם של יום שביעי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“מים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כיון שהריבוי שאומר שמנסכים הוא ביום הששי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</w:p>
    <w:p>
      <w:pPr>
        <w:pStyle w:val="Footnote"/>
        <w:ind w:left="360" w:right="0" w:hanging="0"/>
        <w:rPr/>
      </w:pPr>
      <w:r>
        <w:rPr>
          <w:rtl w:val="true"/>
        </w:rPr>
        <w:t>אף שזמנים אלו הם עיקר זמן של הזכרה</w:t>
      </w:r>
      <w:r>
        <w:rPr>
          <w:rtl w:val="true"/>
        </w:rPr>
        <w:t xml:space="preserve">, </w:t>
      </w:r>
      <w:r>
        <w:rPr>
          <w:rtl w:val="true"/>
        </w:rPr>
        <w:t>בחו“ל שמרו שני ימים כאילו שניהם ימים טובים</w:t>
      </w:r>
      <w:r>
        <w:rPr>
          <w:rtl w:val="true"/>
        </w:rPr>
        <w:t xml:space="preserve">^.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גמ’ צריך לפרש מה עושים שם</w:t>
      </w:r>
      <w:r>
        <w:rPr>
          <w:rtl w:val="true"/>
        </w:rPr>
        <w:t>:</w:t>
      </w:r>
    </w:p>
    <w:p>
      <w:pPr>
        <w:pStyle w:val="Footnote"/>
        <w:numPr>
          <w:ilvl w:val="0"/>
          <w:numId w:val="7"/>
        </w:numPr>
        <w:ind w:left="1080" w:right="0" w:hanging="360"/>
        <w:rPr/>
      </w:pPr>
      <w:r>
        <w:rPr>
          <w:rtl w:val="true"/>
        </w:rPr>
        <w:t>רב אומר שמתחילים בזמן התחלה ביום ראשון של ימי הספק</w:t>
      </w:r>
      <w:r>
        <w:rPr>
          <w:rtl w:val="true"/>
        </w:rPr>
        <w:t xml:space="preserve">, </w:t>
      </w:r>
      <w:r>
        <w:rPr>
          <w:rtl w:val="true"/>
        </w:rPr>
        <w:t>ומפסיקים אחר אותו תפלה</w:t>
      </w:r>
      <w:r>
        <w:rPr>
          <w:rtl w:val="true"/>
        </w:rPr>
        <w:t xml:space="preserve">, </w:t>
      </w:r>
      <w:r>
        <w:rPr>
          <w:rtl w:val="true"/>
        </w:rPr>
        <w:t>עד אותו תפלה ביום שני של חג</w:t>
      </w:r>
      <w:r>
        <w:rPr>
          <w:rtl w:val="true"/>
        </w:rPr>
        <w:t xml:space="preserve">. </w:t>
      </w:r>
      <w:r>
        <w:rPr>
          <w:rtl w:val="true"/>
        </w:rPr>
        <w:t>משם ואילך</w:t>
      </w:r>
      <w:r>
        <w:rPr>
          <w:rtl w:val="true"/>
        </w:rPr>
        <w:t xml:space="preserve">, </w:t>
      </w:r>
      <w:r>
        <w:rPr>
          <w:rtl w:val="true"/>
        </w:rPr>
        <w:t>מזכיר בכל תפלה עד זמן פסיקה</w:t>
      </w:r>
      <w:r>
        <w:rPr>
          <w:rtl w:val="true"/>
        </w:rPr>
        <w:t xml:space="preserve">. </w:t>
      </w:r>
      <w:r>
        <w:rPr>
          <w:rtl w:val="true"/>
        </w:rPr>
        <w:t>רב חזר מזה לומר כרבא</w:t>
      </w:r>
      <w:r>
        <w:rPr>
          <w:rtl w:val="true"/>
        </w:rPr>
        <w:t>.</w:t>
      </w:r>
    </w:p>
    <w:p>
      <w:pPr>
        <w:pStyle w:val="Footnote"/>
        <w:numPr>
          <w:ilvl w:val="0"/>
          <w:numId w:val="7"/>
        </w:numPr>
        <w:ind w:left="1080" w:right="0" w:hanging="360"/>
        <w:rPr/>
      </w:pPr>
      <w:r>
        <w:rPr>
          <w:rtl w:val="true"/>
        </w:rPr>
        <w:t>שמואל אומר שמתחילים בזמן התחלה ביום ראשון של ימי הספק</w:t>
      </w:r>
      <w:r>
        <w:rPr>
          <w:rtl w:val="true"/>
        </w:rPr>
        <w:t xml:space="preserve">, </w:t>
      </w:r>
      <w:r>
        <w:rPr>
          <w:rtl w:val="true"/>
        </w:rPr>
        <w:t>ומפסיקים אחר אותו יום</w:t>
      </w:r>
      <w:r>
        <w:rPr>
          <w:rtl w:val="true"/>
        </w:rPr>
        <w:t xml:space="preserve">, </w:t>
      </w:r>
      <w:r>
        <w:rPr>
          <w:rtl w:val="true"/>
        </w:rPr>
        <w:t>עד אותו תפלה ביום שני של חג</w:t>
      </w:r>
      <w:r>
        <w:rPr>
          <w:rtl w:val="true"/>
        </w:rPr>
        <w:t xml:space="preserve">. </w:t>
      </w:r>
      <w:r>
        <w:rPr>
          <w:rtl w:val="true"/>
        </w:rPr>
        <w:t>משם ואילך</w:t>
      </w:r>
      <w:r>
        <w:rPr>
          <w:rtl w:val="true"/>
        </w:rPr>
        <w:t xml:space="preserve">, </w:t>
      </w:r>
      <w:r>
        <w:rPr>
          <w:rtl w:val="true"/>
        </w:rPr>
        <w:t>מזכיר בכל תפלה עד זמן פסיקה</w:t>
      </w:r>
      <w:r>
        <w:rPr>
          <w:rtl w:val="true"/>
        </w:rPr>
        <w:t>.</w:t>
      </w:r>
    </w:p>
    <w:p>
      <w:pPr>
        <w:pStyle w:val="Footnote"/>
        <w:numPr>
          <w:ilvl w:val="0"/>
          <w:numId w:val="7"/>
        </w:numPr>
        <w:ind w:left="1080" w:right="0" w:hanging="360"/>
        <w:rPr/>
      </w:pPr>
      <w:r>
        <w:rPr>
          <w:rtl w:val="true"/>
        </w:rPr>
        <w:t>רבא אומר שמתחילים בזמן התחלה ביום ראשון של ימי הספק</w:t>
      </w:r>
      <w:r>
        <w:rPr>
          <w:rtl w:val="true"/>
        </w:rPr>
        <w:t xml:space="preserve">, </w:t>
      </w:r>
      <w:r>
        <w:rPr>
          <w:rtl w:val="true"/>
        </w:rPr>
        <w:t>ולא פוסקים עד זמן פסיקה</w:t>
      </w:r>
      <w:r>
        <w:rPr>
          <w:rtl w:val="true"/>
        </w:rPr>
        <w:t xml:space="preserve">. </w:t>
      </w:r>
      <w:r>
        <w:rPr>
          <w:rtl w:val="true"/>
        </w:rPr>
        <w:t>כן אמר רב לבסוף</w:t>
      </w:r>
      <w:r>
        <w:rPr>
          <w:rtl w:val="true"/>
        </w:rPr>
        <w:t xml:space="preserve">, </w:t>
      </w:r>
      <w:r>
        <w:rPr>
          <w:rtl w:val="true"/>
        </w:rPr>
        <w:t>וכן הלכה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.)</w:t>
      </w:r>
    </w:p>
  </w:footnote>
  <w:footnote w:id="15">
    <w:p>
      <w:pPr>
        <w:pStyle w:val="Footnote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מתי מתחילים להזכיר גשמים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5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רבי אליעזר סובר שמתחילים ביום ראשון של חג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5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רבי יהושע סובר שמתחילים ביום אחרון של חג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לפני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שסימן קללה הוא בחג</w:t>
      </w:r>
    </w:p>
    <w:p>
      <w:pPr>
        <w:pStyle w:val="Footnote"/>
        <w:numPr>
          <w:ilvl w:val="0"/>
          <w:numId w:val="0"/>
        </w:numPr>
        <w:ind w:right="0" w:hanging="0"/>
        <w:rPr>
          <w:b/>
          <w:bCs/>
        </w:rPr>
      </w:pPr>
      <w:r>
        <w:rPr>
          <w:b w:val="false"/>
          <w:bCs w:val="false"/>
          <w:rtl w:val="true"/>
        </w:rPr>
        <w:t>.</w:t>
      </w:r>
    </w:p>
  </w:footnote>
  <w:footnote w:id="16">
    <w:p>
      <w:pPr>
        <w:pStyle w:val="Footnote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</w:t>
      </w:r>
      <w:r>
        <w:rPr>
          <w:b/>
          <w:b/>
          <w:bCs/>
          <w:rtl w:val="true"/>
        </w:rPr>
        <w:t>משנה ב</w:t>
      </w:r>
    </w:p>
  </w:footnote>
  <w:footnote w:id="17">
    <w:p>
      <w:pPr>
        <w:pStyle w:val="Footnote"/>
        <w:rPr/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</w:t>
      </w:r>
      <w:r>
        <w:rPr>
          <w:rtl w:val="true"/>
        </w:rPr>
        <w:t>משנה זה ממשיך ממשנה הראשונה בשני אופנים</w:t>
      </w:r>
      <w:r>
        <w:rPr>
          <w:rtl w:val="true"/>
        </w:rPr>
        <w:t xml:space="preserve">. </w:t>
      </w:r>
      <w:r>
        <w:rPr>
          <w:rtl w:val="true"/>
        </w:rPr>
        <w:t>משנה ראשונה באר תחילת הזכרת גשם</w:t>
      </w:r>
      <w:r>
        <w:rPr>
          <w:rtl w:val="true"/>
        </w:rPr>
        <w:t xml:space="preserve">, </w:t>
      </w:r>
      <w:r>
        <w:rPr>
          <w:rtl w:val="true"/>
        </w:rPr>
        <w:t>ומשנה זה יזכיר תחילת שאלת גשם</w:t>
      </w:r>
      <w:r>
        <w:rPr>
          <w:rtl w:val="true"/>
        </w:rPr>
        <w:t xml:space="preserve">^. </w:t>
      </w:r>
      <w:r>
        <w:rPr>
          <w:rtl w:val="true"/>
        </w:rPr>
        <w:t>גם מבאר שיטה אחת בשאלה והזכרה שיחלוק על משנה ראשונה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שאלת גשם הוא דבר חלוק מהזכרת גשם</w:t>
      </w:r>
      <w:r>
        <w:rPr>
          <w:rtl w:val="true"/>
        </w:rPr>
        <w:t xml:space="preserve">. </w:t>
      </w:r>
      <w:r>
        <w:rPr>
          <w:rtl w:val="true"/>
        </w:rPr>
        <w:t xml:space="preserve">הזכרת גשם הוא </w:t>
      </w:r>
      <w:r>
        <w:rPr>
          <w:rtl w:val="true"/>
        </w:rPr>
        <w:t>"</w:t>
      </w:r>
      <w:r>
        <w:rPr>
          <w:rtl w:val="true"/>
        </w:rPr>
        <w:t>מוריד הגשם</w:t>
      </w:r>
      <w:r>
        <w:rPr>
          <w:rtl w:val="true"/>
        </w:rPr>
        <w:t xml:space="preserve">,” </w:t>
      </w:r>
      <w:r>
        <w:rPr>
          <w:rtl w:val="true"/>
        </w:rPr>
        <w:t>כמו שבארנו לעיל</w:t>
      </w:r>
      <w:r>
        <w:rPr>
          <w:rtl w:val="true"/>
        </w:rPr>
        <w:t xml:space="preserve">.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מזכיר גבורת ה’ בהבאת גשם</w:t>
      </w:r>
      <w:r>
        <w:rPr>
          <w:rtl w:val="true"/>
        </w:rPr>
        <w:t xml:space="preserve">. </w:t>
      </w:r>
      <w:r>
        <w:rPr>
          <w:rtl w:val="true"/>
        </w:rPr>
        <w:t>שאלת גשם הוא שאלה לגשם</w:t>
      </w:r>
      <w:r>
        <w:rPr>
          <w:rtl w:val="true"/>
        </w:rPr>
        <w:t xml:space="preserve">. </w:t>
      </w:r>
      <w:r>
        <w:rPr>
          <w:rtl w:val="true"/>
        </w:rPr>
        <w:t>יש מנהגים שונים איך לשאול לו</w:t>
      </w:r>
      <w:r>
        <w:rPr>
          <w:rtl w:val="true"/>
        </w:rPr>
        <w:t xml:space="preserve">; </w:t>
      </w:r>
      <w:r>
        <w:rPr>
          <w:rtl w:val="true"/>
        </w:rPr>
        <w:t>האשכנזים מוסיפים</w:t>
      </w:r>
      <w:r>
        <w:rPr>
          <w:rtl w:val="true"/>
        </w:rPr>
        <w:t>, “</w:t>
      </w:r>
      <w:r>
        <w:rPr>
          <w:rtl w:val="true"/>
        </w:rPr>
        <w:t>ותן טל ומטר</w:t>
      </w:r>
      <w:r>
        <w:rPr>
          <w:rtl w:val="true"/>
        </w:rPr>
        <w:t xml:space="preserve">,” </w:t>
      </w:r>
      <w:r>
        <w:rPr>
          <w:rtl w:val="true"/>
        </w:rPr>
        <w:t xml:space="preserve">והספרדים מוסיפים עם </w:t>
      </w:r>
      <w:r>
        <w:rPr>
          <w:rtl w:val="true"/>
        </w:rPr>
        <w:t>"</w:t>
      </w:r>
      <w:r>
        <w:rPr>
          <w:rtl w:val="true"/>
        </w:rPr>
        <w:t>ותן טל ומטר</w:t>
      </w:r>
      <w:r>
        <w:rPr>
          <w:rtl w:val="true"/>
        </w:rPr>
        <w:t xml:space="preserve">" </w:t>
      </w:r>
      <w:r>
        <w:rPr>
          <w:rtl w:val="true"/>
        </w:rPr>
        <w:t>שאלות אחרות ולשונות אחרים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כוע</w:t>
      </w:r>
      <w:r>
        <w:rPr>
          <w:rtl w:val="true"/>
        </w:rPr>
        <w:t>"</w:t>
      </w:r>
      <w:r>
        <w:rPr>
          <w:rtl w:val="true"/>
        </w:rPr>
        <w:t xml:space="preserve">מ שלעיכובא רק צריך </w:t>
      </w:r>
      <w:r>
        <w:rPr>
          <w:rtl w:val="true"/>
        </w:rPr>
        <w:t>"</w:t>
      </w:r>
      <w:r>
        <w:rPr>
          <w:rtl w:val="true"/>
        </w:rPr>
        <w:t>ותן טל ומטר</w:t>
      </w:r>
      <w:r>
        <w:rPr>
          <w:rtl w:val="true"/>
        </w:rPr>
        <w:t>.”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שואל בברכת פרנסה</w:t>
      </w:r>
      <w:r>
        <w:rPr>
          <w:rtl w:val="true"/>
        </w:rPr>
        <w:t xml:space="preserve">, </w:t>
      </w:r>
      <w:r>
        <w:rPr>
          <w:rtl w:val="true"/>
        </w:rPr>
        <w:t>כיון שגשמים מביאים פרנסה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ברכות לג</w:t>
      </w:r>
      <w:r>
        <w:rPr>
          <w:b/>
          <w:bCs/>
          <w:rtl w:val="true"/>
        </w:rPr>
        <w:t>.)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אפשר אף לר“א</w:t>
      </w:r>
      <w:r>
        <w:rPr>
          <w:rtl w:val="true"/>
        </w:rPr>
        <w:t xml:space="preserve">^, </w:t>
      </w:r>
      <w:r>
        <w:rPr>
          <w:rtl w:val="true"/>
        </w:rPr>
        <w:t>שר“א רק חולק בהזכרה</w:t>
      </w:r>
      <w:r>
        <w:rPr>
          <w:rtl w:val="true"/>
        </w:rPr>
        <w:t xml:space="preserve">, </w:t>
      </w:r>
      <w:r>
        <w:rPr>
          <w:rtl w:val="true"/>
        </w:rPr>
        <w:t>ולא בשאלה</w:t>
      </w:r>
      <w:r>
        <w:rPr>
          <w:rtl w:val="true"/>
        </w:rPr>
        <w:t xml:space="preserve">. </w:t>
      </w:r>
      <w:r>
        <w:rPr>
          <w:rtl w:val="true"/>
        </w:rPr>
        <w:t>שאלה הוא רק בזמן שבו גשמים הם לברכה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:)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לא מפרש בדווקא מתי מתחיל לשאול גשמים</w:t>
      </w:r>
      <w:r>
        <w:rPr>
          <w:rtl w:val="true"/>
        </w:rPr>
        <w:t xml:space="preserve">. </w:t>
      </w:r>
      <w:r>
        <w:rPr>
          <w:rtl w:val="true"/>
        </w:rPr>
        <w:t>נראה שיש כמה צדדים וכמה שיטת בזה</w:t>
      </w:r>
      <w:r>
        <w:rPr>
          <w:rtl w:val="true"/>
        </w:rPr>
        <w:t xml:space="preserve">. </w:t>
      </w:r>
      <w:r>
        <w:rPr>
          <w:rtl w:val="true"/>
        </w:rPr>
        <w:t>בע“ה</w:t>
      </w:r>
      <w:r>
        <w:rPr>
          <w:rtl w:val="true"/>
        </w:rPr>
        <w:t xml:space="preserve">, </w:t>
      </w:r>
      <w:r>
        <w:rPr>
          <w:rtl w:val="true"/>
        </w:rPr>
        <w:t>אכתב את דיניו בסיכום שאקרא</w:t>
      </w:r>
      <w:r>
        <w:rPr>
          <w:rtl w:val="true"/>
        </w:rPr>
        <w:t>, ”</w:t>
      </w:r>
      <w:r>
        <w:rPr>
          <w:rtl w:val="true"/>
        </w:rPr>
        <w:t>שאלות לשאול בשאלה</w:t>
      </w:r>
      <w:r>
        <w:rPr>
          <w:rtl w:val="true"/>
        </w:rPr>
        <w:t>.“</w:t>
      </w:r>
    </w:p>
  </w:footnote>
  <w:footnote w:id="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מבריי’ בגמ’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יוצא שאמר כן בשם רבי יהושע בן בתירה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ידוע למה תולה אותו על מי שעובר לפני התיבה</w:t>
      </w:r>
      <w:r>
        <w:rPr>
          <w:rtl w:val="true"/>
        </w:rPr>
        <w:t xml:space="preserve">, </w:t>
      </w:r>
      <w:r>
        <w:rPr>
          <w:rtl w:val="true"/>
        </w:rPr>
        <w:t>שלכאו’</w:t>
      </w:r>
      <w:r>
        <w:rPr>
          <w:rtl w:val="true"/>
        </w:rPr>
        <w:t xml:space="preserve">, </w:t>
      </w:r>
      <w:r>
        <w:rPr>
          <w:rtl w:val="true"/>
        </w:rPr>
        <w:t>כן הוא הדין לכל יחיד</w:t>
      </w:r>
      <w:r>
        <w:rPr>
          <w:rtl w:val="true"/>
        </w:rPr>
        <w:t xml:space="preserve">. </w:t>
      </w:r>
      <w:r>
        <w:rPr>
          <w:rtl w:val="true"/>
        </w:rPr>
        <w:t>משמע שאינו כן</w:t>
      </w:r>
      <w:r>
        <w:rPr>
          <w:rtl w:val="true"/>
        </w:rPr>
        <w:t xml:space="preserve">, </w:t>
      </w:r>
      <w:r>
        <w:rPr>
          <w:rtl w:val="true"/>
        </w:rPr>
        <w:t>ושבאותו תפלה רק לעובר לפני התיבה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איזה מן השני דינים </w:t>
      </w:r>
      <w:r>
        <w:rPr>
          <w:rtl w:val="true"/>
        </w:rPr>
        <w:t>(</w:t>
      </w:r>
      <w:r>
        <w:rPr>
          <w:rtl w:val="true"/>
        </w:rPr>
        <w:t>ראשון או אחרון</w:t>
      </w:r>
      <w:r>
        <w:rPr>
          <w:rtl w:val="true"/>
        </w:rPr>
        <w:t xml:space="preserve">) </w:t>
      </w:r>
      <w:r>
        <w:rPr>
          <w:rtl w:val="true"/>
        </w:rPr>
        <w:t>הוא דווקא בעובר לפני התיבה</w:t>
      </w:r>
      <w:r>
        <w:rPr>
          <w:rtl w:val="true"/>
        </w:rPr>
        <w:t xml:space="preserve">. </w:t>
      </w:r>
      <w:r>
        <w:rPr>
          <w:rtl w:val="true"/>
        </w:rPr>
        <w:t>נוהגים היום שמזכירים רק אחר שהכריזו להזכיר</w:t>
      </w:r>
      <w:r>
        <w:rPr>
          <w:rtl w:val="true"/>
        </w:rPr>
        <w:t xml:space="preserve">. </w:t>
      </w:r>
      <w:r>
        <w:rPr>
          <w:rtl w:val="true"/>
        </w:rPr>
        <w:t>אולי הזכירו</w:t>
      </w:r>
      <w:r>
        <w:rPr>
          <w:rtl w:val="true"/>
        </w:rPr>
        <w:t xml:space="preserve">, </w:t>
      </w:r>
      <w:r>
        <w:rPr>
          <w:rtl w:val="true"/>
        </w:rPr>
        <w:t>כמנהג מקצת קהילות היום</w:t>
      </w:r>
      <w:r>
        <w:rPr>
          <w:rtl w:val="true"/>
        </w:rPr>
        <w:t xml:space="preserve">, </w:t>
      </w:r>
      <w:r>
        <w:rPr>
          <w:rtl w:val="true"/>
        </w:rPr>
        <w:t>בתפלת מי שעובר לפני התיבה</w:t>
      </w:r>
      <w:r>
        <w:rPr>
          <w:rtl w:val="true"/>
        </w:rPr>
        <w:t>. (</w:t>
      </w:r>
      <w:r>
        <w:rPr>
          <w:rtl w:val="true"/>
        </w:rPr>
        <w:t>שו</w:t>
      </w:r>
      <w:r>
        <w:rPr>
          <w:rtl w:val="true"/>
        </w:rPr>
        <w:t>"</w:t>
      </w:r>
      <w:r>
        <w:rPr>
          <w:rtl w:val="true"/>
        </w:rPr>
        <w:t>ר שכ</w:t>
      </w:r>
      <w:r>
        <w:rPr>
          <w:rtl w:val="true"/>
        </w:rPr>
        <w:t>"</w:t>
      </w:r>
      <w:r>
        <w:rPr>
          <w:rtl w:val="true"/>
        </w:rPr>
        <w:t xml:space="preserve">כ </w:t>
      </w:r>
      <w:r>
        <w:rPr>
          <w:b/>
          <w:b/>
          <w:bCs/>
          <w:rtl w:val="true"/>
        </w:rPr>
        <w:t>תוי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ט</w:t>
      </w:r>
      <w:r>
        <w:rPr>
          <w:b w:val="false"/>
          <w:b w:val="false"/>
          <w:bCs w:val="false"/>
          <w:rtl w:val="true"/>
        </w:rPr>
        <w:t xml:space="preserve"> בשם </w:t>
      </w:r>
      <w:r>
        <w:rPr>
          <w:b/>
          <w:b/>
          <w:bCs/>
          <w:rtl w:val="true"/>
        </w:rPr>
        <w:t>רא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/>
          <w:bCs/>
          <w:rtl w:val="true"/>
        </w:rPr>
        <w:t>.</w:t>
      </w:r>
      <w:r>
        <w:rPr>
          <w:b w:val="false"/>
          <w:bCs w:val="false"/>
          <w:rtl w:val="true"/>
        </w:rPr>
        <w:t>)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בתפלת מוסף</w:t>
      </w:r>
      <w:r>
        <w:rPr>
          <w:rtl w:val="true"/>
        </w:rPr>
        <w:t>.</w:t>
      </w:r>
    </w:p>
  </w:footnote>
  <w:footnote w:id="2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</w:t>
      </w:r>
      <w:r>
        <w:rPr>
          <w:rtl w:val="true"/>
        </w:rPr>
        <w:t xml:space="preserve"> מוסיף שאף שואלים אז</w:t>
      </w:r>
      <w:r>
        <w:rPr>
          <w:rtl w:val="true"/>
        </w:rPr>
        <w:t xml:space="preserve">, </w:t>
      </w:r>
      <w:r>
        <w:rPr>
          <w:rtl w:val="true"/>
        </w:rPr>
        <w:t>לפי רבי יהודה</w:t>
      </w:r>
      <w:r>
        <w:rPr>
          <w:rtl w:val="true"/>
        </w:rPr>
        <w:t>. (</w:t>
      </w:r>
      <w:r>
        <w:rPr>
          <w:rtl w:val="true"/>
        </w:rPr>
        <w:t>איני חושב שזה מוכרח לכל הצדדים בגמ’</w:t>
      </w:r>
      <w:r>
        <w:rPr>
          <w:rtl w:val="true"/>
        </w:rPr>
        <w:t xml:space="preserve">. </w:t>
      </w:r>
      <w:r>
        <w:rPr>
          <w:rtl w:val="true"/>
        </w:rPr>
        <w:t>צל“ע בסיכום ”שאלות לשאול בשאלה“</w:t>
      </w:r>
      <w:r>
        <w:rPr>
          <w:rtl w:val="true"/>
        </w:rPr>
        <w:t>)</w:t>
      </w:r>
    </w:p>
  </w:footnote>
  <w:footnote w:id="24">
    <w:p>
      <w:pPr>
        <w:pStyle w:val="Footnote"/>
        <w:rPr>
          <w:b w:val="false"/>
          <w:bCs w:val="false"/>
        </w:rPr>
      </w:pPr>
      <w:r>
        <w:rPr>
          <w:rStyle w:val="FootnoteCharacters"/>
        </w:rPr>
        <w:footnoteRef/>
      </w:r>
      <w:r>
        <w:rPr>
          <w:b w:val="false"/>
          <w:b w:val="false"/>
          <w:bCs w:val="false"/>
          <w:rtl w:val="true"/>
        </w:rPr>
        <w:tab/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בתפלת שחרית</w:t>
      </w:r>
      <w:r>
        <w:rPr>
          <w:b w:val="false"/>
          <w:bCs w:val="false"/>
          <w:rtl w:val="true"/>
        </w:rPr>
        <w:t>.</w:t>
      </w:r>
    </w:p>
  </w:footnote>
  <w:footnote w:id="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סוף ימים של גשמים</w:t>
      </w:r>
      <w:r>
        <w:rPr>
          <w:rtl w:val="true"/>
        </w:rPr>
        <w:t>.</w:t>
      </w:r>
    </w:p>
  </w:footnote>
  <w:footnote w:id="2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בביאור מילה זה</w:t>
      </w:r>
      <w:r>
        <w:rPr>
          <w:rtl w:val="true"/>
        </w:rPr>
        <w:t xml:space="preserve">, </w:t>
      </w:r>
      <w:r>
        <w:rPr>
          <w:rtl w:val="true"/>
        </w:rPr>
        <w:t>צריך לעיין בהוספות לקמן בד“ה מתורגמן</w:t>
      </w:r>
      <w:r>
        <w:rPr>
          <w:rtl w:val="true"/>
        </w:rPr>
        <w:t>.</w:t>
      </w:r>
    </w:p>
  </w:footnote>
  <w:footnote w:id="2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לקמן </w:t>
      </w:r>
      <w:r>
        <w:rPr>
          <w:rtl w:val="true"/>
        </w:rPr>
        <w:t>(</w:t>
      </w:r>
      <w:r>
        <w:rPr>
          <w:rtl w:val="true"/>
        </w:rPr>
        <w:t>במשנה זה</w:t>
      </w:r>
      <w:r>
        <w:rPr>
          <w:rtl w:val="true"/>
        </w:rPr>
        <w:t xml:space="preserve">), </w:t>
      </w:r>
      <w:r>
        <w:rPr>
          <w:rtl w:val="true"/>
        </w:rPr>
        <w:t>בע“ה</w:t>
      </w:r>
      <w:r>
        <w:rPr>
          <w:rtl w:val="true"/>
        </w:rPr>
        <w:t xml:space="preserve">, </w:t>
      </w:r>
      <w:r>
        <w:rPr>
          <w:rtl w:val="true"/>
        </w:rPr>
        <w:t>נפרש קטע זה של משנה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מה שצריכים לדעת הוא שיש דעת בגמ’ </w:t>
      </w:r>
      <w:r>
        <w:rPr>
          <w:rtl w:val="true"/>
        </w:rPr>
        <w:t>(</w:t>
      </w:r>
      <w:r>
        <w:rPr>
          <w:rtl w:val="true"/>
        </w:rPr>
        <w:t>עולא</w:t>
      </w:r>
      <w:r>
        <w:rPr>
          <w:rtl w:val="true"/>
        </w:rPr>
        <w:t xml:space="preserve">) </w:t>
      </w:r>
      <w:r>
        <w:rPr>
          <w:rtl w:val="true"/>
        </w:rPr>
        <w:t>שזה רק שיטת תנא אחד בדעת ר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אבל יש תנא שחולק</w:t>
      </w:r>
      <w:r>
        <w:rPr>
          <w:rtl w:val="true"/>
        </w:rPr>
        <w:t xml:space="preserve">). </w:t>
      </w:r>
    </w:p>
  </w:footnote>
  <w:footnote w:id="2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בגמ’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rtl w:val="true"/>
        </w:rPr>
        <w:t>גורסים</w:t>
      </w:r>
      <w:r>
        <w:rPr>
          <w:rtl w:val="true"/>
        </w:rPr>
        <w:t>, ”</w:t>
      </w:r>
      <w:r>
        <w:rPr>
          <w:rtl w:val="true"/>
        </w:rPr>
        <w:t>עד מתי</w:t>
      </w:r>
      <w:r>
        <w:rPr>
          <w:rtl w:val="true"/>
        </w:rPr>
        <w:t xml:space="preserve">.“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אין חילוק ביניהם</w:t>
      </w:r>
      <w:r>
        <w:rPr>
          <w:rtl w:val="true"/>
        </w:rPr>
        <w:t>.</w:t>
      </w:r>
    </w:p>
  </w:footnote>
  <w:footnote w:id="2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מפרש את זה בשלש אופנים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6"/>
        </w:numPr>
        <w:ind w:left="720" w:right="0" w:hanging="360"/>
        <w:rPr/>
      </w:pPr>
      <w:r>
        <w:rPr>
          <w:rtl w:val="true"/>
        </w:rPr>
        <w:t>פוסקים מלשאול אחר העברת כל פסח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ביום כב של ניסן</w:t>
      </w:r>
      <w:r>
        <w:rPr>
          <w:rtl w:val="true"/>
        </w:rPr>
        <w:t xml:space="preserve">, </w:t>
      </w:r>
      <w:r>
        <w:rPr>
          <w:rtl w:val="true"/>
        </w:rPr>
        <w:t>פוסקים מלשאול</w:t>
      </w:r>
      <w:r>
        <w:rPr>
          <w:rtl w:val="true"/>
        </w:rPr>
        <w:t xml:space="preserve">. </w:t>
      </w:r>
      <w:r>
        <w:rPr>
          <w:rtl w:val="true"/>
        </w:rPr>
        <w:t>כן אומר רב חסדא</w:t>
      </w:r>
      <w:r>
        <w:rPr>
          <w:rtl w:val="true"/>
        </w:rPr>
        <w:t xml:space="preserve">, </w:t>
      </w:r>
      <w:r>
        <w:rPr>
          <w:rtl w:val="true"/>
        </w:rPr>
        <w:t>וכן אומר עולא</w:t>
      </w:r>
      <w:r>
        <w:rPr>
          <w:rtl w:val="true"/>
        </w:rPr>
        <w:t xml:space="preserve">. </w:t>
      </w:r>
      <w:r>
        <w:rPr>
          <w:rtl w:val="true"/>
        </w:rPr>
        <w:t>כן מסיק גמ’</w:t>
      </w:r>
      <w:r>
        <w:rPr>
          <w:rtl w:val="true"/>
        </w:rPr>
        <w:t>.</w:t>
      </w:r>
    </w:p>
    <w:p>
      <w:pPr>
        <w:pStyle w:val="Footnote"/>
        <w:numPr>
          <w:ilvl w:val="0"/>
          <w:numId w:val="6"/>
        </w:numPr>
        <w:ind w:left="720" w:right="0" w:hanging="360"/>
        <w:rPr/>
      </w:pPr>
      <w:r>
        <w:rPr>
          <w:rtl w:val="true"/>
        </w:rPr>
        <w:t>פוסקים מלשאול אחר שיעבור שליח ציבור הראשון בפסח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אחר שחרית של יום טו של ניסן</w:t>
      </w:r>
      <w:r>
        <w:rPr>
          <w:rtl w:val="true"/>
        </w:rPr>
        <w:t xml:space="preserve">, </w:t>
      </w:r>
      <w:r>
        <w:rPr>
          <w:rtl w:val="true"/>
        </w:rPr>
        <w:t>פוסקים מלשאול</w:t>
      </w:r>
      <w:r>
        <w:rPr>
          <w:rtl w:val="true"/>
        </w:rPr>
        <w:t xml:space="preserve">. </w:t>
      </w:r>
      <w:r>
        <w:rPr>
          <w:rtl w:val="true"/>
        </w:rPr>
        <w:t>וא“ת הרי לא שואלים ביו“ט</w:t>
      </w:r>
      <w:r>
        <w:rPr>
          <w:rtl w:val="true"/>
        </w:rPr>
        <w:t xml:space="preserve">, </w:t>
      </w:r>
      <w:r>
        <w:rPr>
          <w:rtl w:val="true"/>
        </w:rPr>
        <w:t>שאין מתפללים שאלות בשבת ויו“ט</w:t>
      </w:r>
      <w:r>
        <w:rPr>
          <w:rtl w:val="true"/>
        </w:rPr>
        <w:t xml:space="preserve">. </w:t>
      </w:r>
      <w:r>
        <w:rPr>
          <w:rtl w:val="true"/>
        </w:rPr>
        <w:t>וי“ל שמתורגמן שואל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מפרש שהיה </w:t>
      </w:r>
      <w:r>
        <w:rPr>
          <w:b w:val="false"/>
          <w:b w:val="false"/>
          <w:bCs w:val="false"/>
          <w:rtl w:val="true"/>
        </w:rPr>
        <w:t>מתורגמן</w:t>
      </w:r>
      <w:r>
        <w:rPr>
          <w:b w:val="false"/>
          <w:bCs w:val="false"/>
          <w:rtl w:val="true"/>
        </w:rPr>
        <w:t>^</w:t>
      </w:r>
      <w:r>
        <w:rPr>
          <w:rtl w:val="true"/>
        </w:rPr>
        <w:t xml:space="preserve"> </w:t>
      </w:r>
      <w:r>
        <w:rPr>
          <w:rtl w:val="true"/>
        </w:rPr>
        <w:t>של הרב מברך בתוך תרגום שלו</w:t>
      </w:r>
      <w:r>
        <w:rPr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כן אומר ר“י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נדחה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מסתבר שישאל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שלא נצרך לציבור</w:t>
      </w:r>
      <w:r>
        <w:rPr>
          <w:b w:val="false"/>
          <w:bCs w:val="false"/>
          <w:rtl w:val="true"/>
        </w:rPr>
        <w:t>^^.</w:t>
      </w:r>
    </w:p>
    <w:p>
      <w:pPr>
        <w:pStyle w:val="Footnote"/>
        <w:numPr>
          <w:ilvl w:val="0"/>
          <w:numId w:val="6"/>
        </w:numPr>
        <w:ind w:left="720" w:right="0" w:hanging="360"/>
        <w:rPr/>
      </w:pPr>
      <w:r>
        <w:rPr>
          <w:b w:val="false"/>
          <w:b w:val="false"/>
          <w:bCs w:val="false"/>
          <w:rtl w:val="true"/>
        </w:rPr>
        <w:t>פוסקים מלשאול אחר שיעבור זמן שחיטת הפסח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אחר יום יד של ניסן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פוסקים מלשאול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שמזכירים אחר ששואלים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 אחר שחרית של יום טו של ניסן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גמ’ דוחה שלא מסתבר שיזכר בזמן שלא שואל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אף שמזכירים קודם ששואלים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שם מרצים על שאלה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סיבה להזכיר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:)</w:t>
      </w:r>
    </w:p>
  </w:footnote>
  <w:footnote w:id="3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רבי מאיר חולק רק לענין שאלה או אף לענין הזכרה</w:t>
      </w:r>
      <w:r>
        <w:rPr>
          <w:rtl w:val="true"/>
        </w:rPr>
        <w:t xml:space="preserve">. </w:t>
      </w:r>
      <w:r>
        <w:rPr>
          <w:rtl w:val="true"/>
        </w:rPr>
        <w:t>מן הסברה</w:t>
      </w:r>
      <w:r>
        <w:rPr>
          <w:rtl w:val="true"/>
        </w:rPr>
        <w:t xml:space="preserve">, </w:t>
      </w:r>
      <w:r>
        <w:rPr>
          <w:rtl w:val="true"/>
        </w:rPr>
        <w:t>היה נראה לומר שחולקים בשניהם</w:t>
      </w:r>
      <w:r>
        <w:rPr>
          <w:rtl w:val="true"/>
        </w:rPr>
        <w:t>.</w:t>
      </w:r>
    </w:p>
  </w:footnote>
  <w:footnote w:id="3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מביא קרא זה להוכיח שאף בסוף ניסן יש צורך למטר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להקשות איך לומדים משם</w:t>
      </w:r>
      <w:r>
        <w:rPr>
          <w:rtl w:val="true"/>
        </w:rPr>
        <w:t xml:space="preserve">, </w:t>
      </w:r>
      <w:r>
        <w:rPr>
          <w:rtl w:val="true"/>
        </w:rPr>
        <w:t>כיון שגמ’ מבאר שאותו שנה היה חלוק משאר שנים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.)</w:t>
      </w:r>
      <w:r>
        <w:rPr>
          <w:rtl w:val="true"/>
        </w:rPr>
        <w:t xml:space="preserve">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גמ’ אומר שזמן של מלקוש הוא בניסן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.)</w:t>
      </w:r>
    </w:p>
  </w:footnote>
  <w:footnote w:id="32">
    <w:p>
      <w:pPr>
        <w:pStyle w:val="Footnote"/>
        <w:rPr>
          <w:b/>
          <w:bCs/>
        </w:rPr>
      </w:pPr>
      <w:r>
        <w:rPr>
          <w:rStyle w:val="FootnoteCharacters"/>
        </w:rPr>
        <w:t xml:space="preserve"> </w:t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שאלה והזכרת גשמים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8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תחילת שאלת גשמים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סמוך לגשמים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8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תחילה וסוף של הזכרת גשמים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לפי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8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מח’ ר“י ור“מ בסוף שאלת גשם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rPr>
          <w:b w:val="false"/>
          <w:bCs w:val="false"/>
        </w:rPr>
      </w:pPr>
      <w:r>
        <w:rPr>
          <w:b/>
          <w:bCs/>
          <w:rtl w:val="true"/>
        </w:rPr>
      </w:r>
    </w:p>
  </w:footnote>
  <w:footnote w:id="33">
    <w:p>
      <w:pPr>
        <w:pStyle w:val="Footnote"/>
        <w:rPr>
          <w:b/>
          <w:bCs/>
        </w:rPr>
      </w:pPr>
      <w:r>
        <w:rPr>
          <w:rStyle w:val="FootnoteCharacters"/>
        </w:rPr>
        <w:t xml:space="preserve"> </w:t>
      </w:r>
      <w:r>
        <w:rPr>
          <w:b/>
          <w:b/>
          <w:bCs/>
          <w:rtl w:val="true"/>
        </w:rPr>
        <w:tab/>
        <w:t>משנה ג</w:t>
      </w:r>
    </w:p>
  </w:footnote>
  <w:footnote w:id="34">
    <w:p>
      <w:pPr>
        <w:pStyle w:val="Footnote"/>
        <w:rPr>
          <w:b w:val="false"/>
          <w:bCs w:val="false"/>
        </w:rPr>
      </w:pPr>
      <w:r>
        <w:rPr>
          <w:rStyle w:val="FootnoteCharacters"/>
        </w:rPr>
        <w:t xml:space="preserve"> </w:t>
      </w:r>
      <w:r>
        <w:rPr>
          <w:b w:val="false"/>
          <w:b w:val="false"/>
          <w:bCs w:val="false"/>
          <w:rtl w:val="true"/>
        </w:rPr>
        <w:tab/>
        <w:t>משנה זה יבאר תחילת זמן שאלת גשמים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מבאר יחס בין משנה זה לשיטת רבי יהודה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משנה ב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אבל יוצא ממנו כמה צדדים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לעיין ב“שאלות לשאול בשאלה</w:t>
      </w:r>
      <w:r>
        <w:rPr>
          <w:b w:val="false"/>
          <w:bCs w:val="false"/>
          <w:rtl w:val="true"/>
        </w:rPr>
        <w:t>.“</w:t>
      </w:r>
    </w:p>
  </w:footnote>
  <w:footnote w:id="3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אחד עשר יום אחר החג</w:t>
      </w:r>
      <w:r>
        <w:rPr>
          <w:rtl w:val="true"/>
        </w:rPr>
        <w:t>.</w:t>
      </w:r>
    </w:p>
  </w:footnote>
  <w:footnote w:id="3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פוסק רבי יוחנן</w:t>
      </w:r>
      <w:r>
        <w:rPr>
          <w:rtl w:val="true"/>
        </w:rPr>
        <w:t xml:space="preserve">, </w:t>
      </w:r>
      <w:r>
        <w:rPr>
          <w:rtl w:val="true"/>
        </w:rPr>
        <w:t>וכן פוסק לשון אחד של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.)</w:t>
      </w:r>
    </w:p>
  </w:footnote>
  <w:footnote w:id="3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סובר ג“כ רבי יהודה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.)</w:t>
      </w:r>
    </w:p>
  </w:footnote>
  <w:footnote w:id="3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נתן שני הגדרות של היום</w:t>
      </w:r>
      <w:r>
        <w:rPr>
          <w:rtl w:val="true"/>
        </w:rPr>
        <w:t xml:space="preserve">: </w:t>
      </w:r>
      <w:r>
        <w:rPr>
          <w:rtl w:val="true"/>
        </w:rPr>
        <w:t>הוא שבעה בחשון</w:t>
      </w:r>
      <w:r>
        <w:rPr>
          <w:rtl w:val="true"/>
        </w:rPr>
        <w:t xml:space="preserve">, </w:t>
      </w:r>
      <w:r>
        <w:rPr>
          <w:rtl w:val="true"/>
        </w:rPr>
        <w:t>והוא חמשה עשר יום אחר סוף החג</w:t>
      </w:r>
      <w:r>
        <w:rPr>
          <w:rtl w:val="true"/>
        </w:rPr>
        <w:t xml:space="preserve">.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לא יהיו שני ההגדרות של יום אחד</w:t>
      </w:r>
      <w:r>
        <w:rPr>
          <w:rtl w:val="true"/>
        </w:rPr>
        <w:t xml:space="preserve">, </w:t>
      </w:r>
      <w:r>
        <w:rPr>
          <w:rtl w:val="true"/>
        </w:rPr>
        <w:t>אלא של שני שנים</w:t>
      </w:r>
      <w:r>
        <w:rPr>
          <w:rtl w:val="true"/>
        </w:rPr>
        <w:t xml:space="preserve">, </w:t>
      </w:r>
      <w:r>
        <w:rPr>
          <w:rtl w:val="true"/>
        </w:rPr>
        <w:t>כמו אם חדש תשרי חסר</w:t>
      </w:r>
      <w:r>
        <w:rPr>
          <w:rtl w:val="true"/>
        </w:rPr>
        <w:t xml:space="preserve">, </w:t>
      </w:r>
      <w:r>
        <w:rPr>
          <w:rtl w:val="true"/>
        </w:rPr>
        <w:t>שאז יהיה שבעה בחשון קודם שעברו חמשה עשר יום</w:t>
      </w:r>
      <w:r>
        <w:rPr>
          <w:rtl w:val="true"/>
        </w:rPr>
        <w:t xml:space="preserve">. </w:t>
      </w:r>
      <w:r>
        <w:rPr>
          <w:rtl w:val="true"/>
        </w:rPr>
        <w:t>יש לדון מהו הדין שם</w:t>
      </w:r>
      <w:r>
        <w:rPr>
          <w:rtl w:val="true"/>
        </w:rPr>
        <w:t xml:space="preserve">. </w:t>
      </w:r>
      <w:r>
        <w:rPr>
          <w:rtl w:val="true"/>
        </w:rPr>
        <w:t>לשון של ת</w:t>
      </w:r>
      <w:r>
        <w:rPr>
          <w:rtl w:val="true"/>
        </w:rPr>
        <w:t>"</w:t>
      </w:r>
      <w:r>
        <w:rPr>
          <w:rtl w:val="true"/>
        </w:rPr>
        <w:t>ק משמע שתולה אותו בימים של החדש</w:t>
      </w:r>
      <w:r>
        <w:rPr>
          <w:rtl w:val="true"/>
        </w:rPr>
        <w:t xml:space="preserve">. </w:t>
      </w:r>
      <w:r>
        <w:rPr>
          <w:rtl w:val="true"/>
        </w:rPr>
        <w:t>שו“ר שחל’ בזה בתוספתא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א</w:t>
      </w:r>
      <w:r>
        <w:rPr>
          <w:b/>
          <w:bCs/>
          <w:rtl w:val="true"/>
        </w:rPr>
        <w:t>-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)</w:t>
      </w:r>
    </w:p>
  </w:footnote>
  <w:footnote w:id="3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קטע זה נקרא כך</w:t>
      </w:r>
      <w:r>
        <w:rPr>
          <w:rtl w:val="true"/>
        </w:rPr>
        <w:t>: ”</w:t>
      </w:r>
      <w:r>
        <w:rPr>
          <w:rtl w:val="true"/>
        </w:rPr>
        <w:t>כדי שיגיע אחרון שבישראל</w:t>
      </w:r>
      <w:r>
        <w:rPr>
          <w:rtl w:val="true"/>
        </w:rPr>
        <w:t xml:space="preserve">, </w:t>
      </w:r>
      <w:r>
        <w:rPr>
          <w:rtl w:val="true"/>
        </w:rPr>
        <w:t>לנהר פרת</w:t>
      </w:r>
      <w:r>
        <w:rPr>
          <w:rtl w:val="true"/>
        </w:rPr>
        <w:t xml:space="preserve">,“ </w:t>
      </w:r>
      <w:r>
        <w:rPr>
          <w:rtl w:val="true"/>
        </w:rPr>
        <w:t>ופי’ הוא שזהו הזמן שאחריו יגיע האחרון שבישראל לבוא לביתו</w:t>
      </w:r>
      <w:r>
        <w:rPr>
          <w:rtl w:val="true"/>
        </w:rPr>
        <w:t xml:space="preserve">, </w:t>
      </w:r>
      <w:r>
        <w:rPr>
          <w:rtl w:val="true"/>
        </w:rPr>
        <w:t>והוא מי שדר גבי נהר פרת</w:t>
      </w:r>
      <w:r>
        <w:rPr>
          <w:rtl w:val="true"/>
        </w:rPr>
        <w:t>.</w:t>
      </w:r>
    </w:p>
  </w:footnote>
  <w:footnote w:id="40">
    <w:p>
      <w:pPr>
        <w:pStyle w:val="Footnote"/>
        <w:rPr>
          <w:b/>
          <w:bCs/>
        </w:rPr>
      </w:pPr>
      <w:r>
        <w:rPr>
          <w:rStyle w:val="FootnoteCharacters"/>
        </w:rPr>
        <w:t xml:space="preserve"> </w:t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מתי מתחילים לשאול בא“י בזמן שבהמ“ק קיים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9"/>
        </w:numPr>
        <w:rPr>
          <w:b/>
          <w:bCs/>
        </w:rPr>
      </w:pPr>
      <w:r>
        <w:rPr>
          <w:b w:val="false"/>
          <w:b w:val="false"/>
          <w:bCs w:val="false"/>
          <w:rtl w:val="true"/>
        </w:rPr>
        <w:t>חולקים ת“ק ור“ג אם מתחילים מיום שלישי או שביעי של חשוון</w:t>
      </w:r>
      <w:r>
        <w:rPr>
          <w:b w:val="false"/>
          <w:bCs w:val="false"/>
          <w:rtl w:val="true"/>
        </w:rPr>
        <w:t>.</w:t>
      </w:r>
    </w:p>
    <w:p>
      <w:pPr>
        <w:pStyle w:val="Footnote"/>
        <w:rPr>
          <w:b w:val="false"/>
          <w:bCs w:val="false"/>
        </w:rPr>
      </w:pPr>
      <w:r>
        <w:rPr>
          <w:b/>
          <w:bCs/>
          <w:rtl w:val="true"/>
        </w:rPr>
      </w:r>
    </w:p>
  </w:footnote>
  <w:footnote w:id="41">
    <w:p>
      <w:pPr>
        <w:pStyle w:val="Footnote"/>
        <w:rPr>
          <w:b/>
          <w:bCs/>
        </w:rPr>
      </w:pPr>
      <w:r>
        <w:rPr>
          <w:rStyle w:val="FootnoteCharacters"/>
        </w:rPr>
        <w:t xml:space="preserve"> </w:t>
      </w:r>
      <w:r>
        <w:rPr>
          <w:b/>
          <w:b/>
          <w:bCs/>
          <w:rtl w:val="true"/>
        </w:rPr>
        <w:tab/>
        <w:t>משנה ד</w:t>
      </w:r>
    </w:p>
  </w:footnote>
  <w:footnote w:id="42">
    <w:p>
      <w:pPr>
        <w:pStyle w:val="Footnote"/>
        <w:rPr/>
      </w:pPr>
      <w:r>
        <w:rPr>
          <w:rStyle w:val="FootnoteCharacters"/>
        </w:rPr>
        <w:t xml:space="preserve"> </w:t>
      </w:r>
      <w:r>
        <w:rPr>
          <w:rtl w:val="true"/>
        </w:rPr>
        <w:tab/>
        <w:t>אם לא ירדו גשמים</w:t>
      </w:r>
      <w:r>
        <w:rPr>
          <w:rtl w:val="true"/>
        </w:rPr>
        <w:t xml:space="preserve">, </w:t>
      </w:r>
      <w:r>
        <w:rPr>
          <w:rtl w:val="true"/>
        </w:rPr>
        <w:t>צריכים להתפלל לה’ שיוריד גשמים</w:t>
      </w:r>
      <w:r>
        <w:rPr>
          <w:rtl w:val="true"/>
        </w:rPr>
        <w:t xml:space="preserve">. </w:t>
      </w:r>
      <w:r>
        <w:rPr>
          <w:rtl w:val="true"/>
        </w:rPr>
        <w:t>לא רק מתפללים</w:t>
      </w:r>
      <w:r>
        <w:rPr>
          <w:rtl w:val="true"/>
        </w:rPr>
        <w:t xml:space="preserve">, </w:t>
      </w:r>
      <w:r>
        <w:rPr>
          <w:rtl w:val="true"/>
        </w:rPr>
        <w:t>אלא אף מתענים תענות</w:t>
      </w:r>
      <w:r>
        <w:rPr>
          <w:rtl w:val="true"/>
        </w:rPr>
        <w:t xml:space="preserve">. </w:t>
      </w:r>
      <w:r>
        <w:rPr>
          <w:rtl w:val="true"/>
        </w:rPr>
        <w:t>משניות יבארו סדר התעניות</w:t>
      </w:r>
      <w:r>
        <w:rPr>
          <w:rtl w:val="true"/>
        </w:rPr>
        <w:t xml:space="preserve">. </w:t>
      </w:r>
      <w:r>
        <w:rPr>
          <w:rtl w:val="true"/>
        </w:rPr>
        <w:t>תעניות הראשונות מבוארים במשנה שלנו</w:t>
      </w:r>
      <w:r>
        <w:rPr>
          <w:rtl w:val="true"/>
        </w:rPr>
        <w:t xml:space="preserve">. </w:t>
      </w:r>
      <w:r>
        <w:rPr>
          <w:rtl w:val="true"/>
        </w:rPr>
        <w:t>הם חלוקים משאר התעניות במה שאינם חיובים על הכל</w:t>
      </w:r>
      <w:r>
        <w:rPr>
          <w:rtl w:val="true"/>
        </w:rPr>
        <w:t xml:space="preserve">, </w:t>
      </w:r>
      <w:r>
        <w:rPr>
          <w:rtl w:val="true"/>
        </w:rPr>
        <w:t>כשאר תעניות</w:t>
      </w:r>
      <w:r>
        <w:rPr>
          <w:rtl w:val="true"/>
        </w:rPr>
        <w:t xml:space="preserve">, </w:t>
      </w:r>
      <w:r>
        <w:rPr>
          <w:rtl w:val="true"/>
        </w:rPr>
        <w:t>אלא הם רק מצוה</w:t>
      </w:r>
      <w:r>
        <w:rPr>
          <w:rtl w:val="true"/>
        </w:rPr>
        <w:t xml:space="preserve">^ </w:t>
      </w:r>
      <w:r>
        <w:rPr>
          <w:rtl w:val="true"/>
        </w:rPr>
        <w:t>לת“ח</w:t>
      </w:r>
      <w:r>
        <w:rPr>
          <w:rtl w:val="true"/>
        </w:rPr>
        <w:t>.</w:t>
      </w:r>
    </w:p>
  </w:footnote>
  <w:footnote w:id="4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ששבעה עשר בחשון מה שנקרא רביעה שלישית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הזמן אחרון שבו דרך גשם לבוא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לא בא מאז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מתענים</w:t>
      </w:r>
      <w:r>
        <w:rPr>
          <w:b w:val="false"/>
          <w:bCs w:val="false"/>
          <w:rtl w:val="true"/>
        </w:rPr>
        <w:t xml:space="preserve">. </w:t>
      </w:r>
    </w:p>
    <w:p>
      <w:pPr>
        <w:pStyle w:val="Footnote"/>
        <w:rPr/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משנה שלנו סובר שזמן רביעה שלישית הוא יז בחשון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חלקו תנאים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שכך הוא שיטת רבי מאיר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רבי יהודה אומר שהוא כג בחשון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ורבי יוסי אומר שהוא ר“ח כסלו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הלכה כרבי יוסי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כן פוסק גמ’ שלנו ללשון אחד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או כרבי יהודה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כן גו’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לאותו לשון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וכן נ’ שייצא מלשון שני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עיין בשאלות לשאול על שאלה</w:t>
      </w:r>
      <w:r>
        <w:rPr>
          <w:b w:val="false"/>
          <w:bCs w:val="false"/>
          <w:rtl w:val="true"/>
        </w:rPr>
        <w:t xml:space="preserve">)).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.)</w:t>
      </w:r>
    </w:p>
  </w:footnote>
  <w:footnote w:id="4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יחדים הוא מי שראוי להימנות פרנס על ציבור </w:t>
      </w:r>
      <w:r>
        <w:rPr>
          <w:rtl w:val="true"/>
        </w:rPr>
        <w:t>(</w:t>
      </w:r>
      <w:r>
        <w:rPr>
          <w:rtl w:val="true"/>
        </w:rPr>
        <w:t>הוא מי שיכול להשיב לכל תלמידיו על כל שאלותיהם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>:)</w:t>
      </w:r>
    </w:p>
  </w:footnote>
  <w:footnote w:id="4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רוצים</w:t>
      </w:r>
      <w:r>
        <w:rPr>
          <w:rtl w:val="true"/>
        </w:rPr>
        <w:t xml:space="preserve">, </w:t>
      </w:r>
      <w:r>
        <w:rPr>
          <w:rtl w:val="true"/>
        </w:rPr>
        <w:t xml:space="preserve">יכולים אחרים  להתענות </w:t>
      </w:r>
      <w:r>
        <w:rPr>
          <w:rtl w:val="true"/>
        </w:rPr>
        <w:t>(</w:t>
      </w:r>
      <w:r>
        <w:rPr>
          <w:rtl w:val="true"/>
        </w:rPr>
        <w:t>ואין בו יוהרא</w:t>
      </w:r>
      <w:r>
        <w:rPr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חול’ תנאים אם רק תלמידים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מי שמשיב על שאלה</w:t>
      </w:r>
      <w:r>
        <w:rPr>
          <w:b w:val="false"/>
          <w:bCs w:val="false"/>
          <w:rtl w:val="true"/>
        </w:rPr>
        <w:t xml:space="preserve">^) </w:t>
      </w:r>
      <w:r>
        <w:rPr>
          <w:b w:val="false"/>
          <w:b w:val="false"/>
          <w:bCs w:val="false"/>
          <w:rtl w:val="true"/>
        </w:rPr>
        <w:t xml:space="preserve">או בכל אדם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כיון שהוא דבר של צער</w:t>
      </w:r>
      <w:r>
        <w:rPr>
          <w:b w:val="false"/>
          <w:bCs w:val="false"/>
          <w:rtl w:val="true"/>
        </w:rPr>
        <w:t>).</w:t>
      </w:r>
      <w:r>
        <w:rPr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>:)</w:t>
      </w:r>
    </w:p>
  </w:footnote>
  <w:footnote w:id="46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 xml:space="preserve">מכאן ואילך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קרוב לדף י</w:t>
      </w:r>
      <w:r>
        <w:rPr>
          <w:b/>
          <w:bCs/>
          <w:rtl w:val="true"/>
        </w:rPr>
        <w:t xml:space="preserve">) </w:t>
      </w:r>
      <w:r>
        <w:rPr>
          <w:b/>
          <w:b/>
          <w:bCs/>
          <w:rtl w:val="true"/>
        </w:rPr>
        <w:t>צריך להמשיך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tl w:val="true"/>
      </w:rPr>
      <w:t>שי</w:t>
    </w:r>
    <w:r>
      <w:rPr>
        <w:rtl w:val="true"/>
      </w:rPr>
      <w:t>"</w:t>
    </w:r>
    <w:r>
      <w:rPr>
        <w:rtl w:val="true"/>
      </w:rPr>
      <w:t>ח ש</w:t>
    </w:r>
    <w:r>
      <w:rPr>
        <w:rtl w:val="true"/>
      </w:rPr>
      <w:t>"</w:t>
    </w:r>
    <w:r>
      <w:rPr>
        <w:rtl w:val="true"/>
      </w:rPr>
      <w:t>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righ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right"/>
      <w:pPr>
        <w:tabs>
          <w:tab w:val="num" w:pos="2160"/>
        </w:tabs>
        <w:ind w:left="2160" w:hanging="360"/>
      </w:pPr>
      <w:rPr/>
    </w:lvl>
    <w:lvl w:ilvl="4">
      <w:start w:val="1"/>
      <w:numFmt w:val="decimal"/>
      <w:lvlText w:val="%5."/>
      <w:lvlJc w:val="right"/>
      <w:pPr>
        <w:tabs>
          <w:tab w:val="num" w:pos="2520"/>
        </w:tabs>
        <w:ind w:left="2520" w:hanging="360"/>
      </w:pPr>
      <w:rPr/>
    </w:lvl>
    <w:lvl w:ilvl="5">
      <w:start w:val="1"/>
      <w:numFmt w:val="decimal"/>
      <w:lvlText w:val="%6."/>
      <w:lvlJc w:val="right"/>
      <w:pPr>
        <w:tabs>
          <w:tab w:val="num" w:pos="2880"/>
        </w:tabs>
        <w:ind w:left="2880" w:hanging="360"/>
      </w:pPr>
      <w:rPr/>
    </w:lvl>
    <w:lvl w:ilvl="6">
      <w:start w:val="1"/>
      <w:numFmt w:val="decimal"/>
      <w:lvlText w:val="%7."/>
      <w:lvlJc w:val="right"/>
      <w:pPr>
        <w:tabs>
          <w:tab w:val="num" w:pos="3240"/>
        </w:tabs>
        <w:ind w:left="3240" w:hanging="360"/>
      </w:pPr>
      <w:rPr/>
    </w:lvl>
    <w:lvl w:ilvl="7">
      <w:start w:val="1"/>
      <w:numFmt w:val="decimal"/>
      <w:lvlText w:val="%8."/>
      <w:lvlJc w:val="right"/>
      <w:pPr>
        <w:tabs>
          <w:tab w:val="num" w:pos="3600"/>
        </w:tabs>
        <w:ind w:left="3600" w:hanging="360"/>
      </w:pPr>
      <w:rPr/>
    </w:lvl>
    <w:lvl w:ilvl="8">
      <w:start w:val="1"/>
      <w:numFmt w:val="decimal"/>
      <w:lvlText w:val="%9."/>
      <w:lvlJc w:val="right"/>
      <w:pPr>
        <w:tabs>
          <w:tab w:val="num" w:pos="3960"/>
        </w:tabs>
        <w:ind w:left="3960" w:hanging="360"/>
      </w:pPr>
      <w:rPr/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a7bec"/>
    <w:pPr>
      <w:widowControl/>
      <w:suppressAutoHyphens w:val="true"/>
      <w:bidi w:val="1"/>
      <w:spacing w:lineRule="auto" w:line="259" w:before="0" w:after="160"/>
      <w:jc w:val="left"/>
    </w:pPr>
    <w:rPr>
      <w:rFonts w:ascii="Calibri" w:hAnsi="Calibri" w:eastAsia="Calibri" w:cs="Shofar" w:asciiTheme="minorHAnsi" w:eastAsiaTheme="minorHAnsi" w:hAnsiTheme="minorHAns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dc1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Shofar" w:asciiTheme="majorHAns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dc1"/>
    <w:pPr>
      <w:keepNext w:val="true"/>
      <w:keepLines/>
      <w:spacing w:before="40" w:after="0"/>
      <w:outlineLvl w:val="1"/>
    </w:pPr>
    <w:rPr>
      <w:rFonts w:ascii="Calibri Light" w:hAnsi="Calibri Light" w:eastAsia="" w:cs="Shofar" w:asciiTheme="majorHAnsi" w:eastAsiaTheme="majorEastAsia" w:hAnsiTheme="majorHAnsi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a0dc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a0dc1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a0dc1"/>
    <w:rPr>
      <w:rFonts w:ascii="Calibri Light" w:hAnsi="Calibri Light" w:eastAsia="" w:cs="Times New Roman" w:asciiTheme="majorHAnsi" w:cstheme="majorBidi" w:eastAsiaTheme="majorEastAsia" w:hAnsiTheme="majorHAnsi"/>
      <w:b/>
      <w:bCs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a0dc1"/>
    <w:rPr>
      <w:rFonts w:ascii="Calibri Light" w:hAnsi="Calibri Light" w:eastAsia="" w:cs="Times New Roman" w:asciiTheme="majorHAnsi" w:cstheme="majorBidi" w:eastAsiaTheme="majorEastAsia" w:hAnsiTheme="majorHAnsi"/>
      <w:b/>
      <w:bCs/>
      <w:sz w:val="28"/>
      <w:szCs w:val="28"/>
    </w:rPr>
  </w:style>
  <w:style w:type="character" w:styleId="FootnoteTextChar" w:customStyle="1">
    <w:name w:val="Footnote Text Char"/>
    <w:basedOn w:val="DefaultParagraphFont"/>
    <w:link w:val="Footnote"/>
    <w:uiPriority w:val="99"/>
    <w:semiHidden/>
    <w:qFormat/>
    <w:rsid w:val="00ea0dc1"/>
    <w:rPr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ea0dc1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LineNumbering">
    <w:name w:val="Line Number"/>
    <w:rPr/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a0dc1"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a0dc1"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Footnote">
    <w:name w:val="Footnote Text"/>
    <w:basedOn w:val="Normal"/>
    <w:link w:val="FootnoteTextChar"/>
    <w:uiPriority w:val="99"/>
    <w:semiHidden/>
    <w:unhideWhenUsed/>
    <w:rsid w:val="00ea0dc1"/>
    <w:pPr>
      <w:tabs>
        <w:tab w:val="clear" w:pos="720"/>
      </w:tabs>
      <w:spacing w:lineRule="auto" w:line="240" w:before="0" w:after="0"/>
      <w:ind w:left="346" w:right="0" w:hanging="346"/>
    </w:pPr>
    <w:rPr>
      <w:rFonts w:cs="Shofar"/>
      <w:bCs w:val="false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1598</TotalTime>
  <Application>LibreOffice/7.5.3.2$Windows_X86_64 LibreOffice_project/9f56dff12ba03b9acd7730a5a481eea045e468f3</Application>
  <AppVersion>15.0000</AppVersion>
  <Pages>4</Pages>
  <Words>1820</Words>
  <Characters>7724</Characters>
  <CharactersWithSpaces>9470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2023-07-02T16:21:00Z</dcterms:created>
  <dc:creator>שי הכהן</dc:creator>
  <dc:description/>
  <dc:language>en-US</dc:language>
  <cp:lastModifiedBy>שאול יואל הכהן חייט</cp:lastModifiedBy>
  <dcterms:modified xsi:type="dcterms:W3CDTF">2023-07-17T20:07:29Z</dcterms:modified>
  <cp:revision>122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