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59C7BA" w14:textId="7281830F" w:rsidR="00A34421" w:rsidRDefault="00756C13" w:rsidP="00756C13">
      <w:pPr>
        <w:pStyle w:val="Heading1"/>
        <w:rPr>
          <w:rtl/>
          <w:lang w:bidi="he-IL"/>
        </w:rPr>
      </w:pPr>
      <w:r>
        <w:rPr>
          <w:rFonts w:hint="cs"/>
          <w:rtl/>
          <w:lang w:bidi="he-IL"/>
        </w:rPr>
        <w:t>פרק ראשון</w:t>
      </w:r>
      <w:r w:rsidR="0086669A">
        <w:rPr>
          <w:rStyle w:val="FootnoteReference"/>
          <w:rtl/>
          <w:lang w:bidi="he-IL"/>
        </w:rPr>
        <w:footnoteReference w:id="1"/>
      </w:r>
    </w:p>
    <w:p w14:paraId="38B99757" w14:textId="28B2AEA0" w:rsidR="00756C13" w:rsidRDefault="00756C13" w:rsidP="00756C13">
      <w:pPr>
        <w:pStyle w:val="Heading2"/>
        <w:rPr>
          <w:rtl/>
          <w:lang w:bidi="he-IL"/>
        </w:rPr>
      </w:pPr>
      <w:r>
        <w:rPr>
          <w:rFonts w:hint="cs"/>
          <w:rtl/>
          <w:lang w:bidi="he-IL"/>
        </w:rPr>
        <w:t>משנה א</w:t>
      </w:r>
      <w:r w:rsidR="0086669A">
        <w:rPr>
          <w:rStyle w:val="FootnoteReference"/>
          <w:rtl/>
          <w:lang w:bidi="he-IL"/>
        </w:rPr>
        <w:footnoteReference w:id="2"/>
      </w:r>
      <w:r>
        <w:rPr>
          <w:rFonts w:hint="cs"/>
          <w:rtl/>
          <w:lang w:bidi="he-IL"/>
        </w:rPr>
        <w:t>:</w:t>
      </w:r>
    </w:p>
    <w:p w14:paraId="6941C613" w14:textId="6C15A17F" w:rsidR="00756C13" w:rsidRPr="00756C13" w:rsidRDefault="00756C13" w:rsidP="00756C13">
      <w:pPr>
        <w:rPr>
          <w:rFonts w:hint="cs"/>
          <w:lang w:bidi="he-IL"/>
        </w:rPr>
      </w:pPr>
      <w:r w:rsidRPr="00756C13">
        <w:rPr>
          <w:rtl/>
          <w:lang w:bidi="he-IL"/>
        </w:rPr>
        <w:t>כֵּיצַד הָעֵדִים נַעֲשִׂים זוֹמְמִין</w:t>
      </w:r>
      <w:r>
        <w:rPr>
          <w:rStyle w:val="FootnoteReference"/>
          <w:rtl/>
          <w:lang w:bidi="he-IL"/>
        </w:rPr>
        <w:footnoteReference w:id="3"/>
      </w:r>
      <w:r w:rsidRPr="00756C13">
        <w:rPr>
          <w:rtl/>
          <w:lang w:bidi="he-IL"/>
        </w:rPr>
        <w:t>, מְעִידִין אָנוּ בְאִישׁ פְּלוֹנִי שֶׁהוּא בֶן גְּרוּשָׁה</w:t>
      </w:r>
      <w:r w:rsidR="008F0806">
        <w:rPr>
          <w:rStyle w:val="FootnoteReference"/>
          <w:rtl/>
          <w:lang w:bidi="he-IL"/>
        </w:rPr>
        <w:footnoteReference w:id="4"/>
      </w:r>
      <w:r w:rsidRPr="00756C13">
        <w:rPr>
          <w:rtl/>
          <w:lang w:bidi="he-IL"/>
        </w:rPr>
        <w:t xml:space="preserve"> אוֹ בֶן חֲלוּצָה</w:t>
      </w:r>
      <w:r w:rsidR="00EB5BB2">
        <w:rPr>
          <w:rStyle w:val="FootnoteReference"/>
          <w:rtl/>
          <w:lang w:bidi="he-IL"/>
        </w:rPr>
        <w:footnoteReference w:id="5"/>
      </w:r>
      <w:r w:rsidRPr="00756C13">
        <w:rPr>
          <w:rtl/>
          <w:lang w:bidi="he-IL"/>
        </w:rPr>
        <w:t>, אֵין אוֹמְרִים יֵעָשֶׂה זֶה</w:t>
      </w:r>
      <w:r w:rsidR="0010549A">
        <w:rPr>
          <w:rStyle w:val="FootnoteReference"/>
          <w:rtl/>
          <w:lang w:bidi="he-IL"/>
        </w:rPr>
        <w:footnoteReference w:id="6"/>
      </w:r>
      <w:r w:rsidRPr="00756C13">
        <w:rPr>
          <w:rtl/>
          <w:lang w:bidi="he-IL"/>
        </w:rPr>
        <w:t xml:space="preserve"> בֶן גְּרוּשָׁה אוֹ בֶן חֲלוּצָה תַחְתָּיו</w:t>
      </w:r>
      <w:r w:rsidR="008541A5">
        <w:rPr>
          <w:rStyle w:val="FootnoteReference"/>
          <w:rtl/>
          <w:lang w:bidi="he-IL"/>
        </w:rPr>
        <w:footnoteReference w:id="7"/>
      </w:r>
      <w:r w:rsidRPr="00756C13">
        <w:rPr>
          <w:rtl/>
          <w:lang w:bidi="he-IL"/>
        </w:rPr>
        <w:t>, אֶלָּא לוֹקֶה אַרְבָּעִים</w:t>
      </w:r>
      <w:r w:rsidR="005B73B7">
        <w:rPr>
          <w:rStyle w:val="FootnoteReference"/>
          <w:rtl/>
          <w:lang w:bidi="he-IL"/>
        </w:rPr>
        <w:footnoteReference w:id="8"/>
      </w:r>
      <w:r w:rsidRPr="00756C13">
        <w:rPr>
          <w:rtl/>
          <w:lang w:bidi="he-IL"/>
        </w:rPr>
        <w:t>. מְעִידִין אָנוּ בְאִישׁ פְּלוֹנִי שֶׁהוּא חַיָּב לִגְלוֹת</w:t>
      </w:r>
      <w:r w:rsidR="00D834DD">
        <w:rPr>
          <w:rStyle w:val="FootnoteReference"/>
          <w:rtl/>
          <w:lang w:bidi="he-IL"/>
        </w:rPr>
        <w:footnoteReference w:id="9"/>
      </w:r>
      <w:r w:rsidRPr="00756C13">
        <w:rPr>
          <w:rtl/>
          <w:lang w:bidi="he-IL"/>
        </w:rPr>
        <w:t>, אֵין אוֹמְרִים יִגְלֶה זֶה תַחְתָּיו</w:t>
      </w:r>
      <w:r w:rsidR="006A1A22">
        <w:rPr>
          <w:rStyle w:val="FootnoteReference"/>
          <w:rtl/>
          <w:lang w:bidi="he-IL"/>
        </w:rPr>
        <w:footnoteReference w:id="10"/>
      </w:r>
      <w:r w:rsidRPr="00756C13">
        <w:rPr>
          <w:rtl/>
          <w:lang w:bidi="he-IL"/>
        </w:rPr>
        <w:t>, אֶלָּא לוֹקֶה אַרְבָּעִים. מְעִידִין אָנוּ בְאִישׁ פְּלוֹנִי שֶׁגֵּרַשׁ אֶת אִשְׁתּוֹ וְלֹא נָתַן לָהּ כְּתֻבָּתָהּ</w:t>
      </w:r>
      <w:r w:rsidR="005F07A9">
        <w:rPr>
          <w:rStyle w:val="FootnoteReference"/>
          <w:rtl/>
          <w:lang w:bidi="he-IL"/>
        </w:rPr>
        <w:footnoteReference w:id="11"/>
      </w:r>
      <w:r w:rsidRPr="00756C13">
        <w:rPr>
          <w:rtl/>
          <w:lang w:bidi="he-IL"/>
        </w:rPr>
        <w:t>, וַהֲלֹא בֵּין הַיּוֹם וּבֵין לְמָחָר סוֹפוֹ לִתֵּן לָהּ כְּתֻבָּתָהּ</w:t>
      </w:r>
      <w:r w:rsidR="00CE18AB">
        <w:rPr>
          <w:rStyle w:val="FootnoteReference"/>
          <w:rtl/>
          <w:lang w:bidi="he-IL"/>
        </w:rPr>
        <w:footnoteReference w:id="12"/>
      </w:r>
      <w:r w:rsidRPr="00756C13">
        <w:rPr>
          <w:rtl/>
          <w:lang w:bidi="he-IL"/>
        </w:rPr>
        <w:t>, אוֹמְדִין כַּמָּה אָדָם רוֹצֶה לִתֵּן בִּכְתֻבָּתָהּ</w:t>
      </w:r>
      <w:r w:rsidR="00DB7376">
        <w:rPr>
          <w:rStyle w:val="FootnoteReference"/>
          <w:rtl/>
          <w:lang w:bidi="he-IL"/>
        </w:rPr>
        <w:footnoteReference w:id="13"/>
      </w:r>
      <w:r w:rsidRPr="00756C13">
        <w:rPr>
          <w:rtl/>
          <w:lang w:bidi="he-IL"/>
        </w:rPr>
        <w:t xml:space="preserve"> שֶׁל זוֹ, שֶׁאִם נִתְאַלְמְנָה אוֹ נִתְגָּרְשָׁה</w:t>
      </w:r>
      <w:r w:rsidR="007A332B">
        <w:rPr>
          <w:rStyle w:val="FootnoteReference"/>
          <w:rtl/>
          <w:lang w:bidi="he-IL"/>
        </w:rPr>
        <w:footnoteReference w:id="14"/>
      </w:r>
      <w:r w:rsidRPr="00756C13">
        <w:rPr>
          <w:rtl/>
          <w:lang w:bidi="he-IL"/>
        </w:rPr>
        <w:t>, וְאִם מֵתָה יִירָשֶׁנָּה בַעְלָהּ</w:t>
      </w:r>
      <w:r w:rsidR="00603675">
        <w:rPr>
          <w:rStyle w:val="FootnoteReference"/>
          <w:rtl/>
          <w:lang w:bidi="he-IL"/>
        </w:rPr>
        <w:footnoteReference w:id="15"/>
      </w:r>
      <w:r w:rsidRPr="00756C13">
        <w:rPr>
          <w:rtl/>
          <w:lang w:bidi="he-IL"/>
        </w:rPr>
        <w:t xml:space="preserve">. מְעִידִין אָנוּ בְאִישׁ פְּלוֹנִי שֶׁהוּא חַיָּב לַחֲבֵרוֹ אֶלֶף זוּז עַל מְנָת לִתְּנָן לוֹ מִכָּאן וְעַד שְׁלשִׁים </w:t>
      </w:r>
      <w:r w:rsidRPr="00756C13">
        <w:rPr>
          <w:rtl/>
          <w:lang w:bidi="he-IL"/>
        </w:rPr>
        <w:lastRenderedPageBreak/>
        <w:t>יוֹם, וְהוּא אוֹמֵר מִכָּאן וְעַד עֶשֶׂר שָׁנִים</w:t>
      </w:r>
      <w:r w:rsidR="00652167">
        <w:rPr>
          <w:rStyle w:val="FootnoteReference"/>
          <w:rtl/>
          <w:lang w:bidi="he-IL"/>
        </w:rPr>
        <w:footnoteReference w:id="16"/>
      </w:r>
      <w:r w:rsidRPr="00756C13">
        <w:rPr>
          <w:rtl/>
          <w:lang w:bidi="he-IL"/>
        </w:rPr>
        <w:t>, אוֹמְדִין כַּמָּה אָדָם רוֹצֶה לִתֵּן וְיִהְיוּ בְיָדוֹ אֶלֶף זוּז, בֵּין נוֹתְנָן מִכָּאן וְעַד שְׁלשִׁים יוֹם, בֵּין נוֹתְנָן מִכָּאן וְעַד עֶשֶׂר שָׁנִים</w:t>
      </w:r>
      <w:r w:rsidR="006939ED">
        <w:rPr>
          <w:rStyle w:val="FootnoteReference"/>
          <w:rtl/>
          <w:lang w:bidi="he-IL"/>
        </w:rPr>
        <w:footnoteReference w:id="17"/>
      </w:r>
      <w:r w:rsidRPr="00756C13">
        <w:rPr>
          <w:rtl/>
          <w:lang w:bidi="he-IL"/>
        </w:rPr>
        <w:t>:</w:t>
      </w:r>
    </w:p>
    <w:sectPr w:rsidR="00756C13" w:rsidRPr="00756C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808356" w14:textId="77777777" w:rsidR="00D5060B" w:rsidRDefault="00D5060B" w:rsidP="00756C13">
      <w:pPr>
        <w:spacing w:line="240" w:lineRule="auto"/>
      </w:pPr>
      <w:r>
        <w:separator/>
      </w:r>
    </w:p>
  </w:endnote>
  <w:endnote w:type="continuationSeparator" w:id="0">
    <w:p w14:paraId="0D553AFD" w14:textId="77777777" w:rsidR="00D5060B" w:rsidRDefault="00D5060B" w:rsidP="00756C1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hofar">
    <w:panose1 w:val="02000000000000000000"/>
    <w:charset w:val="00"/>
    <w:family w:val="auto"/>
    <w:pitch w:val="variable"/>
    <w:sig w:usb0="8000086F" w:usb1="4000204A"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513DD7" w14:textId="77777777" w:rsidR="00D5060B" w:rsidRDefault="00D5060B" w:rsidP="00756C13">
      <w:pPr>
        <w:spacing w:line="240" w:lineRule="auto"/>
      </w:pPr>
      <w:r>
        <w:separator/>
      </w:r>
    </w:p>
  </w:footnote>
  <w:footnote w:type="continuationSeparator" w:id="0">
    <w:p w14:paraId="29788A35" w14:textId="77777777" w:rsidR="00D5060B" w:rsidRDefault="00D5060B" w:rsidP="00756C13">
      <w:pPr>
        <w:spacing w:line="240" w:lineRule="auto"/>
      </w:pPr>
      <w:r>
        <w:continuationSeparator/>
      </w:r>
    </w:p>
  </w:footnote>
  <w:footnote w:id="1">
    <w:p w14:paraId="6D8DCBA2" w14:textId="249FFCD1" w:rsidR="0086669A" w:rsidRPr="0086669A" w:rsidRDefault="0086669A" w:rsidP="0086669A">
      <w:pPr>
        <w:pStyle w:val="FootnoteText"/>
        <w:jc w:val="center"/>
        <w:rPr>
          <w:rFonts w:hint="cs"/>
          <w:b/>
          <w:bCs/>
          <w:lang w:bidi="he-IL"/>
        </w:rPr>
      </w:pPr>
      <w:r>
        <w:rPr>
          <w:rStyle w:val="FootnoteReference"/>
        </w:rPr>
        <w:footnoteRef/>
      </w:r>
      <w:r w:rsidRPr="0086669A">
        <w:rPr>
          <w:rFonts w:cs="Times New Roman" w:hint="cs"/>
          <w:b/>
          <w:bCs/>
          <w:u w:val="single"/>
          <w:rtl/>
          <w:lang w:bidi="he-IL"/>
        </w:rPr>
        <w:t>פרק ראשון</w:t>
      </w:r>
    </w:p>
  </w:footnote>
  <w:footnote w:id="2">
    <w:p w14:paraId="69E1FBA7" w14:textId="3F939BAE" w:rsidR="0086669A" w:rsidRPr="0086669A" w:rsidRDefault="0086669A">
      <w:pPr>
        <w:pStyle w:val="FootnoteText"/>
        <w:rPr>
          <w:rFonts w:hint="cs"/>
          <w:b/>
          <w:bCs/>
          <w:lang w:bidi="he-IL"/>
        </w:rPr>
      </w:pPr>
      <w:r>
        <w:rPr>
          <w:rStyle w:val="FootnoteReference"/>
        </w:rPr>
        <w:footnoteRef/>
      </w:r>
      <w:r>
        <w:rPr>
          <w:rFonts w:cs="Times New Roman"/>
          <w:rtl/>
        </w:rPr>
        <w:t xml:space="preserve"> </w:t>
      </w:r>
      <w:r>
        <w:rPr>
          <w:rFonts w:cs="Times New Roman" w:hint="cs"/>
          <w:b/>
          <w:bCs/>
          <w:rtl/>
          <w:lang w:bidi="he-IL"/>
        </w:rPr>
        <w:t>משנה א:</w:t>
      </w:r>
    </w:p>
  </w:footnote>
  <w:footnote w:id="3">
    <w:p w14:paraId="0FAAE468" w14:textId="5005BCFC" w:rsidR="00756C13" w:rsidRPr="004D56E4" w:rsidRDefault="00756C13">
      <w:pPr>
        <w:pStyle w:val="FootnoteText"/>
        <w:rPr>
          <w:rFonts w:asciiTheme="majorBidi" w:hAnsiTheme="majorBidi" w:cstheme="majorBidi"/>
          <w:b/>
          <w:bCs/>
          <w:u w:val="single"/>
          <w:lang w:bidi="he-IL"/>
        </w:rPr>
      </w:pPr>
      <w:r w:rsidRPr="004D56E4">
        <w:rPr>
          <w:rStyle w:val="FootnoteReference"/>
          <w:rFonts w:asciiTheme="majorBidi" w:hAnsiTheme="majorBidi" w:cstheme="majorBidi"/>
        </w:rPr>
        <w:footnoteRef/>
      </w:r>
      <w:r w:rsidRPr="004D56E4">
        <w:rPr>
          <w:rFonts w:asciiTheme="majorBidi" w:hAnsiTheme="majorBidi" w:cstheme="majorBidi"/>
          <w:rtl/>
        </w:rPr>
        <w:t xml:space="preserve"> </w:t>
      </w:r>
      <w:r w:rsidRPr="004D56E4">
        <w:rPr>
          <w:rFonts w:asciiTheme="majorBidi" w:hAnsiTheme="majorBidi" w:cstheme="majorBidi"/>
          <w:rtl/>
          <w:lang w:bidi="he-IL"/>
        </w:rPr>
        <w:t xml:space="preserve">גמ' מפרש </w:t>
      </w:r>
      <w:r w:rsidRPr="004D56E4">
        <w:rPr>
          <w:rFonts w:asciiTheme="majorBidi" w:hAnsiTheme="majorBidi" w:cstheme="majorBidi"/>
          <w:b/>
          <w:bCs/>
          <w:u w:val="single"/>
          <w:rtl/>
          <w:lang w:bidi="he-IL"/>
        </w:rPr>
        <w:t>(ב.)</w:t>
      </w:r>
      <w:r w:rsidRPr="004D56E4">
        <w:rPr>
          <w:rFonts w:asciiTheme="majorBidi" w:hAnsiTheme="majorBidi" w:cstheme="majorBidi"/>
          <w:rtl/>
          <w:lang w:bidi="he-IL"/>
        </w:rPr>
        <w:t xml:space="preserve"> שבאמת לא כל כך נעשים זוממים כאן, שלא עושים להם כאשר זממו. אבל, משנה זה ממשיך ממשנה אחרת שהיה דן בעדים זוממים- משנה בסוף סנהדרין מסביר שאף שע"ז מקבלים דין שזממו, ע"ז על בת כהן מקבלים דין שזממו על הבועל, וממשיך משנה זו לבאר עדים אחרים שלא מקבלים דין כאש"ז בכלל- משתמש באותו לשון של "זוממים."</w:t>
      </w:r>
    </w:p>
  </w:footnote>
  <w:footnote w:id="4">
    <w:p w14:paraId="4A7B92CD" w14:textId="0BCCDB0E" w:rsidR="008F0806" w:rsidRPr="004D56E4" w:rsidRDefault="008F0806">
      <w:pPr>
        <w:pStyle w:val="FootnoteText"/>
        <w:rPr>
          <w:rFonts w:asciiTheme="majorBidi" w:hAnsiTheme="majorBidi" w:cstheme="majorBidi"/>
          <w:lang w:bidi="he-IL"/>
        </w:rPr>
      </w:pPr>
      <w:r w:rsidRPr="004D56E4">
        <w:rPr>
          <w:rStyle w:val="FootnoteReference"/>
          <w:rFonts w:asciiTheme="majorBidi" w:hAnsiTheme="majorBidi" w:cstheme="majorBidi"/>
        </w:rPr>
        <w:footnoteRef/>
      </w:r>
      <w:r w:rsidRPr="004D56E4">
        <w:rPr>
          <w:rFonts w:asciiTheme="majorBidi" w:hAnsiTheme="majorBidi" w:cstheme="majorBidi"/>
          <w:rtl/>
        </w:rPr>
        <w:t xml:space="preserve"> </w:t>
      </w:r>
      <w:r w:rsidR="00B648E1" w:rsidRPr="004D56E4">
        <w:rPr>
          <w:rFonts w:asciiTheme="majorBidi" w:hAnsiTheme="majorBidi" w:cstheme="majorBidi"/>
          <w:rtl/>
          <w:lang w:bidi="he-IL"/>
        </w:rPr>
        <w:t xml:space="preserve">אמו נתגרשה קודם שנתעברה עמו, ואז </w:t>
      </w:r>
      <w:r w:rsidRPr="004D56E4">
        <w:rPr>
          <w:rFonts w:asciiTheme="majorBidi" w:hAnsiTheme="majorBidi" w:cstheme="majorBidi"/>
          <w:rtl/>
          <w:lang w:bidi="he-IL"/>
        </w:rPr>
        <w:t xml:space="preserve">הוא </w:t>
      </w:r>
      <w:r w:rsidR="00677A5C" w:rsidRPr="004D56E4">
        <w:rPr>
          <w:rFonts w:asciiTheme="majorBidi" w:hAnsiTheme="majorBidi" w:cstheme="majorBidi"/>
          <w:rtl/>
          <w:lang w:bidi="he-IL"/>
        </w:rPr>
        <w:t xml:space="preserve">וזרעו </w:t>
      </w:r>
      <w:r w:rsidRPr="004D56E4">
        <w:rPr>
          <w:rFonts w:asciiTheme="majorBidi" w:hAnsiTheme="majorBidi" w:cstheme="majorBidi"/>
          <w:rtl/>
          <w:lang w:bidi="he-IL"/>
        </w:rPr>
        <w:t>חלל</w:t>
      </w:r>
      <w:r w:rsidR="00677A5C" w:rsidRPr="004D56E4">
        <w:rPr>
          <w:rFonts w:asciiTheme="majorBidi" w:hAnsiTheme="majorBidi" w:cstheme="majorBidi"/>
          <w:rtl/>
          <w:lang w:bidi="he-IL"/>
        </w:rPr>
        <w:t>ים.</w:t>
      </w:r>
      <w:r w:rsidRPr="004D56E4">
        <w:rPr>
          <w:rFonts w:asciiTheme="majorBidi" w:hAnsiTheme="majorBidi" w:cstheme="majorBidi"/>
          <w:rtl/>
          <w:lang w:bidi="he-IL"/>
        </w:rPr>
        <w:t xml:space="preserve"> (כהן שנפסל</w:t>
      </w:r>
      <w:r w:rsidR="00677A5C" w:rsidRPr="004D56E4">
        <w:rPr>
          <w:rFonts w:asciiTheme="majorBidi" w:hAnsiTheme="majorBidi" w:cstheme="majorBidi"/>
          <w:rtl/>
          <w:lang w:bidi="he-IL"/>
        </w:rPr>
        <w:t xml:space="preserve"> מדיני כהונה נקרא </w:t>
      </w:r>
      <w:r w:rsidRPr="004D56E4">
        <w:rPr>
          <w:rFonts w:asciiTheme="majorBidi" w:hAnsiTheme="majorBidi" w:cstheme="majorBidi"/>
          <w:rtl/>
          <w:lang w:bidi="he-IL"/>
        </w:rPr>
        <w:t>חלל).</w:t>
      </w:r>
    </w:p>
  </w:footnote>
  <w:footnote w:id="5">
    <w:p w14:paraId="3D117485" w14:textId="24B447DB" w:rsidR="00EB5BB2" w:rsidRPr="004D56E4" w:rsidRDefault="00EB5BB2">
      <w:pPr>
        <w:pStyle w:val="FootnoteText"/>
        <w:rPr>
          <w:rFonts w:asciiTheme="majorBidi" w:hAnsiTheme="majorBidi" w:cstheme="majorBidi"/>
          <w:lang w:bidi="he-IL"/>
        </w:rPr>
      </w:pPr>
      <w:r w:rsidRPr="004D56E4">
        <w:rPr>
          <w:rStyle w:val="FootnoteReference"/>
          <w:rFonts w:asciiTheme="majorBidi" w:hAnsiTheme="majorBidi" w:cstheme="majorBidi"/>
        </w:rPr>
        <w:footnoteRef/>
      </w:r>
      <w:r w:rsidRPr="004D56E4">
        <w:rPr>
          <w:rFonts w:asciiTheme="majorBidi" w:hAnsiTheme="majorBidi" w:cstheme="majorBidi"/>
          <w:rtl/>
        </w:rPr>
        <w:t xml:space="preserve"> </w:t>
      </w:r>
      <w:r w:rsidRPr="004D56E4">
        <w:rPr>
          <w:rFonts w:asciiTheme="majorBidi" w:hAnsiTheme="majorBidi" w:cstheme="majorBidi"/>
          <w:rtl/>
          <w:lang w:bidi="he-IL"/>
        </w:rPr>
        <w:t>אמו חלצה ליבמה קודם שנעברה עמו, ואז הוא וזרעו חללים מדרבנן.</w:t>
      </w:r>
    </w:p>
  </w:footnote>
  <w:footnote w:id="6">
    <w:p w14:paraId="694DD27C" w14:textId="19773A8A" w:rsidR="0010549A" w:rsidRPr="004D56E4" w:rsidRDefault="0010549A">
      <w:pPr>
        <w:pStyle w:val="FootnoteText"/>
        <w:rPr>
          <w:rFonts w:asciiTheme="majorBidi" w:hAnsiTheme="majorBidi" w:cstheme="majorBidi"/>
          <w:lang w:bidi="he-IL"/>
        </w:rPr>
      </w:pPr>
      <w:r w:rsidRPr="004D56E4">
        <w:rPr>
          <w:rStyle w:val="FootnoteReference"/>
          <w:rFonts w:asciiTheme="majorBidi" w:hAnsiTheme="majorBidi" w:cstheme="majorBidi"/>
        </w:rPr>
        <w:footnoteRef/>
      </w:r>
      <w:r w:rsidRPr="004D56E4">
        <w:rPr>
          <w:rFonts w:asciiTheme="majorBidi" w:hAnsiTheme="majorBidi" w:cstheme="majorBidi"/>
          <w:rtl/>
        </w:rPr>
        <w:t xml:space="preserve"> </w:t>
      </w:r>
      <w:r w:rsidRPr="004D56E4">
        <w:rPr>
          <w:rFonts w:asciiTheme="majorBidi" w:hAnsiTheme="majorBidi" w:cstheme="majorBidi"/>
          <w:rtl/>
          <w:lang w:bidi="he-IL"/>
        </w:rPr>
        <w:t xml:space="preserve">באמת, רצה לומר "אלו," ששני העדים נעשים זוממים. וע' בגמ' </w:t>
      </w:r>
      <w:r w:rsidRPr="004D56E4">
        <w:rPr>
          <w:rFonts w:asciiTheme="majorBidi" w:hAnsiTheme="majorBidi" w:cstheme="majorBidi"/>
          <w:b/>
          <w:bCs/>
          <w:u w:val="single"/>
          <w:rtl/>
          <w:lang w:bidi="he-IL"/>
        </w:rPr>
        <w:t>(ג.)</w:t>
      </w:r>
      <w:r w:rsidRPr="004D56E4">
        <w:rPr>
          <w:rFonts w:asciiTheme="majorBidi" w:hAnsiTheme="majorBidi" w:cstheme="majorBidi"/>
          <w:rtl/>
          <w:lang w:bidi="he-IL"/>
        </w:rPr>
        <w:t xml:space="preserve"> שמזכיר מקומות שרק אחד נעשה זומם^.</w:t>
      </w:r>
      <w:r w:rsidR="008541A5" w:rsidRPr="004D56E4">
        <w:rPr>
          <w:rFonts w:asciiTheme="majorBidi" w:hAnsiTheme="majorBidi" w:cstheme="majorBidi"/>
          <w:rtl/>
          <w:lang w:bidi="he-IL"/>
        </w:rPr>
        <w:t xml:space="preserve"> ויש להעיר שאף הקרא נאמר בלשון יחיד ("ועשיתם לו כאשר זמם").</w:t>
      </w:r>
    </w:p>
  </w:footnote>
  <w:footnote w:id="7">
    <w:p w14:paraId="30D6AACC" w14:textId="1E94DDDC" w:rsidR="008541A5" w:rsidRPr="004D56E4" w:rsidRDefault="008541A5">
      <w:pPr>
        <w:pStyle w:val="FootnoteText"/>
        <w:rPr>
          <w:rFonts w:asciiTheme="majorBidi" w:hAnsiTheme="majorBidi" w:cstheme="majorBidi"/>
          <w:rtl/>
          <w:lang w:bidi="he-IL"/>
        </w:rPr>
      </w:pPr>
      <w:r w:rsidRPr="004D56E4">
        <w:rPr>
          <w:rStyle w:val="FootnoteReference"/>
          <w:rFonts w:asciiTheme="majorBidi" w:hAnsiTheme="majorBidi" w:cstheme="majorBidi"/>
        </w:rPr>
        <w:footnoteRef/>
      </w:r>
      <w:r w:rsidRPr="004D56E4">
        <w:rPr>
          <w:rFonts w:asciiTheme="majorBidi" w:hAnsiTheme="majorBidi" w:cstheme="majorBidi"/>
          <w:rtl/>
        </w:rPr>
        <w:t xml:space="preserve"> </w:t>
      </w:r>
      <w:r w:rsidRPr="004D56E4">
        <w:rPr>
          <w:rFonts w:asciiTheme="majorBidi" w:hAnsiTheme="majorBidi" w:cstheme="majorBidi"/>
          <w:rtl/>
          <w:lang w:bidi="he-IL"/>
        </w:rPr>
        <w:t xml:space="preserve">גמ' </w:t>
      </w:r>
      <w:r w:rsidRPr="004D56E4">
        <w:rPr>
          <w:rFonts w:asciiTheme="majorBidi" w:hAnsiTheme="majorBidi" w:cstheme="majorBidi"/>
          <w:b/>
          <w:bCs/>
          <w:u w:val="single"/>
          <w:rtl/>
          <w:lang w:bidi="he-IL"/>
        </w:rPr>
        <w:t>(ב.)</w:t>
      </w:r>
      <w:r w:rsidRPr="004D56E4">
        <w:rPr>
          <w:rFonts w:asciiTheme="majorBidi" w:hAnsiTheme="majorBidi" w:cstheme="majorBidi"/>
          <w:rtl/>
          <w:lang w:bidi="he-IL"/>
        </w:rPr>
        <w:t xml:space="preserve"> נותן שני מקורות לזה</w:t>
      </w:r>
      <w:r w:rsidR="00BF144E" w:rsidRPr="004D56E4">
        <w:rPr>
          <w:rFonts w:asciiTheme="majorBidi" w:hAnsiTheme="majorBidi" w:cstheme="majorBidi"/>
          <w:rtl/>
          <w:lang w:bidi="he-IL"/>
        </w:rPr>
        <w:t>, ורק אחד קיים</w:t>
      </w:r>
      <w:r w:rsidRPr="004D56E4">
        <w:rPr>
          <w:rFonts w:asciiTheme="majorBidi" w:hAnsiTheme="majorBidi" w:cstheme="majorBidi"/>
          <w:rtl/>
          <w:lang w:bidi="he-IL"/>
        </w:rPr>
        <w:t>:</w:t>
      </w:r>
    </w:p>
    <w:p w14:paraId="134807A7" w14:textId="4EA349BC" w:rsidR="008541A5" w:rsidRPr="004D56E4" w:rsidRDefault="008541A5" w:rsidP="008541A5">
      <w:pPr>
        <w:pStyle w:val="FootnoteText"/>
        <w:numPr>
          <w:ilvl w:val="0"/>
          <w:numId w:val="1"/>
        </w:numPr>
        <w:rPr>
          <w:rFonts w:asciiTheme="majorBidi" w:hAnsiTheme="majorBidi" w:cstheme="majorBidi"/>
          <w:lang w:bidi="he-IL"/>
        </w:rPr>
      </w:pPr>
      <w:r w:rsidRPr="004D56E4">
        <w:rPr>
          <w:rFonts w:asciiTheme="majorBidi" w:hAnsiTheme="majorBidi" w:cstheme="majorBidi"/>
          <w:rtl/>
          <w:lang w:bidi="he-IL"/>
        </w:rPr>
        <w:t>כ', "ועשיתם לו כאשר זמם."</w:t>
      </w:r>
      <w:r w:rsidR="00440F98" w:rsidRPr="004D56E4">
        <w:rPr>
          <w:rFonts w:asciiTheme="majorBidi" w:hAnsiTheme="majorBidi" w:cstheme="majorBidi"/>
          <w:rtl/>
          <w:lang w:bidi="he-IL"/>
        </w:rPr>
        <w:t xml:space="preserve"> מ"לו" דורשים שלא מענישים את זרעו. לא יכולים לשים דיני חלל רק עליו, כיון שאז לא מקויים "כאשר זמם."</w:t>
      </w:r>
    </w:p>
    <w:p w14:paraId="734A93A7" w14:textId="31FFB201" w:rsidR="008541A5" w:rsidRPr="004D56E4" w:rsidRDefault="000C5B33" w:rsidP="008C0F13">
      <w:pPr>
        <w:pStyle w:val="FootnoteText"/>
        <w:numPr>
          <w:ilvl w:val="0"/>
          <w:numId w:val="1"/>
        </w:numPr>
        <w:rPr>
          <w:rFonts w:asciiTheme="majorBidi" w:hAnsiTheme="majorBidi" w:cstheme="majorBidi"/>
          <w:lang w:bidi="he-IL"/>
        </w:rPr>
      </w:pPr>
      <w:r w:rsidRPr="004D56E4">
        <w:rPr>
          <w:rFonts w:asciiTheme="majorBidi" w:hAnsiTheme="majorBidi" w:cstheme="majorBidi"/>
          <w:rtl/>
          <w:lang w:bidi="he-IL"/>
        </w:rPr>
        <w:t>דורשים קל וחומר ממי שעשה ב"ג או ב"ח- האב- שלא נתחלל, לומר שאלו שרק נסו, ולא הצליחו, לא נעשים חללים. גמ' דוחה</w:t>
      </w:r>
      <w:r w:rsidR="00BF144E" w:rsidRPr="004D56E4">
        <w:rPr>
          <w:rFonts w:asciiTheme="majorBidi" w:hAnsiTheme="majorBidi" w:cstheme="majorBidi"/>
          <w:rtl/>
          <w:lang w:bidi="he-IL"/>
        </w:rPr>
        <w:t xml:space="preserve"> </w:t>
      </w:r>
      <w:r w:rsidR="00A426DF" w:rsidRPr="004D56E4">
        <w:rPr>
          <w:rFonts w:asciiTheme="majorBidi" w:hAnsiTheme="majorBidi" w:cstheme="majorBidi"/>
          <w:b/>
          <w:bCs/>
          <w:u w:val="single"/>
          <w:rtl/>
          <w:lang w:bidi="he-IL"/>
        </w:rPr>
        <w:t>(ב:)</w:t>
      </w:r>
      <w:r w:rsidR="00A426DF" w:rsidRPr="004D56E4">
        <w:rPr>
          <w:rFonts w:asciiTheme="majorBidi" w:hAnsiTheme="majorBidi" w:cstheme="majorBidi"/>
          <w:rtl/>
          <w:lang w:bidi="he-IL"/>
        </w:rPr>
        <w:t xml:space="preserve"> </w:t>
      </w:r>
      <w:r w:rsidR="00BF144E" w:rsidRPr="004D56E4">
        <w:rPr>
          <w:rFonts w:asciiTheme="majorBidi" w:hAnsiTheme="majorBidi" w:cstheme="majorBidi"/>
          <w:rtl/>
          <w:lang w:bidi="he-IL"/>
        </w:rPr>
        <w:t>שכל דין כאש"ז מוכיח שלא לדרוש קו"ח כזה, שאל"כ נדרוש קו"ח לפטור מפטור של מי שניסה והצליח בעדות שקר.</w:t>
      </w:r>
    </w:p>
  </w:footnote>
  <w:footnote w:id="8">
    <w:p w14:paraId="76B33087" w14:textId="5C89F65E" w:rsidR="005B73B7" w:rsidRPr="004D56E4" w:rsidRDefault="005B73B7">
      <w:pPr>
        <w:pStyle w:val="FootnoteText"/>
        <w:rPr>
          <w:rFonts w:asciiTheme="majorBidi" w:hAnsiTheme="majorBidi" w:cstheme="majorBidi"/>
          <w:rtl/>
          <w:lang w:bidi="he-IL"/>
        </w:rPr>
      </w:pPr>
      <w:r w:rsidRPr="004D56E4">
        <w:rPr>
          <w:rStyle w:val="FootnoteReference"/>
          <w:rFonts w:asciiTheme="majorBidi" w:hAnsiTheme="majorBidi" w:cstheme="majorBidi"/>
        </w:rPr>
        <w:footnoteRef/>
      </w:r>
      <w:r w:rsidRPr="004D56E4">
        <w:rPr>
          <w:rFonts w:asciiTheme="majorBidi" w:hAnsiTheme="majorBidi" w:cstheme="majorBidi"/>
          <w:rtl/>
        </w:rPr>
        <w:t xml:space="preserve"> </w:t>
      </w:r>
      <w:r w:rsidRPr="004D56E4">
        <w:rPr>
          <w:rFonts w:asciiTheme="majorBidi" w:hAnsiTheme="majorBidi" w:cstheme="majorBidi"/>
          <w:rtl/>
          <w:lang w:bidi="he-IL"/>
        </w:rPr>
        <w:t>יש שני מקורות</w:t>
      </w:r>
      <w:r w:rsidR="00F136E6" w:rsidRPr="004D56E4">
        <w:rPr>
          <w:rFonts w:asciiTheme="majorBidi" w:hAnsiTheme="majorBidi" w:cstheme="majorBidi"/>
          <w:rtl/>
          <w:lang w:bidi="he-IL"/>
        </w:rPr>
        <w:t xml:space="preserve"> </w:t>
      </w:r>
      <w:r w:rsidR="00F136E6" w:rsidRPr="004D56E4">
        <w:rPr>
          <w:rFonts w:asciiTheme="majorBidi" w:hAnsiTheme="majorBidi" w:cstheme="majorBidi"/>
          <w:b/>
          <w:bCs/>
          <w:u w:val="single"/>
          <w:rtl/>
          <w:lang w:bidi="he-IL"/>
        </w:rPr>
        <w:t>(ב:)</w:t>
      </w:r>
      <w:r w:rsidRPr="004D56E4">
        <w:rPr>
          <w:rFonts w:asciiTheme="majorBidi" w:hAnsiTheme="majorBidi" w:cstheme="majorBidi"/>
          <w:rtl/>
          <w:lang w:bidi="he-IL"/>
        </w:rPr>
        <w:t xml:space="preserve"> שלוקים ארבעים:</w:t>
      </w:r>
    </w:p>
    <w:p w14:paraId="3D7BBDAD" w14:textId="0219EB17" w:rsidR="005B73B7" w:rsidRPr="004D56E4" w:rsidRDefault="005B73B7" w:rsidP="005B73B7">
      <w:pPr>
        <w:pStyle w:val="FootnoteText"/>
        <w:numPr>
          <w:ilvl w:val="0"/>
          <w:numId w:val="2"/>
        </w:numPr>
        <w:rPr>
          <w:rFonts w:asciiTheme="majorBidi" w:hAnsiTheme="majorBidi" w:cstheme="majorBidi"/>
          <w:lang w:bidi="he-IL"/>
        </w:rPr>
      </w:pPr>
      <w:r w:rsidRPr="004D56E4">
        <w:rPr>
          <w:rFonts w:asciiTheme="majorBidi" w:hAnsiTheme="majorBidi" w:cstheme="majorBidi"/>
          <w:rtl/>
          <w:lang w:bidi="he-IL"/>
        </w:rPr>
        <w:t>כ', "לא תענה." זה לאו שאין בו מעשה, אבל יש תנאים שסוברים שלוקים על לאו שאין בו מעשה. אז, בגלל זה לוקים.</w:t>
      </w:r>
    </w:p>
    <w:p w14:paraId="5044B64A" w14:textId="5CA3DEF9" w:rsidR="00F136E6" w:rsidRPr="004D56E4" w:rsidRDefault="005B73B7" w:rsidP="00F136E6">
      <w:pPr>
        <w:pStyle w:val="FootnoteText"/>
        <w:numPr>
          <w:ilvl w:val="0"/>
          <w:numId w:val="2"/>
        </w:numPr>
        <w:rPr>
          <w:rFonts w:asciiTheme="majorBidi" w:hAnsiTheme="majorBidi" w:cstheme="majorBidi"/>
          <w:lang w:bidi="he-IL"/>
        </w:rPr>
      </w:pPr>
      <w:r w:rsidRPr="004D56E4">
        <w:rPr>
          <w:rFonts w:asciiTheme="majorBidi" w:hAnsiTheme="majorBidi" w:cstheme="majorBidi"/>
          <w:rtl/>
          <w:lang w:bidi="he-IL"/>
        </w:rPr>
        <w:t>כ', "והצדיקו את הצדיק... והיה אם בן הכות הרשע," ודורשים שהוא מדבר על ציור של ע"ז, ואומר שנכה, לפעמים, את העדים.</w:t>
      </w:r>
      <w:r w:rsidR="00F136E6" w:rsidRPr="004D56E4">
        <w:rPr>
          <w:rFonts w:asciiTheme="majorBidi" w:hAnsiTheme="majorBidi" w:cstheme="majorBidi"/>
          <w:rtl/>
          <w:lang w:bidi="he-IL"/>
        </w:rPr>
        <w:t xml:space="preserve"> </w:t>
      </w:r>
    </w:p>
  </w:footnote>
  <w:footnote w:id="9">
    <w:p w14:paraId="67B5A303" w14:textId="0D806E89" w:rsidR="00D834DD" w:rsidRPr="004D56E4" w:rsidRDefault="00D834DD">
      <w:pPr>
        <w:pStyle w:val="FootnoteText"/>
        <w:rPr>
          <w:rFonts w:asciiTheme="majorBidi" w:hAnsiTheme="majorBidi" w:cstheme="majorBidi"/>
          <w:lang w:bidi="he-IL"/>
        </w:rPr>
      </w:pPr>
      <w:r w:rsidRPr="004D56E4">
        <w:rPr>
          <w:rStyle w:val="FootnoteReference"/>
          <w:rFonts w:asciiTheme="majorBidi" w:hAnsiTheme="majorBidi" w:cstheme="majorBidi"/>
        </w:rPr>
        <w:footnoteRef/>
      </w:r>
      <w:r w:rsidRPr="004D56E4">
        <w:rPr>
          <w:rFonts w:asciiTheme="majorBidi" w:hAnsiTheme="majorBidi" w:cstheme="majorBidi"/>
          <w:rtl/>
        </w:rPr>
        <w:t xml:space="preserve"> </w:t>
      </w:r>
      <w:r w:rsidRPr="004D56E4">
        <w:rPr>
          <w:rFonts w:asciiTheme="majorBidi" w:hAnsiTheme="majorBidi" w:cstheme="majorBidi"/>
          <w:rtl/>
          <w:lang w:bidi="he-IL"/>
        </w:rPr>
        <w:t>מי שהורג את חברו בשוגג חייב לגלות (חייב לנוס אל אחת משש ערי המקלט או אחד משאר ערי הלווים). כאן, מעידים שהרג אחד בשוגג, ואז חייב לנוס.</w:t>
      </w:r>
    </w:p>
  </w:footnote>
  <w:footnote w:id="10">
    <w:p w14:paraId="0E45ED5A" w14:textId="2DF86E3F" w:rsidR="006A1A22" w:rsidRPr="004D56E4" w:rsidRDefault="006A1A22">
      <w:pPr>
        <w:pStyle w:val="FootnoteText"/>
        <w:rPr>
          <w:rFonts w:asciiTheme="majorBidi" w:hAnsiTheme="majorBidi" w:cstheme="majorBidi"/>
          <w:rtl/>
          <w:lang w:bidi="he-IL"/>
        </w:rPr>
      </w:pPr>
      <w:r w:rsidRPr="004D56E4">
        <w:rPr>
          <w:rStyle w:val="FootnoteReference"/>
          <w:rFonts w:asciiTheme="majorBidi" w:hAnsiTheme="majorBidi" w:cstheme="majorBidi"/>
        </w:rPr>
        <w:footnoteRef/>
      </w:r>
      <w:r w:rsidRPr="004D56E4">
        <w:rPr>
          <w:rFonts w:asciiTheme="majorBidi" w:hAnsiTheme="majorBidi" w:cstheme="majorBidi"/>
          <w:rtl/>
        </w:rPr>
        <w:t xml:space="preserve"> </w:t>
      </w:r>
      <w:r w:rsidRPr="004D56E4">
        <w:rPr>
          <w:rFonts w:asciiTheme="majorBidi" w:hAnsiTheme="majorBidi" w:cstheme="majorBidi"/>
          <w:rtl/>
          <w:lang w:bidi="he-IL"/>
        </w:rPr>
        <w:t xml:space="preserve">גמ' נותן </w:t>
      </w:r>
      <w:r w:rsidRPr="004D56E4">
        <w:rPr>
          <w:rFonts w:asciiTheme="majorBidi" w:hAnsiTheme="majorBidi" w:cstheme="majorBidi"/>
          <w:b/>
          <w:bCs/>
          <w:u w:val="single"/>
          <w:rtl/>
          <w:lang w:bidi="he-IL"/>
        </w:rPr>
        <w:t>(ב:)</w:t>
      </w:r>
      <w:r w:rsidRPr="004D56E4">
        <w:rPr>
          <w:rFonts w:asciiTheme="majorBidi" w:hAnsiTheme="majorBidi" w:cstheme="majorBidi"/>
          <w:rtl/>
          <w:lang w:bidi="he-IL"/>
        </w:rPr>
        <w:t xml:space="preserve"> שני מקורות לזה, ורק אחד קיים:</w:t>
      </w:r>
    </w:p>
    <w:p w14:paraId="2EAA3BA2" w14:textId="4C529A55" w:rsidR="006A1A22" w:rsidRPr="004D56E4" w:rsidRDefault="008D031B" w:rsidP="008D031B">
      <w:pPr>
        <w:pStyle w:val="FootnoteText"/>
        <w:numPr>
          <w:ilvl w:val="0"/>
          <w:numId w:val="3"/>
        </w:numPr>
        <w:rPr>
          <w:rFonts w:asciiTheme="majorBidi" w:hAnsiTheme="majorBidi" w:cstheme="majorBidi"/>
          <w:lang w:bidi="he-IL"/>
        </w:rPr>
      </w:pPr>
      <w:r w:rsidRPr="004D56E4">
        <w:rPr>
          <w:rFonts w:asciiTheme="majorBidi" w:hAnsiTheme="majorBidi" w:cstheme="majorBidi"/>
          <w:rtl/>
          <w:lang w:bidi="he-IL"/>
        </w:rPr>
        <w:t>כ', "הוא ינוס...," שמשמע שרק הוא (הממית), ולא עדים זוממים, נסים לשם.</w:t>
      </w:r>
    </w:p>
    <w:p w14:paraId="17F78F17" w14:textId="0FFFA1D2" w:rsidR="00320D74" w:rsidRPr="004D56E4" w:rsidRDefault="00320D74" w:rsidP="008D031B">
      <w:pPr>
        <w:pStyle w:val="FootnoteText"/>
        <w:numPr>
          <w:ilvl w:val="0"/>
          <w:numId w:val="3"/>
        </w:numPr>
        <w:rPr>
          <w:rFonts w:asciiTheme="majorBidi" w:hAnsiTheme="majorBidi" w:cstheme="majorBidi"/>
          <w:lang w:bidi="he-IL"/>
        </w:rPr>
      </w:pPr>
      <w:r w:rsidRPr="004D56E4">
        <w:rPr>
          <w:rFonts w:asciiTheme="majorBidi" w:hAnsiTheme="majorBidi" w:cstheme="majorBidi"/>
          <w:rtl/>
          <w:lang w:bidi="he-IL"/>
        </w:rPr>
        <w:t>דורשים קו"ח מממית במזיד, שלא גולה אף שעשה מעשה, לומר שאלו שלא עשו מעשה לא גולים. דוחה גמ' שאולי מפני שאלו לא עשו מעשה, מקילים עליהם לתת להם כפרה בגלות (כמו שמקילים ככה על השוגג).</w:t>
      </w:r>
    </w:p>
  </w:footnote>
  <w:footnote w:id="11">
    <w:p w14:paraId="7DDBAFD1" w14:textId="29470D8A" w:rsidR="005F07A9" w:rsidRDefault="005F07A9">
      <w:pPr>
        <w:pStyle w:val="FootnoteText"/>
        <w:rPr>
          <w:rFonts w:cs="Times New Roman"/>
          <w:rtl/>
          <w:lang w:bidi="he-IL"/>
        </w:rPr>
      </w:pPr>
      <w:r>
        <w:rPr>
          <w:rStyle w:val="FootnoteReference"/>
        </w:rPr>
        <w:footnoteRef/>
      </w:r>
      <w:r>
        <w:rPr>
          <w:rFonts w:cs="Times New Roman"/>
          <w:rtl/>
        </w:rPr>
        <w:t xml:space="preserve"> </w:t>
      </w:r>
      <w:r>
        <w:rPr>
          <w:rFonts w:cs="Times New Roman" w:hint="cs"/>
          <w:rtl/>
          <w:lang w:bidi="he-IL"/>
        </w:rPr>
        <w:t>כשאדם נושא אושה, כותב לה כתובה. יש לכתובה זה שני חלקים- דברים שיתן לה ודברים שיחזיר לה. דברים שיתן לה הם דברים שהם שלו, ומחייב א"ע לתת אותם לה. חייב (חולקים אם הוא מדאו' או מדרבנן) לתת לבתולה מאתים זוזים ולאלמנה (וזה בוודאי דרבנן) מאה זוזים.</w:t>
      </w:r>
      <w:r w:rsidR="005C1EB5">
        <w:rPr>
          <w:rFonts w:cs="Times New Roman" w:hint="cs"/>
          <w:rtl/>
          <w:lang w:bidi="he-IL"/>
        </w:rPr>
        <w:t xml:space="preserve"> יכול להוסיף על זה. דברים שיחזיר לה הם דברים שהכניסה לו בנישואים, שחייב להחזיר אותם לה.</w:t>
      </w:r>
    </w:p>
    <w:p w14:paraId="25DF3476" w14:textId="1A9DB8B8" w:rsidR="002A5E26" w:rsidRDefault="002A5E26">
      <w:pPr>
        <w:pStyle w:val="FootnoteText"/>
        <w:rPr>
          <w:rFonts w:cs="Times New Roman"/>
          <w:rtl/>
          <w:lang w:bidi="he-IL"/>
        </w:rPr>
      </w:pPr>
      <w:r>
        <w:rPr>
          <w:rFonts w:cs="Times New Roman" w:hint="cs"/>
          <w:rtl/>
          <w:lang w:bidi="he-IL"/>
        </w:rPr>
        <w:t>אם אדם מגרש את אשתו, חייב לשלם לה את כתובתה. כמו כן, אם אדם מת, חייב לשלם לאשתו (ואז משלמים יורשים לה מנכסיו) את כתובתה. אבל, אם היר מתה ראשון, לא משלם לה את כתובתה.</w:t>
      </w:r>
    </w:p>
    <w:p w14:paraId="2FC41B66" w14:textId="59EF0264" w:rsidR="00714664" w:rsidRDefault="00714664">
      <w:pPr>
        <w:pStyle w:val="FootnoteText"/>
        <w:rPr>
          <w:rFonts w:hint="cs"/>
          <w:lang w:bidi="he-IL"/>
        </w:rPr>
      </w:pPr>
      <w:r>
        <w:rPr>
          <w:rFonts w:cs="Times New Roman" w:hint="cs"/>
          <w:rtl/>
          <w:lang w:bidi="he-IL"/>
        </w:rPr>
        <w:t>אז, במשנה זה, כשמעידים שגרש את אשתו ולא נתן לה את כתובתה, נמצא שמחייבים לה את הכתובה.</w:t>
      </w:r>
    </w:p>
  </w:footnote>
  <w:footnote w:id="12">
    <w:p w14:paraId="09778F89" w14:textId="7A7CBB91" w:rsidR="00CE18AB" w:rsidRDefault="00CE18AB">
      <w:pPr>
        <w:pStyle w:val="FootnoteText"/>
        <w:rPr>
          <w:rFonts w:hint="cs"/>
          <w:lang w:bidi="he-IL"/>
        </w:rPr>
      </w:pPr>
      <w:r>
        <w:rPr>
          <w:rStyle w:val="FootnoteReference"/>
        </w:rPr>
        <w:footnoteRef/>
      </w:r>
      <w:r>
        <w:rPr>
          <w:rFonts w:cs="Times New Roman"/>
          <w:rtl/>
        </w:rPr>
        <w:t xml:space="preserve"> </w:t>
      </w:r>
      <w:r>
        <w:rPr>
          <w:rFonts w:cs="Times New Roman" w:hint="cs"/>
          <w:rtl/>
          <w:lang w:bidi="he-IL"/>
        </w:rPr>
        <w:t xml:space="preserve">רצה לומר, </w:t>
      </w:r>
      <w:r w:rsidR="00873036">
        <w:rPr>
          <w:rFonts w:cs="Times New Roman" w:hint="cs"/>
          <w:rtl/>
          <w:lang w:bidi="he-IL"/>
        </w:rPr>
        <w:t>אולי תחשב שכיון שרצו לחייב את הכתובה, ישלמו לו דמי הכתובה. אבל, הלא אולי ימות או יגרש אותה, ונמצא שלא הפסידו אותו כלל, שבין כך ובין כך משלם.</w:t>
      </w:r>
    </w:p>
  </w:footnote>
  <w:footnote w:id="13">
    <w:p w14:paraId="330557A1" w14:textId="602DEC72" w:rsidR="00DB7376" w:rsidRPr="00DB7376" w:rsidRDefault="00DB7376">
      <w:pPr>
        <w:pStyle w:val="FootnoteText"/>
        <w:rPr>
          <w:rFonts w:hint="cs"/>
          <w:lang w:bidi="he-IL"/>
        </w:rPr>
      </w:pPr>
      <w:r>
        <w:rPr>
          <w:rStyle w:val="FootnoteReference"/>
        </w:rPr>
        <w:footnoteRef/>
      </w:r>
      <w:r>
        <w:rPr>
          <w:rFonts w:cs="Times New Roman"/>
          <w:rtl/>
        </w:rPr>
        <w:t xml:space="preserve"> </w:t>
      </w:r>
      <w:r>
        <w:rPr>
          <w:rFonts w:cs="Times New Roman" w:hint="cs"/>
          <w:rtl/>
          <w:lang w:bidi="he-IL"/>
        </w:rPr>
        <w:t xml:space="preserve">חלקו בגמ' </w:t>
      </w:r>
      <w:r>
        <w:rPr>
          <w:rFonts w:cs="Times New Roman" w:hint="cs"/>
          <w:b/>
          <w:bCs/>
          <w:u w:val="single"/>
          <w:rtl/>
          <w:lang w:bidi="he-IL"/>
        </w:rPr>
        <w:t>(ג.)</w:t>
      </w:r>
      <w:r>
        <w:rPr>
          <w:rFonts w:cs="Times New Roman" w:hint="cs"/>
          <w:rtl/>
          <w:lang w:bidi="he-IL"/>
        </w:rPr>
        <w:t xml:space="preserve"> אם חייב לתת רק </w:t>
      </w:r>
      <w:r w:rsidR="004B2E4B">
        <w:rPr>
          <w:rFonts w:cs="Times New Roman" w:hint="cs"/>
          <w:rtl/>
          <w:lang w:bidi="he-IL"/>
        </w:rPr>
        <w:t>מה שצריך הבעל לתת^</w:t>
      </w:r>
      <w:r>
        <w:rPr>
          <w:rFonts w:cs="Times New Roman" w:hint="cs"/>
          <w:rtl/>
          <w:lang w:bidi="he-IL"/>
        </w:rPr>
        <w:t xml:space="preserve"> (שיכולים לטעון שרק על זה ידעו, ורק על זה כוונו)</w:t>
      </w:r>
      <w:r w:rsidR="004B2E4B">
        <w:rPr>
          <w:rFonts w:cs="Times New Roman" w:hint="cs"/>
          <w:rtl/>
          <w:lang w:bidi="he-IL"/>
        </w:rPr>
        <w:t xml:space="preserve"> או אף מה שצריך הבעל להחזיר. </w:t>
      </w:r>
    </w:p>
  </w:footnote>
  <w:footnote w:id="14">
    <w:p w14:paraId="638A2E98" w14:textId="45D6AE0D" w:rsidR="007A332B" w:rsidRDefault="007A332B">
      <w:pPr>
        <w:pStyle w:val="FootnoteText"/>
        <w:rPr>
          <w:rFonts w:hint="cs"/>
          <w:lang w:bidi="he-IL"/>
        </w:rPr>
      </w:pPr>
      <w:r>
        <w:rPr>
          <w:rStyle w:val="FootnoteReference"/>
        </w:rPr>
        <w:footnoteRef/>
      </w:r>
      <w:r>
        <w:rPr>
          <w:rFonts w:cs="Times New Roman"/>
          <w:rtl/>
        </w:rPr>
        <w:t xml:space="preserve"> </w:t>
      </w:r>
      <w:r>
        <w:rPr>
          <w:rFonts w:cs="Times New Roman" w:hint="cs"/>
          <w:rtl/>
          <w:lang w:bidi="he-IL"/>
        </w:rPr>
        <w:t>תקבל את כתובתה.</w:t>
      </w:r>
    </w:p>
  </w:footnote>
  <w:footnote w:id="15">
    <w:p w14:paraId="5D929BA2" w14:textId="5BBE6C0C" w:rsidR="00603675" w:rsidRPr="00DB7376" w:rsidRDefault="00603675">
      <w:pPr>
        <w:pStyle w:val="FootnoteText"/>
        <w:rPr>
          <w:rFonts w:asciiTheme="majorBidi" w:hAnsiTheme="majorBidi" w:cstheme="majorBidi"/>
          <w:rtl/>
          <w:lang w:bidi="he-IL"/>
        </w:rPr>
      </w:pPr>
      <w:r>
        <w:rPr>
          <w:rStyle w:val="FootnoteReference"/>
        </w:rPr>
        <w:footnoteRef/>
      </w:r>
      <w:r>
        <w:rPr>
          <w:rFonts w:cs="Times New Roman"/>
          <w:rtl/>
        </w:rPr>
        <w:t xml:space="preserve"> </w:t>
      </w:r>
      <w:r>
        <w:rPr>
          <w:rFonts w:cs="Times New Roman" w:hint="cs"/>
          <w:rtl/>
          <w:lang w:bidi="he-IL"/>
        </w:rPr>
        <w:t xml:space="preserve">בגמ' </w:t>
      </w:r>
      <w:r>
        <w:rPr>
          <w:rFonts w:cs="Times New Roman" w:hint="cs"/>
          <w:b/>
          <w:bCs/>
          <w:u w:val="single"/>
          <w:rtl/>
          <w:lang w:bidi="he-IL"/>
        </w:rPr>
        <w:t>(ג.)</w:t>
      </w:r>
      <w:r>
        <w:rPr>
          <w:rFonts w:cs="Times New Roman" w:hint="cs"/>
          <w:rtl/>
          <w:lang w:bidi="he-IL"/>
        </w:rPr>
        <w:t xml:space="preserve"> מפרש </w:t>
      </w:r>
      <w:r w:rsidRPr="00DB7376">
        <w:rPr>
          <w:rFonts w:asciiTheme="majorBidi" w:hAnsiTheme="majorBidi" w:cstheme="majorBidi"/>
          <w:rtl/>
          <w:lang w:bidi="he-IL"/>
        </w:rPr>
        <w:t>את זה בשני אופנים:</w:t>
      </w:r>
    </w:p>
    <w:p w14:paraId="7091F7EE" w14:textId="76CAA053" w:rsidR="008E3794" w:rsidRPr="00DB7376" w:rsidRDefault="00D16DDF" w:rsidP="008E3794">
      <w:pPr>
        <w:pStyle w:val="FootnoteText"/>
        <w:numPr>
          <w:ilvl w:val="0"/>
          <w:numId w:val="4"/>
        </w:numPr>
        <w:rPr>
          <w:rFonts w:asciiTheme="majorBidi" w:hAnsiTheme="majorBidi" w:cstheme="majorBidi"/>
          <w:lang w:bidi="he-IL"/>
        </w:rPr>
      </w:pPr>
      <w:r w:rsidRPr="00DB7376">
        <w:rPr>
          <w:rFonts w:asciiTheme="majorBidi" w:hAnsiTheme="majorBidi" w:cstheme="majorBidi"/>
          <w:rtl/>
          <w:lang w:bidi="he-IL"/>
        </w:rPr>
        <w:t>רב חסדא אומר ששמים כמה בנ"א ישלמו לחלק הבעל בכתובה, וכך ישלמו לו, שזה רצו להפסיד אותו.</w:t>
      </w:r>
      <w:r w:rsidR="008E3794" w:rsidRPr="00DB7376">
        <w:rPr>
          <w:rFonts w:asciiTheme="majorBidi" w:hAnsiTheme="majorBidi" w:cstheme="majorBidi"/>
          <w:rtl/>
          <w:lang w:bidi="he-IL"/>
        </w:rPr>
        <w:t xml:space="preserve"> אז, לשון המשנה אומר שאומדים כמה רוצים ליתן בכתובתה של זו לספיקו.</w:t>
      </w:r>
    </w:p>
    <w:p w14:paraId="56758B2F" w14:textId="3AE86DF3" w:rsidR="008E3794" w:rsidRDefault="008E3794" w:rsidP="008E3794">
      <w:pPr>
        <w:pStyle w:val="FootnoteText"/>
        <w:numPr>
          <w:ilvl w:val="0"/>
          <w:numId w:val="4"/>
        </w:numPr>
        <w:rPr>
          <w:rFonts w:hint="cs"/>
          <w:lang w:bidi="he-IL"/>
        </w:rPr>
      </w:pPr>
      <w:r w:rsidRPr="00DB7376">
        <w:rPr>
          <w:rFonts w:asciiTheme="majorBidi" w:hAnsiTheme="majorBidi" w:cstheme="majorBidi"/>
          <w:rtl/>
          <w:lang w:bidi="he-IL"/>
        </w:rPr>
        <w:t>רב נתן בר אושעיא אומר ששמים כמה בני אדם ישלמו לחלק האשה בכתובה, ונותנים לבעל כל דמי הכתובה חוץ מזה. (זה מחייב את העדים יותר משיעור של רב חסדא.) הביאור לזה הוא שמסתמא היה הבעל יכול לקנות את הכתובה בדמים אלו, ונמצא שהפסיד כל הכתובה חוץ מחלקי אשה.</w:t>
      </w:r>
      <w:r w:rsidR="0000024C" w:rsidRPr="00DB7376">
        <w:rPr>
          <w:rFonts w:asciiTheme="majorBidi" w:hAnsiTheme="majorBidi" w:cstheme="majorBidi"/>
          <w:rtl/>
          <w:lang w:bidi="he-IL"/>
        </w:rPr>
        <w:t xml:space="preserve"> אז, המשנה אומר ששמים כתובתה- רצה לומר, חלקה, ומחסרים אותו מדמי הכתובה.</w:t>
      </w:r>
    </w:p>
  </w:footnote>
  <w:footnote w:id="16">
    <w:p w14:paraId="04E3DAF6" w14:textId="3B4EC662" w:rsidR="00652167" w:rsidRDefault="00652167">
      <w:pPr>
        <w:pStyle w:val="FootnoteText"/>
        <w:rPr>
          <w:rFonts w:hint="cs"/>
          <w:lang w:bidi="he-IL"/>
        </w:rPr>
      </w:pPr>
      <w:r>
        <w:rPr>
          <w:rStyle w:val="FootnoteReference"/>
        </w:rPr>
        <w:footnoteRef/>
      </w:r>
      <w:r>
        <w:rPr>
          <w:rFonts w:cs="Times New Roman"/>
          <w:rtl/>
        </w:rPr>
        <w:t xml:space="preserve"> </w:t>
      </w:r>
      <w:r>
        <w:rPr>
          <w:rFonts w:cs="Times New Roman" w:hint="cs"/>
          <w:rtl/>
          <w:lang w:bidi="he-IL"/>
        </w:rPr>
        <w:t>אף שאסור לקבל ריבית, יש שוויות במה שנשאר לו ממון לזמן ארוך (אלא שאסור לקבל ממון בתמורתו). אז, נמצא שמפסידים לו את אותו מומן.</w:t>
      </w:r>
    </w:p>
  </w:footnote>
  <w:footnote w:id="17">
    <w:p w14:paraId="14E179CE" w14:textId="7D398C0D" w:rsidR="006939ED" w:rsidRPr="006939ED" w:rsidRDefault="006939ED">
      <w:pPr>
        <w:pStyle w:val="FootnoteText"/>
        <w:rPr>
          <w:rFonts w:hint="cs"/>
          <w:lang w:bidi="he-IL"/>
        </w:rPr>
      </w:pPr>
      <w:r>
        <w:rPr>
          <w:rStyle w:val="FootnoteReference"/>
        </w:rPr>
        <w:footnoteRef/>
      </w:r>
      <w:r>
        <w:rPr>
          <w:rFonts w:cs="Times New Roman"/>
          <w:rtl/>
        </w:rPr>
        <w:t xml:space="preserve"> </w:t>
      </w:r>
      <w:r>
        <w:rPr>
          <w:rFonts w:cs="Times New Roman" w:hint="cs"/>
          <w:rtl/>
          <w:lang w:bidi="he-IL"/>
        </w:rPr>
        <w:t xml:space="preserve">ואם תאמר הרי בתוך עשר השנים יבוא שמיטה, ונמצא שלא חייב כלום. אז, ישלמו לו את הכל. חלקו אמוראים אם חוב שלא הגיע זמנו בשביעית משמטת. אם לא משמטת, אז המשנה מבוארת. אם משמטת, עדיין יש להוקים את המשנה בציור שלא שומטים, כמו אם יש משכון או אם כתב פרוזבול. </w:t>
      </w:r>
      <w:r>
        <w:rPr>
          <w:rFonts w:cs="Times New Roman" w:hint="cs"/>
          <w:b/>
          <w:bCs/>
          <w:u w:val="single"/>
          <w:rtl/>
          <w:lang w:bidi="he-IL"/>
        </w:rPr>
        <w:t>(ג:)</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A24501"/>
    <w:multiLevelType w:val="hybridMultilevel"/>
    <w:tmpl w:val="D9DA2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D591C5D"/>
    <w:multiLevelType w:val="hybridMultilevel"/>
    <w:tmpl w:val="8A521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F275ECC"/>
    <w:multiLevelType w:val="hybridMultilevel"/>
    <w:tmpl w:val="EF4CF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4577DEA"/>
    <w:multiLevelType w:val="hybridMultilevel"/>
    <w:tmpl w:val="87903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C13"/>
    <w:rsid w:val="0000024C"/>
    <w:rsid w:val="000C5B33"/>
    <w:rsid w:val="0010549A"/>
    <w:rsid w:val="002A5E26"/>
    <w:rsid w:val="00320D74"/>
    <w:rsid w:val="00440F98"/>
    <w:rsid w:val="004B2E4B"/>
    <w:rsid w:val="004D56E4"/>
    <w:rsid w:val="005B73B7"/>
    <w:rsid w:val="005C1EB5"/>
    <w:rsid w:val="005F07A9"/>
    <w:rsid w:val="00603675"/>
    <w:rsid w:val="00652167"/>
    <w:rsid w:val="00677A5C"/>
    <w:rsid w:val="006939ED"/>
    <w:rsid w:val="006A1A22"/>
    <w:rsid w:val="00713E7C"/>
    <w:rsid w:val="00714664"/>
    <w:rsid w:val="00747F66"/>
    <w:rsid w:val="00756C13"/>
    <w:rsid w:val="007A332B"/>
    <w:rsid w:val="008541A5"/>
    <w:rsid w:val="0086669A"/>
    <w:rsid w:val="00873036"/>
    <w:rsid w:val="008C0F13"/>
    <w:rsid w:val="008D031B"/>
    <w:rsid w:val="008E3794"/>
    <w:rsid w:val="008F0806"/>
    <w:rsid w:val="00A34421"/>
    <w:rsid w:val="00A426DF"/>
    <w:rsid w:val="00B648E1"/>
    <w:rsid w:val="00BF144E"/>
    <w:rsid w:val="00CE18AB"/>
    <w:rsid w:val="00D16DDF"/>
    <w:rsid w:val="00D5060B"/>
    <w:rsid w:val="00D834DD"/>
    <w:rsid w:val="00DB7376"/>
    <w:rsid w:val="00DC45E7"/>
    <w:rsid w:val="00EB5BB2"/>
    <w:rsid w:val="00F136E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4824DD8C"/>
  <w15:chartTrackingRefBased/>
  <w15:docId w15:val="{3671FAE8-CCD2-465F-B3D5-ED5165240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6C13"/>
    <w:pPr>
      <w:bidi/>
      <w:spacing w:after="0"/>
    </w:pPr>
    <w:rPr>
      <w:rFonts w:cs="Shofar"/>
    </w:rPr>
  </w:style>
  <w:style w:type="paragraph" w:styleId="Heading1">
    <w:name w:val="heading 1"/>
    <w:basedOn w:val="Normal"/>
    <w:next w:val="Normal"/>
    <w:link w:val="Heading1Char"/>
    <w:uiPriority w:val="9"/>
    <w:qFormat/>
    <w:rsid w:val="00756C13"/>
    <w:pPr>
      <w:keepNext/>
      <w:keepLines/>
      <w:jc w:val="center"/>
      <w:outlineLvl w:val="0"/>
    </w:pPr>
    <w:rPr>
      <w:rFonts w:asciiTheme="majorHAnsi" w:eastAsiaTheme="majorEastAsia" w:hAnsiTheme="majorHAnsi"/>
      <w:bCs/>
      <w:sz w:val="32"/>
      <w:u w:val="single"/>
    </w:rPr>
  </w:style>
  <w:style w:type="paragraph" w:styleId="Heading2">
    <w:name w:val="heading 2"/>
    <w:basedOn w:val="Normal"/>
    <w:next w:val="Normal"/>
    <w:link w:val="Heading2Char"/>
    <w:uiPriority w:val="9"/>
    <w:unhideWhenUsed/>
    <w:qFormat/>
    <w:rsid w:val="00756C13"/>
    <w:pPr>
      <w:keepNext/>
      <w:keepLines/>
      <w:outlineLvl w:val="1"/>
    </w:pPr>
    <w:rPr>
      <w:rFonts w:asciiTheme="majorHAnsi" w:eastAsiaTheme="majorEastAsia" w:hAnsiTheme="majorHAnsi"/>
      <w:b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6C13"/>
    <w:rPr>
      <w:rFonts w:asciiTheme="majorHAnsi" w:eastAsiaTheme="majorEastAsia" w:hAnsiTheme="majorHAnsi" w:cs="Shofar"/>
      <w:bCs/>
      <w:sz w:val="32"/>
      <w:u w:val="single"/>
    </w:rPr>
  </w:style>
  <w:style w:type="character" w:customStyle="1" w:styleId="Heading2Char">
    <w:name w:val="Heading 2 Char"/>
    <w:basedOn w:val="DefaultParagraphFont"/>
    <w:link w:val="Heading2"/>
    <w:uiPriority w:val="9"/>
    <w:rsid w:val="00756C13"/>
    <w:rPr>
      <w:rFonts w:asciiTheme="majorHAnsi" w:eastAsiaTheme="majorEastAsia" w:hAnsiTheme="majorHAnsi" w:cs="Shofar"/>
      <w:bCs/>
      <w:sz w:val="26"/>
    </w:rPr>
  </w:style>
  <w:style w:type="paragraph" w:styleId="FootnoteText">
    <w:name w:val="footnote text"/>
    <w:basedOn w:val="Normal"/>
    <w:link w:val="FootnoteTextChar"/>
    <w:uiPriority w:val="99"/>
    <w:semiHidden/>
    <w:unhideWhenUsed/>
    <w:rsid w:val="00756C13"/>
    <w:pPr>
      <w:spacing w:line="240" w:lineRule="auto"/>
    </w:pPr>
    <w:rPr>
      <w:sz w:val="20"/>
      <w:szCs w:val="20"/>
    </w:rPr>
  </w:style>
  <w:style w:type="character" w:customStyle="1" w:styleId="FootnoteTextChar">
    <w:name w:val="Footnote Text Char"/>
    <w:basedOn w:val="DefaultParagraphFont"/>
    <w:link w:val="FootnoteText"/>
    <w:uiPriority w:val="99"/>
    <w:semiHidden/>
    <w:rsid w:val="00756C13"/>
    <w:rPr>
      <w:rFonts w:cs="Shofar"/>
      <w:sz w:val="20"/>
      <w:szCs w:val="20"/>
    </w:rPr>
  </w:style>
  <w:style w:type="character" w:styleId="FootnoteReference">
    <w:name w:val="footnote reference"/>
    <w:basedOn w:val="DefaultParagraphFont"/>
    <w:uiPriority w:val="99"/>
    <w:semiHidden/>
    <w:unhideWhenUsed/>
    <w:rsid w:val="00756C1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2</Pages>
  <Words>148</Words>
  <Characters>845</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32</cp:revision>
  <dcterms:created xsi:type="dcterms:W3CDTF">2024-05-12T11:03:00Z</dcterms:created>
  <dcterms:modified xsi:type="dcterms:W3CDTF">2024-05-12T11:39:00Z</dcterms:modified>
</cp:coreProperties>
</file>