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A69A9" w14:textId="77777777" w:rsidR="005732CE" w:rsidRDefault="00000000" w:rsidP="00C65BC5">
      <w:pPr>
        <w:pStyle w:val="Heading2"/>
        <w:jc w:val="both"/>
        <w:rPr>
          <w:rFonts w:ascii="David" w:hAnsi="David" w:cs="David"/>
        </w:rPr>
      </w:pPr>
      <w:r>
        <w:rPr>
          <w:rFonts w:ascii="David" w:hAnsi="David" w:cs="David"/>
          <w:rtl/>
        </w:rPr>
        <w:t>משנה א.</w:t>
      </w:r>
      <w:r>
        <w:rPr>
          <w:rStyle w:val="FootnoteReference"/>
          <w:rFonts w:ascii="David" w:hAnsi="David" w:cs="David"/>
          <w:rtl/>
        </w:rPr>
        <w:footnoteReference w:id="1"/>
      </w:r>
    </w:p>
    <w:p w14:paraId="56A9320A" w14:textId="77777777" w:rsidR="004630F5" w:rsidRDefault="00000000" w:rsidP="00C65BC5">
      <w:pPr>
        <w:jc w:val="both"/>
        <w:rPr>
          <w:rFonts w:ascii="David" w:hAnsi="David" w:cs="David"/>
          <w:rtl/>
          <w:lang w:bidi="he-IL"/>
        </w:rPr>
      </w:pPr>
      <w:r>
        <w:rPr>
          <w:rFonts w:ascii="David" w:hAnsi="David" w:cs="David"/>
          <w:rtl/>
        </w:rPr>
        <w:t>אֵיזֶהוּ מְקוֹמָן שֶׁל זְבָחִים, קָדְשֵׁי קָדָשִׁים שְׁחִיטָתָן</w:t>
      </w:r>
      <w:r>
        <w:rPr>
          <w:rStyle w:val="FootnoteReference"/>
          <w:rFonts w:ascii="David" w:hAnsi="David" w:cs="David"/>
          <w:rtl/>
        </w:rPr>
        <w:footnoteReference w:id="2"/>
      </w:r>
      <w:r>
        <w:rPr>
          <w:rFonts w:ascii="David" w:hAnsi="David" w:cs="David"/>
          <w:rtl/>
        </w:rPr>
        <w:t xml:space="preserve"> בַּצָּפוֹן</w:t>
      </w:r>
      <w:r>
        <w:rPr>
          <w:rStyle w:val="FootnoteReference"/>
          <w:rFonts w:ascii="David" w:hAnsi="David" w:cs="David"/>
          <w:rtl/>
        </w:rPr>
        <w:footnoteReference w:id="3"/>
      </w:r>
      <w:r>
        <w:rPr>
          <w:rStyle w:val="FootnoteReference"/>
          <w:rFonts w:ascii="David" w:hAnsi="David" w:cs="David"/>
          <w:rtl/>
        </w:rPr>
        <w:footnoteReference w:id="4"/>
      </w:r>
      <w:r>
        <w:rPr>
          <w:rFonts w:ascii="David" w:hAnsi="David" w:cs="David"/>
          <w:rtl/>
        </w:rPr>
        <w:t>.</w:t>
      </w:r>
      <w:r>
        <w:rPr>
          <w:rStyle w:val="FootnoteReference"/>
          <w:rFonts w:ascii="David" w:hAnsi="David" w:cs="David"/>
          <w:rtl/>
        </w:rPr>
        <w:footnoteReference w:id="5"/>
      </w:r>
      <w:r>
        <w:rPr>
          <w:rFonts w:ascii="David" w:hAnsi="David" w:cs="David"/>
          <w:rtl/>
        </w:rPr>
        <w:t xml:space="preserve"> </w:t>
      </w:r>
    </w:p>
    <w:p w14:paraId="49A46EDB" w14:textId="18D0D7DE" w:rsidR="005732CE" w:rsidRDefault="00000000" w:rsidP="00C65BC5">
      <w:pPr>
        <w:jc w:val="both"/>
        <w:rPr>
          <w:rFonts w:ascii="David" w:hAnsi="David" w:cs="David"/>
        </w:rPr>
      </w:pPr>
      <w:r>
        <w:rPr>
          <w:rStyle w:val="FootnoteReference"/>
          <w:rFonts w:ascii="David" w:hAnsi="David" w:cs="David"/>
          <w:rtl/>
        </w:rPr>
        <w:lastRenderedPageBreak/>
        <w:footnoteReference w:id="6"/>
      </w:r>
      <w:r>
        <w:rPr>
          <w:rFonts w:ascii="David" w:hAnsi="David" w:cs="David"/>
          <w:rtl/>
        </w:rPr>
        <w:t>פַּר וְשָׂעִיר שֶׁל יוֹם הַכִּפּוּרִים</w:t>
      </w:r>
      <w:r>
        <w:rPr>
          <w:rStyle w:val="FootnoteReference"/>
          <w:rFonts w:ascii="David" w:hAnsi="David" w:cs="David"/>
          <w:rtl/>
        </w:rPr>
        <w:footnoteReference w:id="7"/>
      </w:r>
      <w:r>
        <w:rPr>
          <w:rFonts w:ascii="David" w:hAnsi="David" w:cs="David"/>
          <w:rtl/>
        </w:rPr>
        <w:t xml:space="preserve"> שְׁחִיטָתָן בַּצָּפוֹן</w:t>
      </w:r>
      <w:r>
        <w:rPr>
          <w:rStyle w:val="FootnoteReference"/>
          <w:rFonts w:ascii="David" w:hAnsi="David" w:cs="David"/>
          <w:rtl/>
        </w:rPr>
        <w:footnoteReference w:id="8"/>
      </w:r>
      <w:r>
        <w:rPr>
          <w:rStyle w:val="FootnoteReference"/>
          <w:rFonts w:ascii="David" w:hAnsi="David" w:cs="David"/>
          <w:rtl/>
        </w:rPr>
        <w:footnoteReference w:id="9"/>
      </w:r>
      <w:r>
        <w:rPr>
          <w:rFonts w:ascii="David" w:hAnsi="David" w:cs="David"/>
          <w:rtl/>
        </w:rPr>
        <w:t>, וְקִבּוּל דָּמָן בִּכְלִי שָׁרֵת</w:t>
      </w:r>
      <w:r>
        <w:rPr>
          <w:rStyle w:val="FootnoteReference"/>
          <w:rFonts w:ascii="David" w:hAnsi="David" w:cs="David"/>
          <w:rtl/>
        </w:rPr>
        <w:footnoteReference w:id="10"/>
      </w:r>
      <w:r w:rsidR="00E0091D">
        <w:rPr>
          <w:rFonts w:ascii="David" w:hAnsi="David" w:cs="David" w:hint="cs"/>
          <w:rtl/>
          <w:lang w:bidi="he-IL"/>
        </w:rPr>
        <w:t xml:space="preserve"> [יד</w:t>
      </w:r>
      <w:r>
        <w:rPr>
          <w:rFonts w:ascii="David" w:hAnsi="David" w:cs="David"/>
          <w:rtl/>
          <w:lang w:bidi="he-IL"/>
        </w:rPr>
        <w:t>]</w:t>
      </w:r>
      <w:r>
        <w:rPr>
          <w:rFonts w:ascii="David" w:hAnsi="David" w:cs="David"/>
          <w:rtl/>
        </w:rPr>
        <w:t xml:space="preserve"> בַּצָּפוֹן</w:t>
      </w:r>
      <w:r>
        <w:rPr>
          <w:rStyle w:val="FootnoteReference"/>
          <w:rFonts w:ascii="David" w:hAnsi="David" w:cs="David"/>
          <w:rtl/>
        </w:rPr>
        <w:footnoteReference w:id="11"/>
      </w:r>
      <w:r>
        <w:rPr>
          <w:rFonts w:ascii="David" w:hAnsi="David" w:cs="David"/>
          <w:rtl/>
        </w:rPr>
        <w:t>, וְדָמָן טָעוּן הַזָּיָה עַל בֵּין הַבַּדִּים</w:t>
      </w:r>
      <w:r>
        <w:rPr>
          <w:rStyle w:val="FootnoteReference"/>
          <w:rFonts w:ascii="David" w:hAnsi="David" w:cs="David"/>
          <w:rtl/>
        </w:rPr>
        <w:footnoteReference w:id="12"/>
      </w:r>
      <w:r>
        <w:rPr>
          <w:rStyle w:val="FootnoteReference"/>
          <w:rFonts w:ascii="David" w:hAnsi="David" w:cs="David"/>
          <w:rtl/>
        </w:rPr>
        <w:footnoteReference w:id="13"/>
      </w:r>
      <w:r>
        <w:rPr>
          <w:rFonts w:ascii="David" w:hAnsi="David" w:cs="David"/>
          <w:rtl/>
        </w:rPr>
        <w:t xml:space="preserve"> וְעַל הַפָּרֹכֶת</w:t>
      </w:r>
      <w:r>
        <w:rPr>
          <w:rStyle w:val="FootnoteReference"/>
          <w:rFonts w:ascii="David" w:hAnsi="David" w:cs="David"/>
          <w:rtl/>
        </w:rPr>
        <w:footnoteReference w:id="14"/>
      </w:r>
      <w:r>
        <w:rPr>
          <w:rStyle w:val="FootnoteReference"/>
          <w:rFonts w:ascii="David" w:hAnsi="David" w:cs="David"/>
          <w:rtl/>
        </w:rPr>
        <w:footnoteReference w:id="15"/>
      </w:r>
      <w:r>
        <w:rPr>
          <w:rFonts w:ascii="David" w:hAnsi="David" w:cs="David"/>
          <w:rtl/>
        </w:rPr>
        <w:t xml:space="preserve"> וְעַל </w:t>
      </w:r>
      <w:r>
        <w:rPr>
          <w:rFonts w:ascii="David" w:hAnsi="David" w:cs="David"/>
          <w:rtl/>
        </w:rPr>
        <w:lastRenderedPageBreak/>
        <w:t>מִזְבַּח הַזָּהָב</w:t>
      </w:r>
      <w:r>
        <w:rPr>
          <w:rStyle w:val="FootnoteReference"/>
          <w:rFonts w:ascii="David" w:hAnsi="David" w:cs="David"/>
          <w:rtl/>
        </w:rPr>
        <w:footnoteReference w:id="16"/>
      </w:r>
      <w:r>
        <w:rPr>
          <w:rStyle w:val="FootnoteReference"/>
          <w:rFonts w:ascii="David" w:hAnsi="David" w:cs="David"/>
          <w:rtl/>
        </w:rPr>
        <w:footnoteReference w:id="17"/>
      </w:r>
      <w:r>
        <w:rPr>
          <w:rFonts w:ascii="David" w:hAnsi="David" w:cs="David"/>
          <w:rtl/>
        </w:rPr>
        <w:t>. מַתָּנָה אַחַת מֵהֶן מְעַכָּבֶת</w:t>
      </w:r>
      <w:r>
        <w:rPr>
          <w:rStyle w:val="FootnoteReference"/>
          <w:rFonts w:ascii="David" w:hAnsi="David" w:cs="David"/>
          <w:rtl/>
        </w:rPr>
        <w:footnoteReference w:id="18"/>
      </w:r>
      <w:r>
        <w:rPr>
          <w:rStyle w:val="FootnoteReference"/>
          <w:rFonts w:ascii="David" w:hAnsi="David" w:cs="David"/>
          <w:rtl/>
        </w:rPr>
        <w:footnoteReference w:id="19"/>
      </w:r>
      <w:r>
        <w:rPr>
          <w:rFonts w:ascii="David" w:hAnsi="David" w:cs="David"/>
          <w:rtl/>
        </w:rPr>
        <w:t>. שְׁיָרֵי הַדָּם הָיָה שׁוֹפֵךְ עַל יְסוֹד מַעֲרָבִי</w:t>
      </w:r>
      <w:r>
        <w:rPr>
          <w:rStyle w:val="FootnoteReference"/>
          <w:rFonts w:ascii="David" w:hAnsi="David" w:cs="David"/>
          <w:rtl/>
        </w:rPr>
        <w:footnoteReference w:id="20"/>
      </w:r>
      <w:r>
        <w:rPr>
          <w:rFonts w:ascii="David" w:hAnsi="David" w:cs="David"/>
          <w:rtl/>
        </w:rPr>
        <w:t xml:space="preserve"> שֶׁל מִזְבֵּחַ הַחִיצוֹן</w:t>
      </w:r>
      <w:r>
        <w:rPr>
          <w:rStyle w:val="FootnoteReference"/>
          <w:rFonts w:ascii="David" w:hAnsi="David" w:cs="David"/>
          <w:rtl/>
        </w:rPr>
        <w:footnoteReference w:id="21"/>
      </w:r>
      <w:r>
        <w:rPr>
          <w:rFonts w:ascii="David" w:hAnsi="David" w:cs="David"/>
          <w:rtl/>
        </w:rPr>
        <w:t>. אִם לֹא נָתַן, לֹא עִכֵּב</w:t>
      </w:r>
      <w:r>
        <w:rPr>
          <w:rStyle w:val="FootnoteReference"/>
          <w:rFonts w:ascii="David" w:hAnsi="David" w:cs="David"/>
          <w:rtl/>
        </w:rPr>
        <w:footnoteReference w:id="22"/>
      </w:r>
      <w:r>
        <w:rPr>
          <w:rStyle w:val="FootnoteReference"/>
          <w:rFonts w:ascii="David" w:hAnsi="David" w:cs="David"/>
          <w:rtl/>
        </w:rPr>
        <w:footnoteReference w:id="23"/>
      </w:r>
      <w:r>
        <w:rPr>
          <w:rFonts w:ascii="David" w:hAnsi="David" w:cs="David"/>
          <w:rtl/>
        </w:rPr>
        <w:t xml:space="preserve">: </w:t>
      </w:r>
    </w:p>
    <w:sectPr w:rsidR="005732CE" w:rsidSect="00C65BC5">
      <w:pgSz w:w="7200" w:h="11520"/>
      <w:pgMar w:top="720" w:right="720" w:bottom="720" w:left="720" w:header="0" w:footer="0" w:gutter="0"/>
      <w:cols w:space="720"/>
      <w:formProt w:val="0"/>
      <w:bidi/>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D3F0B" w14:textId="77777777" w:rsidR="00212773" w:rsidRDefault="00212773">
      <w:r>
        <w:separator/>
      </w:r>
    </w:p>
  </w:endnote>
  <w:endnote w:type="continuationSeparator" w:id="0">
    <w:p w14:paraId="0883233D" w14:textId="77777777" w:rsidR="00212773" w:rsidRDefault="00212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0"/>
    <w:family w:val="roman"/>
    <w:pitch w:val="variable"/>
    <w:sig w:usb0="A00002AF" w:usb1="500078FB" w:usb2="00000000" w:usb3="00000000" w:csb0="0000009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A00002AF" w:usb1="500078FB" w:usb2="00000000" w:usb3="00000000" w:csb0="0000009F" w:csb1="00000000"/>
  </w:font>
  <w:font w:name="Microsoft YaHei">
    <w:panose1 w:val="020B0503020204020204"/>
    <w:charset w:val="00"/>
    <w:family w:val="roman"/>
    <w:notTrueType/>
    <w:pitch w:val="default"/>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0C10C" w14:textId="77777777" w:rsidR="00212773" w:rsidRDefault="00212773">
      <w:r>
        <w:separator/>
      </w:r>
    </w:p>
  </w:footnote>
  <w:footnote w:type="continuationSeparator" w:id="0">
    <w:p w14:paraId="2000A321" w14:textId="77777777" w:rsidR="00212773" w:rsidRDefault="00212773">
      <w:r>
        <w:continuationSeparator/>
      </w:r>
    </w:p>
  </w:footnote>
  <w:footnote w:id="1">
    <w:p w14:paraId="39884138" w14:textId="77777777" w:rsidR="005732CE" w:rsidRDefault="00000000" w:rsidP="00C65BC5">
      <w:pPr>
        <w:pStyle w:val="FootnoteText"/>
        <w:jc w:val="both"/>
        <w:rPr>
          <w:b/>
          <w:bCs/>
          <w:lang w:bidi="he-IL"/>
        </w:rPr>
      </w:pPr>
      <w:r>
        <w:rPr>
          <w:rStyle w:val="FootnoteCharacters"/>
        </w:rPr>
        <w:footnoteRef/>
      </w:r>
      <w:r>
        <w:rPr>
          <w:b/>
          <w:bCs/>
          <w:rtl/>
          <w:lang w:bidi="he-IL"/>
        </w:rPr>
        <w:tab/>
        <w:t>משנה א.</w:t>
      </w:r>
    </w:p>
  </w:footnote>
  <w:footnote w:id="2">
    <w:p w14:paraId="3B3ADE55" w14:textId="77777777" w:rsidR="005732CE" w:rsidRDefault="00000000" w:rsidP="00C65BC5">
      <w:pPr>
        <w:pStyle w:val="FootnoteText"/>
        <w:jc w:val="both"/>
        <w:rPr>
          <w:lang w:bidi="he-IL"/>
        </w:rPr>
      </w:pPr>
      <w:r>
        <w:rPr>
          <w:rStyle w:val="FootnoteCharacters"/>
        </w:rPr>
        <w:footnoteRef/>
      </w:r>
      <w:r>
        <w:rPr>
          <w:rtl/>
          <w:lang w:bidi="he-IL"/>
        </w:rPr>
        <w:tab/>
      </w:r>
      <w:r>
        <w:rPr>
          <w:rtl/>
          <w:lang w:bidi="he-IL"/>
        </w:rPr>
        <w:t xml:space="preserve">גמרא </w:t>
      </w:r>
      <w:r>
        <w:rPr>
          <w:rtl/>
          <w:lang w:bidi="he-IL"/>
        </w:rPr>
        <w:t xml:space="preserve">מפרש </w:t>
      </w:r>
      <w:r>
        <w:rPr>
          <w:b/>
          <w:bCs/>
          <w:u w:val="single"/>
          <w:rtl/>
          <w:lang w:bidi="he-IL"/>
        </w:rPr>
        <w:t>(מח:)</w:t>
      </w:r>
      <w:r>
        <w:rPr>
          <w:rtl/>
          <w:lang w:bidi="he-IL"/>
        </w:rPr>
        <w:t xml:space="preserve"> שזאת אומרת שמעשה השחיטה [א] צריכה להיות בצפון. אבל, השוחט לא צריך להיות עומד בצפון. בע"ה, בהמשך נבאר את המקור לזה.</w:t>
      </w:r>
    </w:p>
  </w:footnote>
  <w:footnote w:id="3">
    <w:p w14:paraId="5C702650" w14:textId="77777777" w:rsidR="005732CE" w:rsidRDefault="00000000" w:rsidP="00C65BC5">
      <w:pPr>
        <w:pStyle w:val="FootnoteText"/>
        <w:jc w:val="both"/>
        <w:rPr>
          <w:lang w:bidi="he-IL"/>
        </w:rPr>
      </w:pPr>
      <w:r>
        <w:rPr>
          <w:rStyle w:val="FootnoteCharacters"/>
        </w:rPr>
        <w:footnoteRef/>
      </w:r>
      <w:r>
        <w:rPr>
          <w:rtl/>
          <w:lang w:bidi="he-IL"/>
        </w:rPr>
        <w:tab/>
      </w:r>
      <w:r>
        <w:rPr>
          <w:rtl/>
          <w:lang w:bidi="he-IL"/>
        </w:rPr>
        <w:t xml:space="preserve">שחיטת </w:t>
      </w:r>
      <w:r>
        <w:rPr>
          <w:rtl/>
          <w:lang w:bidi="he-IL"/>
        </w:rPr>
        <w:t>קדשי קדשים צריכה להיות בצפון העזרה. בע"ה, בהמשך נבאר את המקורות לזה.</w:t>
      </w:r>
    </w:p>
  </w:footnote>
  <w:footnote w:id="4">
    <w:p w14:paraId="5FD26408" w14:textId="54492002" w:rsidR="005732CE" w:rsidRDefault="00000000" w:rsidP="00C65BC5">
      <w:pPr>
        <w:pStyle w:val="FootnoteText"/>
        <w:jc w:val="both"/>
        <w:rPr>
          <w:lang w:bidi="he-IL"/>
        </w:rPr>
      </w:pPr>
      <w:r>
        <w:rPr>
          <w:rStyle w:val="FootnoteCharacters"/>
        </w:rPr>
        <w:footnoteRef/>
      </w:r>
      <w:r>
        <w:rPr>
          <w:rtl/>
          <w:lang w:bidi="he-IL"/>
        </w:rPr>
        <w:tab/>
      </w:r>
      <w:r>
        <w:rPr>
          <w:rtl/>
          <w:lang w:bidi="he-IL"/>
        </w:rPr>
        <w:t xml:space="preserve">יש </w:t>
      </w:r>
      <w:r>
        <w:rPr>
          <w:rtl/>
          <w:lang w:bidi="he-IL"/>
        </w:rPr>
        <w:t xml:space="preserve">יוצא אחד מדין זה, והוא אם שחט את הקרבן על המזבח. יש הכשר מיוחד למזבח, כיון שכתיב, “וזבחת עליו את עולותיך ואת שלמיך.” חולקים רבי יוסי ורבי יוסי בר"י אם זה מכשיר את כל המזבח או רק חצי המזבח (חצי הצפוני). עיין בהערות. </w:t>
      </w:r>
      <w:r>
        <w:rPr>
          <w:color w:val="000000"/>
          <w:rtl/>
          <w:lang w:bidi="he-IL"/>
        </w:rPr>
        <w:t xml:space="preserve"> </w:t>
      </w:r>
      <w:r>
        <w:rPr>
          <w:b/>
          <w:bCs/>
          <w:color w:val="000000"/>
          <w:u w:val="single"/>
          <w:rtl/>
          <w:lang w:bidi="he-IL"/>
        </w:rPr>
        <w:t>(נח)</w:t>
      </w:r>
      <w:r w:rsidR="004630F5">
        <w:rPr>
          <w:rFonts w:hint="cs"/>
          <w:b/>
          <w:bCs/>
          <w:color w:val="000000"/>
          <w:rtl/>
          <w:lang w:bidi="he-IL"/>
        </w:rPr>
        <w:t xml:space="preserve"> </w:t>
      </w:r>
      <w:r>
        <w:rPr>
          <w:rtl/>
          <w:lang w:bidi="he-IL"/>
        </w:rPr>
        <w:t>[</w:t>
      </w:r>
      <w:r w:rsidR="004630F5">
        <w:rPr>
          <w:rFonts w:hint="cs"/>
          <w:rtl/>
          <w:lang w:bidi="he-IL"/>
        </w:rPr>
        <w:t>ב</w:t>
      </w:r>
      <w:r>
        <w:rPr>
          <w:rtl/>
          <w:lang w:bidi="he-IL"/>
        </w:rPr>
        <w:t>]</w:t>
      </w:r>
    </w:p>
  </w:footnote>
  <w:footnote w:id="5">
    <w:p w14:paraId="25547E92" w14:textId="0E96C58E" w:rsidR="005732CE" w:rsidRDefault="00000000" w:rsidP="00C65BC5">
      <w:pPr>
        <w:pStyle w:val="FootnoteText"/>
        <w:jc w:val="both"/>
        <w:rPr>
          <w:lang w:bidi="he-IL"/>
        </w:rPr>
      </w:pPr>
      <w:r>
        <w:rPr>
          <w:rStyle w:val="FootnoteCharacters"/>
        </w:rPr>
        <w:footnoteRef/>
      </w:r>
      <w:r>
        <w:rPr>
          <w:rtl/>
          <w:lang w:bidi="he-IL"/>
        </w:rPr>
        <w:tab/>
      </w:r>
      <w:r>
        <w:rPr>
          <w:rtl/>
          <w:lang w:bidi="he-IL"/>
        </w:rPr>
        <w:t xml:space="preserve">כמו שנראה, יש דינים אחרים שנוהגים בדר"כ בכל קדשי קדשים, כמו מה שבכולם צריכים קבלת הדם בכלי בצפון העזרה. גמרא </w:t>
      </w:r>
      <w:r>
        <w:rPr>
          <w:b/>
          <w:bCs/>
          <w:u w:val="single"/>
          <w:rtl/>
          <w:lang w:bidi="he-IL"/>
        </w:rPr>
        <w:t>(מז:)</w:t>
      </w:r>
      <w:r>
        <w:rPr>
          <w:rtl/>
          <w:lang w:bidi="he-IL"/>
        </w:rPr>
        <w:t xml:space="preserve"> מבאר שלא מזכיר אותו כלל כיון שיש שיש מין קדשי קדשים שיש בו קבלת הדם שלא צריכה להיות בכלי. כמו שנראה לקמן, בע"ה, יש שני קבלות דם באשם מצורע, ואחת מהם צריכה להיות</w:t>
      </w:r>
      <w:r>
        <w:rPr>
          <w:color w:val="C9211E"/>
          <w:rtl/>
          <w:lang w:bidi="he-IL"/>
        </w:rPr>
        <w:t xml:space="preserve"> </w:t>
      </w:r>
      <w:r>
        <w:rPr>
          <w:rtl/>
          <w:lang w:bidi="he-IL"/>
        </w:rPr>
        <w:t>ביד [ו]. אז, לא יכול לומר כלל זה בכל קדשי קדשים.</w:t>
      </w:r>
      <w:r w:rsidR="006F3EB2">
        <w:rPr>
          <w:rFonts w:hint="cs"/>
          <w:rtl/>
          <w:lang w:bidi="he-IL"/>
        </w:rPr>
        <w:t xml:space="preserve"> </w:t>
      </w:r>
      <w:r>
        <w:rPr>
          <w:rtl/>
          <w:lang w:bidi="he-IL"/>
        </w:rPr>
        <w:t>[ז]</w:t>
      </w:r>
      <w:r w:rsidR="004630F5">
        <w:rPr>
          <w:rFonts w:hint="cs"/>
          <w:rtl/>
          <w:lang w:bidi="he-IL"/>
        </w:rPr>
        <w:t xml:space="preserve"> [ח]</w:t>
      </w:r>
    </w:p>
  </w:footnote>
  <w:footnote w:id="6">
    <w:p w14:paraId="35885D96" w14:textId="2CBD6C57" w:rsidR="005732CE" w:rsidRDefault="00000000" w:rsidP="00C65BC5">
      <w:pPr>
        <w:pStyle w:val="FootnoteText"/>
        <w:jc w:val="both"/>
        <w:rPr>
          <w:lang w:bidi="he-IL"/>
        </w:rPr>
      </w:pPr>
      <w:r>
        <w:rPr>
          <w:rStyle w:val="FootnoteCharacters"/>
        </w:rPr>
        <w:footnoteRef/>
      </w:r>
      <w:r>
        <w:rPr>
          <w:rtl/>
          <w:lang w:bidi="he-IL"/>
        </w:rPr>
        <w:tab/>
      </w:r>
      <w:r>
        <w:rPr>
          <w:rtl/>
          <w:lang w:bidi="he-IL"/>
        </w:rPr>
        <w:t xml:space="preserve">גמרא </w:t>
      </w:r>
      <w:r>
        <w:rPr>
          <w:b/>
          <w:bCs/>
          <w:u w:val="single"/>
          <w:rtl/>
          <w:lang w:bidi="he-IL"/>
        </w:rPr>
        <w:t>(מח.)</w:t>
      </w:r>
      <w:r>
        <w:rPr>
          <w:rtl/>
          <w:lang w:bidi="he-IL"/>
        </w:rPr>
        <w:t xml:space="preserve"> מפרש שמתחיל באלו כיון שדמם נכנס לתוך קדש קדשים. לכאו’, זה מראה שהם מאד קדושים; כיון שהם כ"כ קדושים, הפרק מתחיל בדינים שלהם.</w:t>
      </w:r>
      <w:r w:rsidR="004630F5">
        <w:rPr>
          <w:rFonts w:hint="cs"/>
          <w:rtl/>
          <w:lang w:bidi="he-IL"/>
        </w:rPr>
        <w:t xml:space="preserve"> [ט]</w:t>
      </w:r>
    </w:p>
  </w:footnote>
  <w:footnote w:id="7">
    <w:p w14:paraId="4B7B2652" w14:textId="77777777" w:rsidR="005732CE" w:rsidRDefault="00000000" w:rsidP="00C65BC5">
      <w:pPr>
        <w:pStyle w:val="FootnoteText"/>
        <w:jc w:val="both"/>
        <w:rPr>
          <w:lang w:bidi="he-IL"/>
        </w:rPr>
      </w:pPr>
      <w:r>
        <w:rPr>
          <w:rStyle w:val="FootnoteCharacters"/>
        </w:rPr>
        <w:footnoteRef/>
      </w:r>
      <w:r>
        <w:rPr>
          <w:rtl/>
          <w:lang w:bidi="he-IL"/>
        </w:rPr>
        <w:tab/>
      </w:r>
      <w:r>
        <w:rPr>
          <w:rtl/>
          <w:lang w:bidi="he-IL"/>
        </w:rPr>
        <w:t xml:space="preserve">הם שני חטאות שכהן גדול מקריב ביום הכיפורים, כמו שכ’, “בזאת יבוא אהרן אל הקודש: בפר… לחטאת… ושני שעירי עזים לחטאת (אלא שרק אחד נקרב, שהשני הולך לעזאזל)." </w:t>
      </w:r>
      <w:r>
        <w:rPr>
          <w:b/>
          <w:bCs/>
          <w:u w:val="single"/>
          <w:rtl/>
          <w:lang w:bidi="he-IL"/>
        </w:rPr>
        <w:t>(ויקרא טז, ג-ה)</w:t>
      </w:r>
    </w:p>
  </w:footnote>
  <w:footnote w:id="8">
    <w:p w14:paraId="4E7A0808" w14:textId="77777777" w:rsidR="005732CE" w:rsidRDefault="00000000" w:rsidP="00C65BC5">
      <w:pPr>
        <w:pStyle w:val="FootnoteText"/>
        <w:jc w:val="both"/>
        <w:rPr>
          <w:lang w:bidi="he-IL"/>
        </w:rPr>
      </w:pPr>
      <w:r>
        <w:rPr>
          <w:rStyle w:val="FootnoteCharacters"/>
        </w:rPr>
        <w:footnoteRef/>
      </w:r>
      <w:r>
        <w:rPr>
          <w:rtl/>
          <w:lang w:bidi="he-IL"/>
        </w:rPr>
        <w:tab/>
      </w:r>
      <w:r>
        <w:rPr>
          <w:rtl/>
          <w:lang w:bidi="he-IL"/>
        </w:rPr>
        <w:t xml:space="preserve">בכלל </w:t>
      </w:r>
      <w:r>
        <w:rPr>
          <w:rtl/>
          <w:lang w:bidi="he-IL"/>
        </w:rPr>
        <w:t>זה, יש שני הלכות:</w:t>
      </w:r>
    </w:p>
    <w:p w14:paraId="3A92F87E" w14:textId="77777777" w:rsidR="005732CE" w:rsidRDefault="00000000" w:rsidP="00C65BC5">
      <w:pPr>
        <w:pStyle w:val="FootnoteText"/>
        <w:numPr>
          <w:ilvl w:val="0"/>
          <w:numId w:val="2"/>
        </w:numPr>
        <w:jc w:val="both"/>
        <w:rPr>
          <w:lang w:bidi="he-IL"/>
        </w:rPr>
      </w:pPr>
      <w:r>
        <w:rPr>
          <w:rtl/>
          <w:lang w:bidi="he-IL"/>
        </w:rPr>
        <w:t xml:space="preserve">שהשחיטה צריכה להיות בצפון העזרה. </w:t>
      </w:r>
    </w:p>
    <w:p w14:paraId="3353CE98" w14:textId="77777777" w:rsidR="005732CE" w:rsidRDefault="00000000" w:rsidP="00C65BC5">
      <w:pPr>
        <w:pStyle w:val="FootnoteText"/>
        <w:numPr>
          <w:ilvl w:val="0"/>
          <w:numId w:val="2"/>
        </w:numPr>
        <w:jc w:val="both"/>
        <w:rPr>
          <w:color w:val="000000"/>
          <w:lang w:bidi="he-IL"/>
        </w:rPr>
      </w:pPr>
      <w:r>
        <w:rPr>
          <w:color w:val="000000"/>
          <w:rtl/>
          <w:lang w:bidi="he-IL"/>
        </w:rPr>
        <w:t>שאם השחיטה אינה בצפון, הקרבן פסול.</w:t>
      </w:r>
    </w:p>
    <w:p w14:paraId="31296860" w14:textId="2BF07AC3" w:rsidR="005732CE" w:rsidRDefault="00000000" w:rsidP="00C65BC5">
      <w:pPr>
        <w:pStyle w:val="FootnoteText"/>
        <w:jc w:val="both"/>
        <w:rPr>
          <w:color w:val="000000"/>
          <w:lang w:bidi="he-IL"/>
        </w:rPr>
      </w:pPr>
      <w:r>
        <w:rPr>
          <w:color w:val="000000"/>
          <w:rtl/>
          <w:lang w:bidi="he-IL"/>
        </w:rPr>
        <w:tab/>
        <w:t>שנים אלו הם מיני חטאת, ושני דינים אלו נוהגים בכל חטאות. [</w:t>
      </w:r>
      <w:r w:rsidR="004630F5">
        <w:rPr>
          <w:rFonts w:hint="cs"/>
          <w:color w:val="000000"/>
          <w:rtl/>
          <w:lang w:bidi="he-IL"/>
        </w:rPr>
        <w:t>י</w:t>
      </w:r>
      <w:r>
        <w:rPr>
          <w:color w:val="000000"/>
          <w:rtl/>
          <w:lang w:bidi="he-IL"/>
        </w:rPr>
        <w:t>]</w:t>
      </w:r>
    </w:p>
  </w:footnote>
  <w:footnote w:id="9">
    <w:p w14:paraId="1C95E579" w14:textId="1D06EF8E" w:rsidR="005732CE" w:rsidRDefault="00000000" w:rsidP="00C65BC5">
      <w:pPr>
        <w:pStyle w:val="FootnoteText"/>
        <w:jc w:val="both"/>
        <w:rPr>
          <w:lang w:bidi="he-IL"/>
        </w:rPr>
      </w:pPr>
      <w:r>
        <w:rPr>
          <w:rStyle w:val="FootnoteCharacters"/>
        </w:rPr>
        <w:footnoteRef/>
      </w:r>
      <w:r>
        <w:rPr>
          <w:rtl/>
          <w:lang w:bidi="he-IL"/>
        </w:rPr>
        <w:tab/>
      </w:r>
      <w:r>
        <w:rPr>
          <w:rtl/>
          <w:lang w:bidi="he-IL"/>
        </w:rPr>
        <w:t xml:space="preserve">גמרא מבאר </w:t>
      </w:r>
      <w:r>
        <w:rPr>
          <w:b/>
          <w:bCs/>
          <w:u w:val="single"/>
          <w:rtl/>
          <w:lang w:bidi="he-IL"/>
        </w:rPr>
        <w:t>(מח:)</w:t>
      </w:r>
      <w:r>
        <w:rPr>
          <w:rtl/>
          <w:lang w:bidi="he-IL"/>
        </w:rPr>
        <w:t xml:space="preserve"> שרק שהשחיטה צ"ל בצפון, אבל השוחט לא צ"ל בצפון. (זאת אומרת שאין דין ראשון (דין לכתחילה) ודין שני (דין בדיעבד) נוהג בשוחט, ואין אף מצווה שיהיה בצפון.) [</w:t>
      </w:r>
      <w:r w:rsidR="004630F5">
        <w:rPr>
          <w:rFonts w:hint="cs"/>
          <w:rtl/>
          <w:lang w:bidi="he-IL"/>
        </w:rPr>
        <w:t>יא]</w:t>
      </w:r>
    </w:p>
    <w:p w14:paraId="3D910815" w14:textId="23917CAE" w:rsidR="005732CE" w:rsidRDefault="00000000" w:rsidP="00C65BC5">
      <w:pPr>
        <w:pStyle w:val="FootnoteText"/>
        <w:jc w:val="both"/>
        <w:rPr>
          <w:color w:val="000000"/>
          <w:lang w:bidi="he-IL"/>
        </w:rPr>
      </w:pPr>
      <w:r>
        <w:rPr>
          <w:color w:val="000000"/>
          <w:rtl/>
          <w:lang w:bidi="he-IL"/>
        </w:rPr>
        <w:tab/>
        <w:t>דורשים את זה ממש"כ, “ושחט אותו.”  [</w:t>
      </w:r>
      <w:r w:rsidR="00071F15">
        <w:rPr>
          <w:rFonts w:hint="cs"/>
          <w:color w:val="000000"/>
          <w:rtl/>
          <w:lang w:bidi="he-IL"/>
        </w:rPr>
        <w:t>יב]</w:t>
      </w:r>
    </w:p>
  </w:footnote>
  <w:footnote w:id="10">
    <w:p w14:paraId="7FEFDF26" w14:textId="6AFDA846" w:rsidR="005732CE" w:rsidRDefault="00000000" w:rsidP="00C65BC5">
      <w:pPr>
        <w:pStyle w:val="FootnoteText"/>
        <w:jc w:val="both"/>
        <w:rPr>
          <w:lang w:bidi="he-IL"/>
        </w:rPr>
      </w:pPr>
      <w:r>
        <w:rPr>
          <w:rStyle w:val="FootnoteCharacters"/>
        </w:rPr>
        <w:footnoteRef/>
      </w:r>
      <w:r>
        <w:rPr>
          <w:rtl/>
          <w:lang w:bidi="he-IL"/>
        </w:rPr>
        <w:tab/>
      </w:r>
      <w:r>
        <w:rPr>
          <w:rtl/>
          <w:lang w:bidi="he-IL"/>
        </w:rPr>
        <w:t xml:space="preserve">גמ’ </w:t>
      </w:r>
      <w:r>
        <w:rPr>
          <w:b/>
          <w:bCs/>
          <w:u w:val="single"/>
          <w:rtl/>
          <w:lang w:bidi="he-IL"/>
        </w:rPr>
        <w:t>(צז:)</w:t>
      </w:r>
      <w:r>
        <w:rPr>
          <w:rtl/>
          <w:lang w:bidi="he-IL"/>
        </w:rPr>
        <w:t xml:space="preserve"> דורש כן ממה שמשה קבל דם של שלמי ציבור בכלים, שכ’, “וישם באגנות.” כיון שכ’, “זאת התורה…,” מקיש כל הקרבנות לשלמים, ולומדים שקבלת כל קרבנות צ"ל בכלי. [</w:t>
      </w:r>
      <w:r w:rsidR="00E0091D">
        <w:rPr>
          <w:rFonts w:hint="cs"/>
          <w:rtl/>
          <w:lang w:bidi="he-IL"/>
        </w:rPr>
        <w:t>יג]</w:t>
      </w:r>
    </w:p>
  </w:footnote>
  <w:footnote w:id="11">
    <w:p w14:paraId="3050A69F" w14:textId="77777777" w:rsidR="005732CE" w:rsidRDefault="00000000" w:rsidP="00C65BC5">
      <w:pPr>
        <w:pStyle w:val="FootnoteText"/>
        <w:jc w:val="both"/>
        <w:rPr>
          <w:lang w:bidi="he-IL"/>
        </w:rPr>
      </w:pPr>
      <w:r>
        <w:rPr>
          <w:rStyle w:val="FootnoteCharacters"/>
        </w:rPr>
        <w:footnoteRef/>
      </w:r>
      <w:r>
        <w:rPr>
          <w:rtl/>
          <w:lang w:bidi="he-IL"/>
        </w:rPr>
        <w:tab/>
      </w:r>
      <w:r>
        <w:rPr>
          <w:rtl/>
          <w:lang w:bidi="he-IL"/>
        </w:rPr>
        <w:t>יש בזה שני דינים, ובכל אחד יש שני דינים:</w:t>
      </w:r>
    </w:p>
    <w:p w14:paraId="2114F84E" w14:textId="77777777" w:rsidR="005732CE" w:rsidRDefault="00000000" w:rsidP="00C65BC5">
      <w:pPr>
        <w:pStyle w:val="FootnoteText"/>
        <w:numPr>
          <w:ilvl w:val="0"/>
          <w:numId w:val="3"/>
        </w:numPr>
        <w:jc w:val="both"/>
        <w:rPr>
          <w:lang w:bidi="he-IL"/>
        </w:rPr>
      </w:pPr>
      <w:r>
        <w:rPr>
          <w:rtl/>
          <w:lang w:bidi="he-IL"/>
        </w:rPr>
        <w:t>הקבלה צריכה להיות בצפון:</w:t>
      </w:r>
    </w:p>
    <w:p w14:paraId="3C869A4F" w14:textId="77777777" w:rsidR="005732CE" w:rsidRDefault="00000000" w:rsidP="00C65BC5">
      <w:pPr>
        <w:pStyle w:val="FootnoteText"/>
        <w:numPr>
          <w:ilvl w:val="1"/>
          <w:numId w:val="3"/>
        </w:numPr>
        <w:jc w:val="both"/>
        <w:rPr>
          <w:lang w:bidi="he-IL"/>
        </w:rPr>
      </w:pPr>
      <w:r>
        <w:rPr>
          <w:rtl/>
          <w:lang w:bidi="he-IL"/>
        </w:rPr>
        <w:t xml:space="preserve">הקבלה צריכה להיות בצפון. </w:t>
      </w:r>
    </w:p>
    <w:p w14:paraId="12DA979A" w14:textId="77777777" w:rsidR="005732CE" w:rsidRDefault="00000000" w:rsidP="00C65BC5">
      <w:pPr>
        <w:pStyle w:val="FootnoteText"/>
        <w:numPr>
          <w:ilvl w:val="1"/>
          <w:numId w:val="3"/>
        </w:numPr>
        <w:jc w:val="both"/>
        <w:rPr>
          <w:lang w:bidi="he-IL"/>
        </w:rPr>
      </w:pPr>
      <w:r>
        <w:rPr>
          <w:rtl/>
          <w:lang w:bidi="he-IL"/>
        </w:rPr>
        <w:t>אם הקבלה אינה בצפון, הקרבן פסול.</w:t>
      </w:r>
    </w:p>
    <w:p w14:paraId="66F6ACAF" w14:textId="77777777" w:rsidR="005732CE" w:rsidRDefault="00000000" w:rsidP="00C65BC5">
      <w:pPr>
        <w:pStyle w:val="FootnoteText"/>
        <w:numPr>
          <w:ilvl w:val="0"/>
          <w:numId w:val="3"/>
        </w:numPr>
        <w:jc w:val="both"/>
        <w:rPr>
          <w:lang w:bidi="he-IL"/>
        </w:rPr>
      </w:pPr>
      <w:r>
        <w:rPr>
          <w:rtl/>
          <w:lang w:bidi="he-IL"/>
        </w:rPr>
        <w:t>המקבל צריך להיות בצפון:</w:t>
      </w:r>
    </w:p>
    <w:p w14:paraId="204BA931" w14:textId="77777777" w:rsidR="005732CE" w:rsidRDefault="00000000" w:rsidP="00C65BC5">
      <w:pPr>
        <w:pStyle w:val="FootnoteText"/>
        <w:numPr>
          <w:ilvl w:val="1"/>
          <w:numId w:val="3"/>
        </w:numPr>
        <w:jc w:val="both"/>
        <w:rPr>
          <w:lang w:bidi="he-IL"/>
        </w:rPr>
      </w:pPr>
      <w:r>
        <w:rPr>
          <w:rtl/>
          <w:lang w:bidi="he-IL"/>
        </w:rPr>
        <w:t xml:space="preserve">המקבל צריך להיות בצפון. </w:t>
      </w:r>
    </w:p>
    <w:p w14:paraId="11A67AB2" w14:textId="77777777" w:rsidR="005732CE" w:rsidRDefault="00000000" w:rsidP="00C65BC5">
      <w:pPr>
        <w:pStyle w:val="FootnoteText"/>
        <w:numPr>
          <w:ilvl w:val="1"/>
          <w:numId w:val="3"/>
        </w:numPr>
        <w:jc w:val="both"/>
        <w:rPr>
          <w:lang w:bidi="he-IL"/>
        </w:rPr>
      </w:pPr>
      <w:r>
        <w:rPr>
          <w:rtl/>
          <w:lang w:bidi="he-IL"/>
        </w:rPr>
        <w:t>אם המקבל אינו בצפון, הקרבן פסול.</w:t>
      </w:r>
    </w:p>
    <w:p w14:paraId="3ABDB37D" w14:textId="77777777" w:rsidR="005732CE" w:rsidRDefault="00000000" w:rsidP="00C65BC5">
      <w:pPr>
        <w:pStyle w:val="FootnoteText"/>
        <w:jc w:val="both"/>
        <w:rPr>
          <w:lang w:bidi="he-IL"/>
        </w:rPr>
      </w:pPr>
      <w:r>
        <w:rPr>
          <w:rtl/>
          <w:lang w:bidi="he-IL"/>
        </w:rPr>
        <w:tab/>
        <w:t>שנים אלו הם מיני חטאת, ושני דינים אלו נוהגים בכל חטאות. לקמן, נבאר המקורות שנוהגות בכל חטאת.</w:t>
      </w:r>
    </w:p>
  </w:footnote>
  <w:footnote w:id="12">
    <w:p w14:paraId="1A9B9E6D" w14:textId="77777777" w:rsidR="005732CE" w:rsidRDefault="00000000" w:rsidP="00C65BC5">
      <w:pPr>
        <w:pStyle w:val="FootnoteText"/>
        <w:jc w:val="both"/>
        <w:rPr>
          <w:lang w:bidi="he-IL"/>
        </w:rPr>
      </w:pPr>
      <w:r>
        <w:rPr>
          <w:rStyle w:val="FootnoteCharacters"/>
        </w:rPr>
        <w:footnoteRef/>
      </w:r>
      <w:r>
        <w:rPr>
          <w:rtl/>
          <w:lang w:bidi="he-IL"/>
        </w:rPr>
        <w:tab/>
      </w:r>
      <w:r>
        <w:rPr>
          <w:rtl/>
          <w:lang w:bidi="he-IL"/>
        </w:rPr>
        <w:t xml:space="preserve">בפר, </w:t>
      </w:r>
      <w:r>
        <w:rPr>
          <w:rtl/>
          <w:lang w:bidi="he-IL"/>
        </w:rPr>
        <w:t>זה נלמד ממש"כ, “ולקח מדם הפר והזה באצבעו על פני הכפרת…ולפני הכפרת…."</w:t>
      </w:r>
    </w:p>
    <w:p w14:paraId="5F19712B" w14:textId="77777777" w:rsidR="005732CE" w:rsidRDefault="00000000" w:rsidP="00C65BC5">
      <w:pPr>
        <w:pStyle w:val="FootnoteText"/>
        <w:jc w:val="both"/>
        <w:rPr>
          <w:lang w:bidi="he-IL"/>
        </w:rPr>
      </w:pPr>
      <w:r>
        <w:rPr>
          <w:rtl/>
          <w:lang w:bidi="he-IL"/>
        </w:rPr>
        <w:tab/>
        <w:t>בשער, זה נלמד ממש"כ, “והזה [את דמו] על הכפרת ולפני הכרת.”</w:t>
      </w:r>
    </w:p>
  </w:footnote>
  <w:footnote w:id="13">
    <w:p w14:paraId="6E1779F3" w14:textId="77777777" w:rsidR="005732CE" w:rsidRDefault="00000000" w:rsidP="00C65BC5">
      <w:pPr>
        <w:pStyle w:val="FootnoteText"/>
        <w:jc w:val="both"/>
        <w:rPr>
          <w:lang w:bidi="he-IL"/>
        </w:rPr>
      </w:pPr>
      <w:r>
        <w:rPr>
          <w:rStyle w:val="FootnoteCharacters"/>
        </w:rPr>
        <w:footnoteRef/>
      </w:r>
      <w:r>
        <w:rPr>
          <w:rtl/>
          <w:lang w:bidi="he-IL"/>
        </w:rPr>
        <w:tab/>
      </w:r>
      <w:r>
        <w:rPr>
          <w:rtl/>
          <w:lang w:bidi="he-IL"/>
        </w:rPr>
        <w:t xml:space="preserve">גמרא </w:t>
      </w:r>
      <w:r>
        <w:rPr>
          <w:rtl/>
          <w:lang w:bidi="he-IL"/>
        </w:rPr>
        <w:t xml:space="preserve">מפרש </w:t>
      </w:r>
      <w:r>
        <w:rPr>
          <w:b/>
          <w:bCs/>
          <w:u w:val="single"/>
          <w:rtl/>
          <w:lang w:bidi="he-IL"/>
        </w:rPr>
        <w:t>(יומא נג:)</w:t>
      </w:r>
      <w:r>
        <w:rPr>
          <w:rtl/>
          <w:lang w:bidi="he-IL"/>
        </w:rPr>
        <w:t xml:space="preserve"> שהיה מזה פעם למעלה ושבע פעמים למטה.</w:t>
      </w:r>
    </w:p>
  </w:footnote>
  <w:footnote w:id="14">
    <w:p w14:paraId="15AE5EBC" w14:textId="77777777" w:rsidR="005732CE" w:rsidRDefault="00000000" w:rsidP="00C65BC5">
      <w:pPr>
        <w:pStyle w:val="FootnoteText"/>
        <w:jc w:val="both"/>
        <w:rPr>
          <w:lang w:bidi="he-IL"/>
        </w:rPr>
      </w:pPr>
      <w:r>
        <w:rPr>
          <w:rStyle w:val="FootnoteCharacters"/>
        </w:rPr>
        <w:footnoteRef/>
      </w:r>
      <w:r>
        <w:rPr>
          <w:rtl/>
          <w:lang w:bidi="he-IL"/>
        </w:rPr>
        <w:tab/>
      </w:r>
      <w:r>
        <w:rPr>
          <w:rtl/>
          <w:lang w:bidi="he-IL"/>
        </w:rPr>
        <w:t xml:space="preserve">בפר </w:t>
      </w:r>
      <w:r>
        <w:rPr>
          <w:rtl/>
          <w:lang w:bidi="he-IL"/>
        </w:rPr>
        <w:t xml:space="preserve">ושעיר, זה נלמד ממש"כ, “וכן יעשה לאהל מועד.” </w:t>
      </w:r>
      <w:r>
        <w:rPr>
          <w:b/>
          <w:bCs/>
          <w:u w:val="single"/>
          <w:rtl/>
          <w:lang w:bidi="he-IL"/>
        </w:rPr>
        <w:t>(יומא נו:)</w:t>
      </w:r>
    </w:p>
  </w:footnote>
  <w:footnote w:id="15">
    <w:p w14:paraId="5D7504B9" w14:textId="77777777" w:rsidR="005732CE" w:rsidRDefault="00000000" w:rsidP="00C65BC5">
      <w:pPr>
        <w:pStyle w:val="FootnoteText"/>
        <w:jc w:val="both"/>
        <w:rPr>
          <w:lang w:bidi="he-IL"/>
        </w:rPr>
      </w:pPr>
      <w:r>
        <w:rPr>
          <w:rStyle w:val="FootnoteCharacters"/>
        </w:rPr>
        <w:footnoteRef/>
      </w:r>
      <w:r>
        <w:rPr>
          <w:rtl/>
          <w:lang w:bidi="he-IL"/>
        </w:rPr>
        <w:tab/>
      </w:r>
      <w:r>
        <w:rPr>
          <w:rtl/>
          <w:lang w:bidi="he-IL"/>
        </w:rPr>
        <w:t xml:space="preserve">גמרא </w:t>
      </w:r>
      <w:r>
        <w:rPr>
          <w:rtl/>
          <w:lang w:bidi="he-IL"/>
        </w:rPr>
        <w:t xml:space="preserve">מפרש </w:t>
      </w:r>
      <w:r>
        <w:rPr>
          <w:b/>
          <w:bCs/>
          <w:u w:val="single"/>
          <w:rtl/>
          <w:lang w:bidi="he-IL"/>
        </w:rPr>
        <w:t>(יומא נג:)</w:t>
      </w:r>
      <w:r>
        <w:rPr>
          <w:rtl/>
          <w:lang w:bidi="he-IL"/>
        </w:rPr>
        <w:t xml:space="preserve"> שהיה מזה כנגד בדי ארון פעם למעלה ושבע פעמים למטה.</w:t>
      </w:r>
    </w:p>
  </w:footnote>
  <w:footnote w:id="16">
    <w:p w14:paraId="6D431069" w14:textId="01673C06" w:rsidR="005732CE" w:rsidRDefault="00000000" w:rsidP="00C65BC5">
      <w:pPr>
        <w:pStyle w:val="FootnoteText"/>
        <w:jc w:val="both"/>
        <w:rPr>
          <w:lang w:bidi="he-IL"/>
        </w:rPr>
      </w:pPr>
      <w:r>
        <w:rPr>
          <w:rStyle w:val="FootnoteCharacters"/>
        </w:rPr>
        <w:footnoteRef/>
      </w:r>
      <w:r>
        <w:rPr>
          <w:rtl/>
          <w:lang w:bidi="he-IL"/>
        </w:rPr>
        <w:tab/>
      </w:r>
      <w:r>
        <w:rPr>
          <w:rtl/>
          <w:lang w:bidi="he-IL"/>
        </w:rPr>
        <w:t xml:space="preserve">תחילה, </w:t>
      </w:r>
      <w:r>
        <w:rPr>
          <w:rtl/>
          <w:lang w:bidi="he-IL"/>
        </w:rPr>
        <w:t>נתן על ארבע קרנות שלו (מתחיל מקרן מזרחית צפונית, והולך לקרן צפונית מערבית, ולדרומית מערבית, ולדרומית מזרחית [</w:t>
      </w:r>
      <w:r w:rsidR="00A41D40">
        <w:rPr>
          <w:rFonts w:hint="cs"/>
          <w:rtl/>
          <w:lang w:bidi="he-IL"/>
        </w:rPr>
        <w:t>טו</w:t>
      </w:r>
      <w:r>
        <w:rPr>
          <w:rtl/>
          <w:lang w:bidi="he-IL"/>
        </w:rPr>
        <w:t>]), ואחר כך מגלה זהב המזבח (חותה הגחלים והאפר שעליו) ומזה על גגו שבע פעמים בצד דרום. זה נלמד ממש"כ, בשניהם, “ויצא אל המזבח אשר לפני ה’… והזה….” [</w:t>
      </w:r>
      <w:r w:rsidR="00A41D40">
        <w:rPr>
          <w:rFonts w:hint="cs"/>
          <w:rtl/>
          <w:lang w:bidi="he-IL"/>
        </w:rPr>
        <w:t>טז]</w:t>
      </w:r>
    </w:p>
  </w:footnote>
  <w:footnote w:id="17">
    <w:p w14:paraId="40D978DE" w14:textId="7235D76A" w:rsidR="005732CE" w:rsidRDefault="00000000" w:rsidP="00C65BC5">
      <w:pPr>
        <w:pStyle w:val="FootnoteText"/>
        <w:jc w:val="both"/>
        <w:rPr>
          <w:lang w:bidi="he-IL"/>
        </w:rPr>
      </w:pPr>
      <w:r>
        <w:rPr>
          <w:rStyle w:val="FootnoteCharacters"/>
        </w:rPr>
        <w:footnoteRef/>
      </w:r>
      <w:r>
        <w:rPr>
          <w:rtl/>
          <w:lang w:bidi="he-IL"/>
        </w:rPr>
        <w:tab/>
      </w:r>
      <w:r>
        <w:rPr>
          <w:rtl/>
          <w:lang w:bidi="he-IL"/>
        </w:rPr>
        <w:t xml:space="preserve">חולקים תנאים </w:t>
      </w:r>
      <w:r>
        <w:rPr>
          <w:b/>
          <w:bCs/>
          <w:u w:val="single"/>
          <w:rtl/>
          <w:lang w:bidi="he-IL"/>
        </w:rPr>
        <w:t>(יומא נח.)</w:t>
      </w:r>
      <w:r>
        <w:rPr>
          <w:rtl/>
          <w:lang w:bidi="he-IL"/>
        </w:rPr>
        <w:t xml:space="preserve"> אם היה מזה של פר בפני עצמו ושל שעיר בפני עצמו או שהיה מערה של זה לזה (מערה דם הפר לדם השעיר, ומערה את שניהם למזרק הריקן) קודם שהיה נותן הזאות שעל המזבח. [</w:t>
      </w:r>
      <w:r w:rsidR="00A41D40">
        <w:rPr>
          <w:rFonts w:hint="cs"/>
          <w:rtl/>
          <w:lang w:bidi="he-IL"/>
        </w:rPr>
        <w:t>יז]</w:t>
      </w:r>
    </w:p>
  </w:footnote>
  <w:footnote w:id="18">
    <w:p w14:paraId="71FEA5B3" w14:textId="77777777" w:rsidR="005732CE" w:rsidRDefault="00000000" w:rsidP="00C65BC5">
      <w:pPr>
        <w:pStyle w:val="FootnoteText"/>
        <w:jc w:val="both"/>
        <w:rPr>
          <w:lang w:bidi="he-IL"/>
        </w:rPr>
      </w:pPr>
      <w:r>
        <w:rPr>
          <w:rStyle w:val="FootnoteCharacters"/>
        </w:rPr>
        <w:footnoteRef/>
      </w:r>
      <w:r>
        <w:rPr>
          <w:rtl/>
          <w:lang w:bidi="he-IL"/>
        </w:rPr>
        <w:tab/>
      </w:r>
      <w:r>
        <w:rPr>
          <w:rtl/>
          <w:lang w:bidi="he-IL"/>
        </w:rPr>
        <w:t>רצה לומר, כל אחד ממתנות אלו מעכבות. אז, כדי שהקרבן יהיה כשר, צריך לתת כל המתנות.</w:t>
      </w:r>
    </w:p>
  </w:footnote>
  <w:footnote w:id="19">
    <w:p w14:paraId="5127C80D" w14:textId="77777777" w:rsidR="005732CE" w:rsidRDefault="00000000" w:rsidP="00C65BC5">
      <w:pPr>
        <w:pStyle w:val="FootnoteText"/>
        <w:jc w:val="both"/>
        <w:rPr>
          <w:lang w:bidi="he-IL"/>
        </w:rPr>
      </w:pPr>
      <w:r>
        <w:rPr>
          <w:rStyle w:val="FootnoteCharacters"/>
        </w:rPr>
        <w:footnoteRef/>
      </w:r>
      <w:r>
        <w:rPr>
          <w:rtl/>
          <w:lang w:bidi="he-IL"/>
        </w:rPr>
        <w:tab/>
      </w:r>
      <w:r>
        <w:rPr>
          <w:rtl/>
          <w:lang w:bidi="he-IL"/>
        </w:rPr>
        <w:t xml:space="preserve">גמרא </w:t>
      </w:r>
      <w:r>
        <w:rPr>
          <w:b/>
          <w:bCs/>
          <w:u w:val="single"/>
          <w:rtl/>
          <w:lang w:bidi="he-IL"/>
        </w:rPr>
        <w:t>(לט – מא)</w:t>
      </w:r>
      <w:r>
        <w:rPr>
          <w:rtl/>
          <w:lang w:bidi="he-IL"/>
        </w:rPr>
        <w:t xml:space="preserve"> נותן לזה שלש מקורות:</w:t>
      </w:r>
    </w:p>
    <w:p w14:paraId="7E3276A8" w14:textId="77777777" w:rsidR="005732CE" w:rsidRDefault="00000000" w:rsidP="00C65BC5">
      <w:pPr>
        <w:pStyle w:val="FootnoteText"/>
        <w:numPr>
          <w:ilvl w:val="0"/>
          <w:numId w:val="4"/>
        </w:numPr>
        <w:jc w:val="both"/>
        <w:rPr>
          <w:lang w:bidi="he-IL"/>
        </w:rPr>
      </w:pPr>
      <w:r>
        <w:rPr>
          <w:rtl/>
          <w:lang w:bidi="he-IL"/>
        </w:rPr>
        <w:t>כתיב, “חוקה,” ללמד שכל המתנות הכתובים בה מעכבות.</w:t>
      </w:r>
    </w:p>
    <w:p w14:paraId="70FF065C" w14:textId="77777777" w:rsidR="005732CE" w:rsidRDefault="00000000" w:rsidP="00C65BC5">
      <w:pPr>
        <w:pStyle w:val="FootnoteText"/>
        <w:numPr>
          <w:ilvl w:val="0"/>
          <w:numId w:val="4"/>
        </w:numPr>
        <w:jc w:val="both"/>
        <w:rPr>
          <w:lang w:bidi="he-IL"/>
        </w:rPr>
      </w:pPr>
      <w:r>
        <w:rPr>
          <w:rtl/>
          <w:lang w:bidi="he-IL"/>
        </w:rPr>
        <w:t>כתיב, “וכלה מכפר,” לומר שרק אם כילה כיפר.</w:t>
      </w:r>
    </w:p>
    <w:p w14:paraId="02A3F707" w14:textId="551C6EC5" w:rsidR="005732CE" w:rsidRDefault="00000000" w:rsidP="00C65BC5">
      <w:pPr>
        <w:pStyle w:val="FootnoteText"/>
        <w:numPr>
          <w:ilvl w:val="0"/>
          <w:numId w:val="4"/>
        </w:numPr>
        <w:jc w:val="both"/>
        <w:rPr>
          <w:lang w:bidi="he-IL"/>
        </w:rPr>
      </w:pPr>
      <w:r>
        <w:rPr>
          <w:rtl/>
          <w:lang w:bidi="he-IL"/>
        </w:rPr>
        <w:t xml:space="preserve">בפר העלם דבר של ציבור כתיב, “לפר,” שבא ללמד כמו שמתנה אחת מעכבת בפר העלם דבר של ציבור (לקמן, בע"ה, נבאר את המקור לזה), כך מעכבת בפר של יה"כ. גמ’ לא מבאר, לפי צד זה, מהי"ת שמתנה אחת מעכבת בשעיר. </w:t>
      </w:r>
      <w:r w:rsidR="00A41D40">
        <w:rPr>
          <w:rFonts w:hint="cs"/>
          <w:rtl/>
          <w:lang w:bidi="he-IL"/>
        </w:rPr>
        <w:t>[יח</w:t>
      </w:r>
      <w:r>
        <w:rPr>
          <w:rtl/>
          <w:lang w:bidi="he-IL"/>
        </w:rPr>
        <w:t>]</w:t>
      </w:r>
    </w:p>
  </w:footnote>
  <w:footnote w:id="20">
    <w:p w14:paraId="674887E8" w14:textId="77777777" w:rsidR="005732CE" w:rsidRDefault="00000000" w:rsidP="00C65BC5">
      <w:pPr>
        <w:pStyle w:val="FootnoteText"/>
        <w:jc w:val="both"/>
        <w:rPr>
          <w:lang w:bidi="he-IL"/>
        </w:rPr>
      </w:pPr>
      <w:r>
        <w:rPr>
          <w:rStyle w:val="FootnoteCharacters"/>
        </w:rPr>
        <w:footnoteRef/>
      </w:r>
      <w:r>
        <w:rPr>
          <w:rtl/>
          <w:lang w:bidi="he-IL"/>
        </w:rPr>
        <w:tab/>
      </w:r>
      <w:r>
        <w:rPr>
          <w:rtl/>
          <w:lang w:bidi="he-IL"/>
        </w:rPr>
        <w:t xml:space="preserve">היו שני נקבים ביסוד, ושניהם היו בקרן מערבית דרומית. שם, היה שופך את השיריים, והיה יורד לנחל. </w:t>
      </w:r>
      <w:r>
        <w:rPr>
          <w:b/>
          <w:bCs/>
          <w:u w:val="single"/>
          <w:rtl/>
          <w:lang w:bidi="he-IL"/>
        </w:rPr>
        <w:t>(נח:)</w:t>
      </w:r>
    </w:p>
    <w:p w14:paraId="6492AA3F" w14:textId="77777777" w:rsidR="005732CE" w:rsidRDefault="00000000" w:rsidP="00C65BC5">
      <w:pPr>
        <w:pStyle w:val="FootnoteText"/>
        <w:jc w:val="both"/>
        <w:rPr>
          <w:lang w:bidi="he-IL"/>
        </w:rPr>
      </w:pPr>
      <w:r>
        <w:rPr>
          <w:rtl/>
          <w:lang w:bidi="he-IL"/>
        </w:rPr>
        <w:tab/>
        <w:t xml:space="preserve">גמרא </w:t>
      </w:r>
      <w:r>
        <w:rPr>
          <w:b/>
          <w:bCs/>
          <w:u w:val="single"/>
          <w:rtl/>
          <w:lang w:bidi="he-IL"/>
        </w:rPr>
        <w:t>(נא., נג.)</w:t>
      </w:r>
      <w:r>
        <w:rPr>
          <w:rtl/>
          <w:lang w:bidi="he-IL"/>
        </w:rPr>
        <w:t xml:space="preserve"> מפרש שיש בזה חולק, ומבאר יסוד השיטות:</w:t>
      </w:r>
    </w:p>
    <w:p w14:paraId="699A10FF" w14:textId="6FF6FA6A" w:rsidR="005732CE" w:rsidRDefault="00000000" w:rsidP="00C65BC5">
      <w:pPr>
        <w:pStyle w:val="FootnoteText"/>
        <w:numPr>
          <w:ilvl w:val="0"/>
          <w:numId w:val="5"/>
        </w:numPr>
        <w:jc w:val="both"/>
        <w:rPr>
          <w:lang w:bidi="he-IL"/>
        </w:rPr>
      </w:pPr>
      <w:r>
        <w:rPr>
          <w:rtl/>
          <w:lang w:bidi="he-IL"/>
        </w:rPr>
        <w:t>משנה שלנו סוברת שנשפכים ליסוד מערבי של המזבח. הפסוק אומר שניתן "אל יסוד מזבח העולה אשר פתח אהל מועד.” מזה דורשים שניתן באותו שפוגע בו ראשון כשיוצא מפתח אוהל מועד. תנא זה סובר שזה יסוד מערבי. [</w:t>
      </w:r>
      <w:r w:rsidR="00A41D40">
        <w:rPr>
          <w:rFonts w:hint="cs"/>
          <w:rtl/>
          <w:lang w:bidi="he-IL"/>
        </w:rPr>
        <w:t>יט]</w:t>
      </w:r>
    </w:p>
    <w:p w14:paraId="568AE5DF" w14:textId="387BEF6C" w:rsidR="005732CE" w:rsidRDefault="00000000" w:rsidP="00C65BC5">
      <w:pPr>
        <w:pStyle w:val="FootnoteText"/>
        <w:numPr>
          <w:ilvl w:val="0"/>
          <w:numId w:val="5"/>
        </w:numPr>
        <w:jc w:val="both"/>
        <w:rPr>
          <w:color w:val="000000"/>
          <w:lang w:bidi="he-IL"/>
        </w:rPr>
      </w:pPr>
      <w:r>
        <w:rPr>
          <w:color w:val="000000"/>
          <w:rtl/>
          <w:lang w:bidi="he-IL"/>
        </w:rPr>
        <w:t>הפסוק אומר שניתן "אל יסוד מזבח העולה אשר פתח אהל מועד.” מזה דורשים שניתן באותו שפוגע בו ראשון כשיוצא מפתח אוהל מועד. סובר שהמזבח היה ניתן בצפון של המזבח. אז, כשיוצא פוגע ביסוד דרומי ראשון, ושם שופך. [</w:t>
      </w:r>
      <w:r w:rsidR="00A95DB5">
        <w:rPr>
          <w:rFonts w:hint="cs"/>
          <w:color w:val="000000"/>
          <w:rtl/>
          <w:lang w:bidi="he-IL"/>
        </w:rPr>
        <w:t>כ]</w:t>
      </w:r>
    </w:p>
  </w:footnote>
  <w:footnote w:id="21">
    <w:p w14:paraId="29A170AF" w14:textId="742BC28F" w:rsidR="005732CE" w:rsidRDefault="00000000" w:rsidP="00C65BC5">
      <w:pPr>
        <w:pStyle w:val="FootnoteText"/>
        <w:jc w:val="both"/>
        <w:rPr>
          <w:lang w:bidi="he-IL"/>
        </w:rPr>
      </w:pPr>
      <w:r>
        <w:rPr>
          <w:rStyle w:val="FootnoteCharacters"/>
        </w:rPr>
        <w:footnoteRef/>
      </w:r>
      <w:r>
        <w:rPr>
          <w:rtl/>
          <w:lang w:bidi="he-IL"/>
        </w:rPr>
        <w:tab/>
      </w:r>
      <w:r>
        <w:rPr>
          <w:rtl/>
          <w:lang w:bidi="he-IL"/>
        </w:rPr>
        <w:t xml:space="preserve">גמרא </w:t>
      </w:r>
      <w:r>
        <w:rPr>
          <w:b/>
          <w:bCs/>
          <w:u w:val="single"/>
          <w:rtl/>
          <w:lang w:bidi="he-IL"/>
        </w:rPr>
        <w:t>(נב:)</w:t>
      </w:r>
      <w:r>
        <w:rPr>
          <w:rtl/>
          <w:lang w:bidi="he-IL"/>
        </w:rPr>
        <w:t xml:space="preserve">  מבאר שני מקורות לזה. [</w:t>
      </w:r>
      <w:r w:rsidR="00A95DB5">
        <w:rPr>
          <w:rFonts w:hint="cs"/>
          <w:rtl/>
          <w:lang w:bidi="he-IL"/>
        </w:rPr>
        <w:t>כא]</w:t>
      </w:r>
      <w:r>
        <w:rPr>
          <w:rtl/>
          <w:lang w:bidi="he-IL"/>
        </w:rPr>
        <w:t xml:space="preserve"> [</w:t>
      </w:r>
      <w:r w:rsidR="00A95DB5">
        <w:rPr>
          <w:rFonts w:hint="cs"/>
          <w:rtl/>
          <w:lang w:bidi="he-IL"/>
        </w:rPr>
        <w:t>כב</w:t>
      </w:r>
      <w:r>
        <w:rPr>
          <w:rtl/>
          <w:lang w:bidi="he-IL"/>
        </w:rPr>
        <w:t>]</w:t>
      </w:r>
    </w:p>
    <w:p w14:paraId="316CA6CB" w14:textId="77777777" w:rsidR="005732CE" w:rsidRDefault="00000000" w:rsidP="00C65BC5">
      <w:pPr>
        <w:pStyle w:val="FootnoteText"/>
        <w:numPr>
          <w:ilvl w:val="0"/>
          <w:numId w:val="6"/>
        </w:numPr>
        <w:jc w:val="both"/>
        <w:rPr>
          <w:lang w:bidi="he-IL"/>
        </w:rPr>
      </w:pPr>
      <w:r>
        <w:rPr>
          <w:rtl/>
          <w:lang w:bidi="he-IL"/>
        </w:rPr>
        <w:t>בפר כהן משיח, כתיב, “ואת כל דם הפר ישפוך אל יסוד מזבח העולה.” כיון שכ’, “דם הפר,” ולא רק "הדם,” דורשים שפר של יה"כ טעון נתינת שיריים ליסוד מזבח החיצון.</w:t>
      </w:r>
    </w:p>
    <w:p w14:paraId="30477C95" w14:textId="77777777" w:rsidR="005732CE" w:rsidRDefault="00000000" w:rsidP="00C65BC5">
      <w:pPr>
        <w:pStyle w:val="FootnoteText"/>
        <w:numPr>
          <w:ilvl w:val="0"/>
          <w:numId w:val="6"/>
        </w:numPr>
        <w:jc w:val="both"/>
        <w:rPr>
          <w:color w:val="000000"/>
          <w:lang w:bidi="he-IL"/>
        </w:rPr>
      </w:pPr>
      <w:r>
        <w:rPr>
          <w:color w:val="000000"/>
          <w:rtl/>
          <w:lang w:bidi="he-IL"/>
        </w:rPr>
        <w:t>נלמד מקל וחומר משעיר נשיא (עיין לקמן), שצריך שפיכת שיריים, אף שאין דמו נכנס לפנים.</w:t>
      </w:r>
    </w:p>
    <w:p w14:paraId="41833ADE" w14:textId="1ACEB268" w:rsidR="005732CE" w:rsidRDefault="00000000" w:rsidP="00C65BC5">
      <w:pPr>
        <w:pStyle w:val="FootnoteText"/>
        <w:jc w:val="both"/>
        <w:rPr>
          <w:color w:val="000000"/>
          <w:lang w:bidi="he-IL"/>
        </w:rPr>
      </w:pPr>
      <w:r>
        <w:rPr>
          <w:color w:val="000000"/>
          <w:rtl/>
          <w:lang w:bidi="he-IL"/>
        </w:rPr>
        <w:tab/>
        <w:t>[</w:t>
      </w:r>
      <w:r w:rsidR="00622055">
        <w:rPr>
          <w:rFonts w:hint="cs"/>
          <w:color w:val="000000"/>
          <w:rtl/>
          <w:lang w:bidi="he-IL"/>
        </w:rPr>
        <w:t>כג</w:t>
      </w:r>
      <w:r>
        <w:rPr>
          <w:color w:val="000000"/>
          <w:rtl/>
          <w:lang w:bidi="he-IL"/>
        </w:rPr>
        <w:t>]</w:t>
      </w:r>
    </w:p>
  </w:footnote>
  <w:footnote w:id="22">
    <w:p w14:paraId="62762F36" w14:textId="77777777" w:rsidR="005732CE" w:rsidRDefault="00000000" w:rsidP="00C65BC5">
      <w:pPr>
        <w:pStyle w:val="FootnoteText"/>
        <w:spacing w:before="29" w:after="29"/>
        <w:jc w:val="both"/>
        <w:rPr>
          <w:lang w:bidi="he-IL"/>
        </w:rPr>
      </w:pPr>
      <w:r>
        <w:rPr>
          <w:rStyle w:val="FootnoteCharacters"/>
        </w:rPr>
        <w:footnoteRef/>
      </w:r>
      <w:r>
        <w:rPr>
          <w:rtl/>
          <w:lang w:bidi="he-IL"/>
        </w:rPr>
        <w:tab/>
      </w:r>
      <w:r>
        <w:rPr>
          <w:rtl/>
          <w:lang w:bidi="he-IL"/>
        </w:rPr>
        <w:t xml:space="preserve">חולקים תנאים </w:t>
      </w:r>
      <w:r>
        <w:rPr>
          <w:b/>
          <w:bCs/>
          <w:u w:val="single"/>
          <w:rtl/>
          <w:lang w:bidi="he-IL"/>
        </w:rPr>
        <w:t>(נב.)</w:t>
      </w:r>
      <w:r>
        <w:rPr>
          <w:rtl/>
          <w:lang w:bidi="he-IL"/>
        </w:rPr>
        <w:t xml:space="preserve"> אם זה מעכב או לא מעכב. גמ’ לא מבאר מהו המקור לכל תנא, אבל מן הגמ’ יוצא שני מקורות ודיחוי לכל אחד:</w:t>
      </w:r>
    </w:p>
    <w:p w14:paraId="52969BE1" w14:textId="77777777" w:rsidR="006F3EB2" w:rsidRDefault="00000000" w:rsidP="00C65BC5">
      <w:pPr>
        <w:pStyle w:val="FootnoteText"/>
        <w:numPr>
          <w:ilvl w:val="0"/>
          <w:numId w:val="7"/>
        </w:numPr>
        <w:jc w:val="both"/>
        <w:rPr>
          <w:color w:val="000000"/>
          <w:lang w:bidi="he-IL"/>
        </w:rPr>
      </w:pPr>
      <w:r>
        <w:rPr>
          <w:color w:val="000000"/>
          <w:rtl/>
          <w:lang w:bidi="he-IL"/>
        </w:rPr>
        <w:t xml:space="preserve">מקור ראשון לומר שמעכב הוא שיש שני מקורות לומר שצריך לשפוך. נמצא ששינה הכתוב על הדין, ואז מעכב. </w:t>
      </w:r>
    </w:p>
    <w:p w14:paraId="3202DFE1" w14:textId="0BDDAF31" w:rsidR="005732CE" w:rsidRPr="006F3EB2" w:rsidRDefault="00000000" w:rsidP="00C65BC5">
      <w:pPr>
        <w:pStyle w:val="FootnoteText"/>
        <w:ind w:left="740" w:firstLine="0"/>
        <w:jc w:val="both"/>
        <w:rPr>
          <w:color w:val="000000"/>
          <w:lang w:bidi="he-IL"/>
        </w:rPr>
      </w:pPr>
      <w:r w:rsidRPr="006F3EB2">
        <w:rPr>
          <w:color w:val="000000"/>
          <w:rtl/>
          <w:lang w:bidi="he-IL"/>
        </w:rPr>
        <w:t>הדיחוי לזה הוא שכתיב, “וכלה מכפר את הקדש.” זה עשה שאומר שצריך לתת כל מתנות הדם ולשפוך שיריים. כיון שניתק אותו לעשה, בא לומר שאינו מעכב. [</w:t>
      </w:r>
      <w:r w:rsidR="002D6CCE" w:rsidRPr="006F3EB2">
        <w:rPr>
          <w:rFonts w:hint="cs"/>
          <w:color w:val="000000"/>
          <w:rtl/>
          <w:lang w:bidi="he-IL"/>
        </w:rPr>
        <w:t>כד</w:t>
      </w:r>
      <w:r w:rsidRPr="006F3EB2">
        <w:rPr>
          <w:color w:val="000000"/>
          <w:rtl/>
          <w:lang w:bidi="he-IL"/>
        </w:rPr>
        <w:t>] [</w:t>
      </w:r>
      <w:r w:rsidR="002D6CCE" w:rsidRPr="006F3EB2">
        <w:rPr>
          <w:rFonts w:hint="cs"/>
          <w:color w:val="000000"/>
          <w:rtl/>
          <w:lang w:bidi="he-IL"/>
        </w:rPr>
        <w:t>כה</w:t>
      </w:r>
      <w:r w:rsidRPr="006F3EB2">
        <w:rPr>
          <w:color w:val="000000"/>
          <w:rtl/>
          <w:lang w:bidi="he-IL"/>
        </w:rPr>
        <w:t>]</w:t>
      </w:r>
    </w:p>
    <w:p w14:paraId="3811CEDC" w14:textId="77777777" w:rsidR="006F3EB2" w:rsidRDefault="00000000" w:rsidP="00C65BC5">
      <w:pPr>
        <w:pStyle w:val="FootnoteText"/>
        <w:numPr>
          <w:ilvl w:val="0"/>
          <w:numId w:val="7"/>
        </w:numPr>
        <w:jc w:val="both"/>
        <w:rPr>
          <w:color w:val="000000"/>
          <w:lang w:bidi="he-IL"/>
        </w:rPr>
      </w:pPr>
      <w:r w:rsidRPr="006F3EB2">
        <w:rPr>
          <w:color w:val="000000"/>
          <w:rtl/>
          <w:lang w:bidi="he-IL"/>
        </w:rPr>
        <w:t>כתיב, “וכלה מכפר את הקדש.” רבי יהודה דורש מזה שאם כילה – דהיינו, אם עשה את כל עבודות של פר ושעיר יה”כ, כולל שיריים – כיפר. אבל, אם חיסר ממנו, אף אם רק חיסר שפיכת שיריים, לא כיפר. נמצא ששיריים מעכבים.</w:t>
      </w:r>
    </w:p>
    <w:p w14:paraId="25C5E27A" w14:textId="7604FAAE" w:rsidR="005732CE" w:rsidRPr="006F3EB2" w:rsidRDefault="00000000" w:rsidP="00C65BC5">
      <w:pPr>
        <w:pStyle w:val="FootnoteText"/>
        <w:ind w:left="740" w:firstLine="0"/>
        <w:jc w:val="both"/>
        <w:rPr>
          <w:color w:val="000000"/>
          <w:lang w:bidi="he-IL"/>
        </w:rPr>
      </w:pPr>
      <w:r w:rsidRPr="006F3EB2">
        <w:rPr>
          <w:color w:val="000000"/>
          <w:rtl/>
          <w:lang w:bidi="he-IL"/>
        </w:rPr>
        <w:t>מן הגמ’ יוצא שלש דיחויים לזה:</w:t>
      </w:r>
    </w:p>
    <w:p w14:paraId="338E3352" w14:textId="354CA768" w:rsidR="005732CE" w:rsidRDefault="00000000" w:rsidP="00C65BC5">
      <w:pPr>
        <w:pStyle w:val="FootnoteText"/>
        <w:numPr>
          <w:ilvl w:val="1"/>
          <w:numId w:val="7"/>
        </w:numPr>
        <w:jc w:val="both"/>
        <w:rPr>
          <w:color w:val="000000"/>
          <w:lang w:bidi="he-IL"/>
        </w:rPr>
      </w:pPr>
      <w:r>
        <w:rPr>
          <w:color w:val="000000"/>
          <w:rtl/>
          <w:lang w:bidi="he-IL"/>
        </w:rPr>
        <w:t>אולי "כילה" לא כולל שפיכת שיריים. הפסוק רק אומר שאם לא עשה עיקרי העבודות – המתנות עצמם – לא כיפר. [</w:t>
      </w:r>
      <w:r w:rsidR="00222C5D">
        <w:rPr>
          <w:rFonts w:hint="cs"/>
          <w:color w:val="000000"/>
          <w:rtl/>
          <w:lang w:bidi="he-IL"/>
        </w:rPr>
        <w:t>כו]</w:t>
      </w:r>
    </w:p>
    <w:p w14:paraId="715391D3" w14:textId="526037FA" w:rsidR="005732CE" w:rsidRDefault="00000000" w:rsidP="00C65BC5">
      <w:pPr>
        <w:pStyle w:val="FootnoteText"/>
        <w:numPr>
          <w:ilvl w:val="1"/>
          <w:numId w:val="7"/>
        </w:numPr>
        <w:jc w:val="both"/>
        <w:rPr>
          <w:color w:val="000000"/>
          <w:lang w:bidi="he-IL"/>
        </w:rPr>
      </w:pPr>
      <w:r>
        <w:rPr>
          <w:color w:val="000000"/>
          <w:rtl/>
          <w:lang w:bidi="he-IL"/>
        </w:rPr>
        <w:t>רבי עקיבא דורש מ"וכילה מכפר" לומר שאם כיפר כילה. אם עשה את כל העבודות שמכפרים – דהיינו, כל המתנות – אז כילה, ועשה מה שצריך לעשות. [</w:t>
      </w:r>
      <w:r w:rsidR="00ED7EBA">
        <w:rPr>
          <w:rFonts w:hint="cs"/>
          <w:color w:val="000000"/>
          <w:rtl/>
          <w:lang w:bidi="he-IL"/>
        </w:rPr>
        <w:t>כז]</w:t>
      </w:r>
    </w:p>
    <w:p w14:paraId="2E0E3EF8" w14:textId="77777777" w:rsidR="005732CE" w:rsidRDefault="00000000" w:rsidP="00C65BC5">
      <w:pPr>
        <w:pStyle w:val="FootnoteText"/>
        <w:numPr>
          <w:ilvl w:val="1"/>
          <w:numId w:val="7"/>
        </w:numPr>
        <w:jc w:val="both"/>
        <w:rPr>
          <w:color w:val="000000"/>
          <w:lang w:bidi="he-IL"/>
        </w:rPr>
      </w:pPr>
      <w:r>
        <w:rPr>
          <w:color w:val="000000"/>
          <w:rtl/>
          <w:lang w:bidi="he-IL"/>
        </w:rPr>
        <w:t>אולי "וכלה מכפר" בא לומר ששפיכת שיריים – שהוא בכלל "כלה" – הוא רק עשה, ואינו מעכב, כמו שהזכרנו לעיל.</w:t>
      </w:r>
    </w:p>
  </w:footnote>
  <w:footnote w:id="23">
    <w:p w14:paraId="7392788C" w14:textId="77777777" w:rsidR="005732CE" w:rsidRDefault="00000000" w:rsidP="00C65BC5">
      <w:pPr>
        <w:pStyle w:val="FootnoteText"/>
        <w:jc w:val="both"/>
        <w:rPr>
          <w:lang w:bidi="he-IL"/>
        </w:rPr>
      </w:pPr>
      <w:r>
        <w:rPr>
          <w:rStyle w:val="FootnoteCharacters"/>
        </w:rPr>
        <w:footnoteRef/>
      </w:r>
      <w:r>
        <w:rPr>
          <w:rtl/>
          <w:lang w:bidi="he-IL"/>
        </w:rPr>
        <w:tab/>
      </w:r>
      <w:r>
        <w:rPr>
          <w:rtl/>
          <w:lang w:bidi="he-IL"/>
        </w:rPr>
        <w:t xml:space="preserve">בכל </w:t>
      </w:r>
      <w:r>
        <w:rPr>
          <w:rtl/>
          <w:lang w:bidi="he-IL"/>
        </w:rPr>
        <w:t>קרבנות, יש חלק הנקרא האימורים שנקרב על המזבח. האימורים הם חלב המכסה על הקרב, החלב אשר על הקרב, שתי הכליות והחלב אשר עליהן, והיותרת על הכבד. בכבש, גם מקריב את האליה, וחולקים אמוראים אם גם מקריב את עור האליה. בעולה, ומסיף ומקריב את כל בשר הקרבן, כמו שיפרש המשנה.</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F2E6B"/>
    <w:multiLevelType w:val="multilevel"/>
    <w:tmpl w:val="FA5434D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8C20273"/>
    <w:multiLevelType w:val="multilevel"/>
    <w:tmpl w:val="66D098E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 w15:restartNumberingAfterBreak="0">
    <w:nsid w:val="39B3515D"/>
    <w:multiLevelType w:val="multilevel"/>
    <w:tmpl w:val="5DFABDE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 w15:restartNumberingAfterBreak="0">
    <w:nsid w:val="41355758"/>
    <w:multiLevelType w:val="multilevel"/>
    <w:tmpl w:val="1B2CCD2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 w15:restartNumberingAfterBreak="0">
    <w:nsid w:val="44A11D4C"/>
    <w:multiLevelType w:val="multilevel"/>
    <w:tmpl w:val="4EB255C4"/>
    <w:lvl w:ilvl="0">
      <w:start w:val="1"/>
      <w:numFmt w:val="decimal"/>
      <w:lvlText w:val="%1."/>
      <w:lvlJc w:val="right"/>
      <w:pPr>
        <w:tabs>
          <w:tab w:val="num" w:pos="740"/>
        </w:tabs>
        <w:ind w:left="740" w:hanging="360"/>
      </w:pPr>
    </w:lvl>
    <w:lvl w:ilvl="1">
      <w:start w:val="1"/>
      <w:numFmt w:val="decimal"/>
      <w:lvlText w:val="%2."/>
      <w:lvlJc w:val="right"/>
      <w:pPr>
        <w:tabs>
          <w:tab w:val="num" w:pos="1100"/>
        </w:tabs>
        <w:ind w:left="1100" w:hanging="360"/>
      </w:pPr>
    </w:lvl>
    <w:lvl w:ilvl="2">
      <w:start w:val="1"/>
      <w:numFmt w:val="decimal"/>
      <w:lvlText w:val="%3."/>
      <w:lvlJc w:val="right"/>
      <w:pPr>
        <w:tabs>
          <w:tab w:val="num" w:pos="1460"/>
        </w:tabs>
        <w:ind w:left="1460" w:hanging="360"/>
      </w:pPr>
    </w:lvl>
    <w:lvl w:ilvl="3">
      <w:start w:val="1"/>
      <w:numFmt w:val="decimal"/>
      <w:lvlText w:val="%4."/>
      <w:lvlJc w:val="right"/>
      <w:pPr>
        <w:tabs>
          <w:tab w:val="num" w:pos="1820"/>
        </w:tabs>
        <w:ind w:left="1820" w:hanging="360"/>
      </w:pPr>
    </w:lvl>
    <w:lvl w:ilvl="4">
      <w:start w:val="1"/>
      <w:numFmt w:val="decimal"/>
      <w:lvlText w:val="%5."/>
      <w:lvlJc w:val="right"/>
      <w:pPr>
        <w:tabs>
          <w:tab w:val="num" w:pos="2180"/>
        </w:tabs>
        <w:ind w:left="2180" w:hanging="360"/>
      </w:pPr>
    </w:lvl>
    <w:lvl w:ilvl="5">
      <w:start w:val="1"/>
      <w:numFmt w:val="decimal"/>
      <w:lvlText w:val="%6."/>
      <w:lvlJc w:val="right"/>
      <w:pPr>
        <w:tabs>
          <w:tab w:val="num" w:pos="2540"/>
        </w:tabs>
        <w:ind w:left="2540" w:hanging="360"/>
      </w:pPr>
    </w:lvl>
    <w:lvl w:ilvl="6">
      <w:start w:val="1"/>
      <w:numFmt w:val="decimal"/>
      <w:lvlText w:val="%7."/>
      <w:lvlJc w:val="right"/>
      <w:pPr>
        <w:tabs>
          <w:tab w:val="num" w:pos="2900"/>
        </w:tabs>
        <w:ind w:left="2900" w:hanging="360"/>
      </w:pPr>
    </w:lvl>
    <w:lvl w:ilvl="7">
      <w:start w:val="1"/>
      <w:numFmt w:val="decimal"/>
      <w:lvlText w:val="%8."/>
      <w:lvlJc w:val="right"/>
      <w:pPr>
        <w:tabs>
          <w:tab w:val="num" w:pos="3260"/>
        </w:tabs>
        <w:ind w:left="3260" w:hanging="360"/>
      </w:pPr>
    </w:lvl>
    <w:lvl w:ilvl="8">
      <w:start w:val="1"/>
      <w:numFmt w:val="decimal"/>
      <w:lvlText w:val="%9."/>
      <w:lvlJc w:val="right"/>
      <w:pPr>
        <w:tabs>
          <w:tab w:val="num" w:pos="3620"/>
        </w:tabs>
        <w:ind w:left="3620" w:hanging="360"/>
      </w:pPr>
    </w:lvl>
  </w:abstractNum>
  <w:abstractNum w:abstractNumId="5" w15:restartNumberingAfterBreak="0">
    <w:nsid w:val="4C1E6CAC"/>
    <w:multiLevelType w:val="multilevel"/>
    <w:tmpl w:val="81F2A792"/>
    <w:lvl w:ilvl="0">
      <w:start w:val="1"/>
      <w:numFmt w:val="decimal"/>
      <w:lvlText w:val="%1."/>
      <w:lvlJc w:val="right"/>
      <w:pPr>
        <w:tabs>
          <w:tab w:val="num" w:pos="1060"/>
        </w:tabs>
        <w:ind w:left="1060" w:hanging="360"/>
      </w:pPr>
    </w:lvl>
    <w:lvl w:ilvl="1">
      <w:start w:val="1"/>
      <w:numFmt w:val="decimal"/>
      <w:lvlText w:val="%2."/>
      <w:lvlJc w:val="right"/>
      <w:pPr>
        <w:tabs>
          <w:tab w:val="num" w:pos="1420"/>
        </w:tabs>
        <w:ind w:left="1420" w:hanging="360"/>
      </w:pPr>
    </w:lvl>
    <w:lvl w:ilvl="2">
      <w:start w:val="1"/>
      <w:numFmt w:val="decimal"/>
      <w:lvlText w:val="%3."/>
      <w:lvlJc w:val="right"/>
      <w:pPr>
        <w:tabs>
          <w:tab w:val="num" w:pos="1780"/>
        </w:tabs>
        <w:ind w:left="1780" w:hanging="360"/>
      </w:pPr>
    </w:lvl>
    <w:lvl w:ilvl="3">
      <w:start w:val="1"/>
      <w:numFmt w:val="decimal"/>
      <w:lvlText w:val="%4."/>
      <w:lvlJc w:val="right"/>
      <w:pPr>
        <w:tabs>
          <w:tab w:val="num" w:pos="2140"/>
        </w:tabs>
        <w:ind w:left="2140" w:hanging="360"/>
      </w:pPr>
    </w:lvl>
    <w:lvl w:ilvl="4">
      <w:start w:val="1"/>
      <w:numFmt w:val="decimal"/>
      <w:lvlText w:val="%5."/>
      <w:lvlJc w:val="right"/>
      <w:pPr>
        <w:tabs>
          <w:tab w:val="num" w:pos="2500"/>
        </w:tabs>
        <w:ind w:left="2500" w:hanging="360"/>
      </w:pPr>
    </w:lvl>
    <w:lvl w:ilvl="5">
      <w:start w:val="1"/>
      <w:numFmt w:val="decimal"/>
      <w:lvlText w:val="%6."/>
      <w:lvlJc w:val="right"/>
      <w:pPr>
        <w:tabs>
          <w:tab w:val="num" w:pos="2860"/>
        </w:tabs>
        <w:ind w:left="2860" w:hanging="360"/>
      </w:pPr>
    </w:lvl>
    <w:lvl w:ilvl="6">
      <w:start w:val="1"/>
      <w:numFmt w:val="decimal"/>
      <w:lvlText w:val="%7."/>
      <w:lvlJc w:val="right"/>
      <w:pPr>
        <w:tabs>
          <w:tab w:val="num" w:pos="3220"/>
        </w:tabs>
        <w:ind w:left="3220" w:hanging="360"/>
      </w:pPr>
    </w:lvl>
    <w:lvl w:ilvl="7">
      <w:start w:val="1"/>
      <w:numFmt w:val="decimal"/>
      <w:lvlText w:val="%8."/>
      <w:lvlJc w:val="right"/>
      <w:pPr>
        <w:tabs>
          <w:tab w:val="num" w:pos="3580"/>
        </w:tabs>
        <w:ind w:left="3580" w:hanging="360"/>
      </w:pPr>
    </w:lvl>
    <w:lvl w:ilvl="8">
      <w:start w:val="1"/>
      <w:numFmt w:val="decimal"/>
      <w:lvlText w:val="%9."/>
      <w:lvlJc w:val="right"/>
      <w:pPr>
        <w:tabs>
          <w:tab w:val="num" w:pos="3940"/>
        </w:tabs>
        <w:ind w:left="3940" w:hanging="360"/>
      </w:pPr>
    </w:lvl>
  </w:abstractNum>
  <w:abstractNum w:abstractNumId="6" w15:restartNumberingAfterBreak="0">
    <w:nsid w:val="68281013"/>
    <w:multiLevelType w:val="multilevel"/>
    <w:tmpl w:val="C6BED8C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627154848">
    <w:abstractNumId w:val="0"/>
  </w:num>
  <w:num w:numId="2" w16cid:durableId="1140734436">
    <w:abstractNumId w:val="6"/>
  </w:num>
  <w:num w:numId="3" w16cid:durableId="281503827">
    <w:abstractNumId w:val="5"/>
  </w:num>
  <w:num w:numId="4" w16cid:durableId="670452784">
    <w:abstractNumId w:val="1"/>
  </w:num>
  <w:num w:numId="5" w16cid:durableId="1431466974">
    <w:abstractNumId w:val="2"/>
  </w:num>
  <w:num w:numId="6" w16cid:durableId="1108503351">
    <w:abstractNumId w:val="3"/>
  </w:num>
  <w:num w:numId="7" w16cid:durableId="13985500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5732CE"/>
    <w:rsid w:val="00071F15"/>
    <w:rsid w:val="000C6F30"/>
    <w:rsid w:val="00212773"/>
    <w:rsid w:val="00222C5D"/>
    <w:rsid w:val="002D6CCE"/>
    <w:rsid w:val="004630F5"/>
    <w:rsid w:val="004D5019"/>
    <w:rsid w:val="005732CE"/>
    <w:rsid w:val="00622055"/>
    <w:rsid w:val="006F3EB2"/>
    <w:rsid w:val="00872F2C"/>
    <w:rsid w:val="008D2796"/>
    <w:rsid w:val="009263A6"/>
    <w:rsid w:val="00A41D40"/>
    <w:rsid w:val="00A95DB5"/>
    <w:rsid w:val="00AD73CD"/>
    <w:rsid w:val="00C45FBF"/>
    <w:rsid w:val="00C65BC5"/>
    <w:rsid w:val="00D67E10"/>
    <w:rsid w:val="00D92AF3"/>
    <w:rsid w:val="00E0091D"/>
    <w:rsid w:val="00E62435"/>
    <w:rsid w:val="00ED7EBA"/>
    <w:rsid w:val="00FB7F9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6B5F7"/>
  <w15:docId w15:val="{F0CA1A06-C0F8-4E02-975A-1323FFD9A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FBF"/>
    <w:pPr>
      <w:bidi/>
      <w:spacing w:before="120" w:after="120" w:line="276" w:lineRule="auto"/>
    </w:pPr>
  </w:style>
  <w:style w:type="paragraph" w:styleId="Heading2">
    <w:name w:val="heading 2"/>
    <w:basedOn w:val="Normal"/>
    <w:next w:val="Normal"/>
    <w:uiPriority w:val="9"/>
    <w:unhideWhenUsed/>
    <w:qFormat/>
    <w:rsid w:val="009263A6"/>
    <w:pPr>
      <w:keepNext/>
      <w:keepLines/>
      <w:spacing w:before="0"/>
      <w:outlineLvl w:val="1"/>
    </w:pPr>
    <w:rPr>
      <w:rFonts w:ascii="Calibri Light" w:hAnsi="Calibri Light"/>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FootnoteCharactersuser">
    <w:name w:val="Footnote Characters (user)"/>
    <w:qFormat/>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user">
    <w:name w:val="Endnote Characters (user)"/>
    <w:qFormat/>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paragraph" w:customStyle="1" w:styleId="Heading">
    <w:name w:val="Heading"/>
    <w:basedOn w:val="Normal"/>
    <w:next w:val="BodyText"/>
    <w:qFormat/>
    <w:pPr>
      <w:keepNext/>
      <w:spacing w:before="240"/>
    </w:pPr>
    <w:rPr>
      <w:rFonts w:ascii="Liberation Sans" w:eastAsia="Microsoft YaHei" w:hAnsi="Liberation Sans"/>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pPr>
    <w:rPr>
      <w:i/>
      <w:iCs/>
    </w:rPr>
  </w:style>
  <w:style w:type="paragraph" w:customStyle="1" w:styleId="Index">
    <w:name w:val="Index"/>
    <w:basedOn w:val="Normal"/>
    <w:qFormat/>
    <w:pPr>
      <w:suppressLineNumbers/>
    </w:pPr>
  </w:style>
  <w:style w:type="paragraph" w:styleId="FootnoteText">
    <w:name w:val="footnote text"/>
    <w:basedOn w:val="Normal"/>
    <w:rsid w:val="00C45FBF"/>
    <w:pPr>
      <w:suppressLineNumbers/>
      <w:spacing w:before="40" w:after="40"/>
      <w:ind w:left="346" w:hanging="346"/>
    </w:pPr>
    <w:rPr>
      <w:rFonts w:cs="David"/>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66</Words>
  <Characters>381</Characters>
  <Application>Microsoft Office Word</Application>
  <DocSecurity>0</DocSecurity>
  <Lines>3</Lines>
  <Paragraphs>1</Paragraphs>
  <ScaleCrop>false</ScaleCrop>
  <Company/>
  <LinksUpToDate>false</LinksUpToDate>
  <CharactersWithSpaces>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Shaul Y Khayyat</cp:lastModifiedBy>
  <cp:revision>17</cp:revision>
  <dcterms:created xsi:type="dcterms:W3CDTF">2025-11-06T16:19:00Z</dcterms:created>
  <dcterms:modified xsi:type="dcterms:W3CDTF">2025-11-10T18:30:00Z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2025-11-04T12:06:51Z</dcterms:created>
  <dc:creator/>
  <dc:description/>
  <dc:language>en-US</dc:language>
  <cp:lastModifiedBy/>
  <dcterms:modified xsi:type="dcterms:W3CDTF">2025-11-04T12:19:41Z</dcterms:modified>
  <cp:revision>2</cp:revision>
  <dc:subject/>
  <dc:title/>
</cp:coreProperties>
</file>