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BB6D" w14:textId="77777777" w:rsidR="00B31FA7" w:rsidRDefault="00000000" w:rsidP="00510E74">
      <w:pPr>
        <w:pStyle w:val="Heading2"/>
        <w:jc w:val="both"/>
        <w:rPr>
          <w:rFonts w:cs="David"/>
        </w:rPr>
      </w:pPr>
      <w:r>
        <w:rPr>
          <w:rFonts w:ascii="David" w:hAnsi="David" w:cs="David"/>
          <w:rtl/>
        </w:rPr>
        <w:t>משנה ב.</w:t>
      </w:r>
      <w:r>
        <w:rPr>
          <w:rStyle w:val="FootnoteReference"/>
          <w:rFonts w:ascii="David" w:hAnsi="David" w:cs="David"/>
          <w:rtl/>
        </w:rPr>
        <w:footnoteReference w:id="1"/>
      </w:r>
    </w:p>
    <w:p w14:paraId="7AE61272" w14:textId="77777777" w:rsidR="00B31FA7" w:rsidRDefault="00000000" w:rsidP="00510E74">
      <w:pPr>
        <w:jc w:val="both"/>
        <w:rPr>
          <w:rFonts w:cs="David"/>
        </w:rPr>
      </w:pPr>
      <w:r>
        <w:rPr>
          <w:rStyle w:val="FootnoteReference"/>
          <w:rFonts w:ascii="David" w:hAnsi="David" w:cs="David"/>
          <w:rtl/>
        </w:rPr>
        <w:footnoteReference w:id="2"/>
      </w:r>
      <w:r>
        <w:rPr>
          <w:rFonts w:ascii="David" w:hAnsi="David" w:cs="David"/>
          <w:rtl/>
        </w:rPr>
        <w:t>פָּרִים הַנִּשְׂרָפִים</w:t>
      </w:r>
      <w:r>
        <w:rPr>
          <w:rStyle w:val="FootnoteReference"/>
          <w:rFonts w:ascii="David" w:hAnsi="David" w:cs="David"/>
          <w:rtl/>
        </w:rPr>
        <w:footnoteReference w:id="3"/>
      </w:r>
      <w:r>
        <w:rPr>
          <w:rFonts w:ascii="David" w:hAnsi="David" w:cs="David"/>
          <w:rtl/>
        </w:rPr>
        <w:t xml:space="preserve"> וּשְׂעִירִים הַנִּשְׂרָפִים</w:t>
      </w:r>
      <w:r>
        <w:rPr>
          <w:rStyle w:val="FootnoteReference"/>
          <w:rFonts w:ascii="David" w:hAnsi="David" w:cs="David"/>
          <w:rtl/>
        </w:rPr>
        <w:footnoteReference w:id="4"/>
      </w:r>
      <w:r>
        <w:rPr>
          <w:rStyle w:val="FootnoteReference"/>
          <w:rFonts w:ascii="David" w:hAnsi="David" w:cs="David"/>
          <w:rtl/>
        </w:rPr>
        <w:footnoteReference w:id="5"/>
      </w:r>
      <w:r>
        <w:rPr>
          <w:rFonts w:ascii="David" w:hAnsi="David" w:cs="David"/>
          <w:rtl/>
        </w:rPr>
        <w:t xml:space="preserve"> שְׁחִיטָתָן בַּצָּפוֹן</w:t>
      </w:r>
      <w:r>
        <w:rPr>
          <w:rStyle w:val="FootnoteReference"/>
          <w:rFonts w:ascii="David" w:hAnsi="David" w:cs="David"/>
          <w:rtl/>
        </w:rPr>
        <w:footnoteReference w:id="6"/>
      </w:r>
      <w:r>
        <w:rPr>
          <w:rFonts w:ascii="David" w:hAnsi="David" w:cs="David"/>
          <w:rtl/>
        </w:rPr>
        <w:t>, וְקִבּוּל דָּמָן בִּכְלִי שָׁרֵת בַּצָּפוֹן</w:t>
      </w:r>
      <w:r>
        <w:rPr>
          <w:rStyle w:val="FootnoteReference"/>
          <w:rFonts w:ascii="David" w:hAnsi="David" w:cs="David"/>
          <w:rtl/>
        </w:rPr>
        <w:footnoteReference w:id="7"/>
      </w:r>
      <w:r>
        <w:rPr>
          <w:rFonts w:ascii="David" w:hAnsi="David" w:cs="David"/>
          <w:rtl/>
        </w:rPr>
        <w:t>, וְדָמָן טָעוּן הַזָּיָה עַל הַפָּרֹכֶת</w:t>
      </w:r>
      <w:r>
        <w:rPr>
          <w:rStyle w:val="FootnoteReference"/>
          <w:rFonts w:ascii="David" w:hAnsi="David" w:cs="David"/>
          <w:rtl/>
        </w:rPr>
        <w:footnoteReference w:id="8"/>
      </w:r>
      <w:r>
        <w:rPr>
          <w:rFonts w:ascii="David" w:hAnsi="David" w:cs="David"/>
          <w:rtl/>
        </w:rPr>
        <w:t xml:space="preserve"> וְעַל מִזְבַּח הַזָּהָב</w:t>
      </w:r>
      <w:r>
        <w:rPr>
          <w:rStyle w:val="FootnoteReference"/>
          <w:rFonts w:ascii="David" w:hAnsi="David" w:cs="David"/>
          <w:rtl/>
        </w:rPr>
        <w:footnoteReference w:id="9"/>
      </w:r>
      <w:r>
        <w:rPr>
          <w:rFonts w:ascii="David" w:hAnsi="David" w:cs="David"/>
          <w:rtl/>
        </w:rPr>
        <w:t xml:space="preserve">. </w:t>
      </w:r>
      <w:r>
        <w:rPr>
          <w:rFonts w:ascii="David" w:hAnsi="David" w:cs="David"/>
          <w:rtl/>
        </w:rPr>
        <w:lastRenderedPageBreak/>
        <w:t>מַתָּנָה אַחַת מֵהֶן מְעַכָּבֶת</w:t>
      </w:r>
      <w:r>
        <w:rPr>
          <w:rStyle w:val="FootnoteReference"/>
          <w:rFonts w:ascii="David" w:hAnsi="David" w:cs="David"/>
          <w:rtl/>
        </w:rPr>
        <w:footnoteReference w:id="10"/>
      </w:r>
      <w:r>
        <w:rPr>
          <w:rFonts w:ascii="David" w:hAnsi="David" w:cs="David"/>
          <w:rtl/>
        </w:rPr>
        <w:t>. שְׁיָרֵי הַדָּם הָיָה שׁוֹפֵךְ עַל יְסוֹד מַעֲרָבִי</w:t>
      </w:r>
      <w:r>
        <w:rPr>
          <w:rStyle w:val="FootnoteReference"/>
          <w:rFonts w:ascii="David" w:hAnsi="David" w:cs="David"/>
          <w:rtl/>
        </w:rPr>
        <w:footnoteReference w:id="11"/>
      </w:r>
      <w:r>
        <w:rPr>
          <w:rFonts w:ascii="David" w:hAnsi="David" w:cs="David"/>
          <w:rtl/>
        </w:rPr>
        <w:t xml:space="preserve"> שֶׁל מִזְבֵּחַ הַחִיצוֹן. אִם לֹא נָתַן, לֹא עִכֵּב.</w:t>
      </w:r>
      <w:r>
        <w:rPr>
          <w:rStyle w:val="FootnoteReference"/>
          <w:rFonts w:ascii="David" w:hAnsi="David" w:cs="David"/>
          <w:rtl/>
        </w:rPr>
        <w:footnoteReference w:id="12"/>
      </w:r>
      <w:r>
        <w:rPr>
          <w:rFonts w:ascii="David" w:hAnsi="David" w:cs="David"/>
          <w:rtl/>
        </w:rPr>
        <w:t xml:space="preserve"> אֵלּוּ וָאֵלּוּ</w:t>
      </w:r>
      <w:r>
        <w:rPr>
          <w:rStyle w:val="FootnoteReference"/>
          <w:rFonts w:ascii="David" w:hAnsi="David" w:cs="David"/>
          <w:rtl/>
        </w:rPr>
        <w:footnoteReference w:id="13"/>
      </w:r>
      <w:r>
        <w:rPr>
          <w:rFonts w:ascii="David" w:hAnsi="David" w:cs="David"/>
          <w:rtl/>
        </w:rPr>
        <w:t xml:space="preserve"> נִשְׂרָפִין בְּבֵית הַדָּשֶׁן</w:t>
      </w:r>
      <w:r>
        <w:rPr>
          <w:rStyle w:val="FootnoteReference"/>
          <w:rFonts w:ascii="David" w:hAnsi="David" w:cs="David"/>
          <w:rtl/>
        </w:rPr>
        <w:footnoteReference w:id="14"/>
      </w:r>
      <w:r>
        <w:rPr>
          <w:rFonts w:ascii="David" w:hAnsi="David" w:cs="David"/>
          <w:rtl/>
        </w:rPr>
        <w:t xml:space="preserve">: </w:t>
      </w:r>
    </w:p>
    <w:sectPr w:rsidR="00B31FA7" w:rsidSect="00510E74">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2A59" w14:textId="77777777" w:rsidR="00AA765C" w:rsidRDefault="00AA765C">
      <w:r>
        <w:separator/>
      </w:r>
    </w:p>
  </w:endnote>
  <w:endnote w:type="continuationSeparator" w:id="0">
    <w:p w14:paraId="3393DCEA" w14:textId="77777777" w:rsidR="00AA765C" w:rsidRDefault="00AA7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91A5" w14:textId="77777777" w:rsidR="00AA765C" w:rsidRDefault="00AA765C">
      <w:r>
        <w:separator/>
      </w:r>
    </w:p>
  </w:footnote>
  <w:footnote w:type="continuationSeparator" w:id="0">
    <w:p w14:paraId="77416982" w14:textId="77777777" w:rsidR="00AA765C" w:rsidRDefault="00AA765C">
      <w:r>
        <w:continuationSeparator/>
      </w:r>
    </w:p>
  </w:footnote>
  <w:footnote w:id="1">
    <w:p w14:paraId="7C354FB9" w14:textId="77777777" w:rsidR="00B31FA7" w:rsidRDefault="00000000" w:rsidP="00510E74">
      <w:pPr>
        <w:pStyle w:val="FootnoteText"/>
        <w:jc w:val="both"/>
        <w:rPr>
          <w:b/>
          <w:bCs/>
          <w:lang w:bidi="he-IL"/>
        </w:rPr>
      </w:pPr>
      <w:r>
        <w:rPr>
          <w:rStyle w:val="FootnoteCharacters"/>
        </w:rPr>
        <w:footnoteRef/>
      </w:r>
      <w:r>
        <w:rPr>
          <w:b/>
          <w:bCs/>
          <w:rtl/>
          <w:lang w:bidi="he-IL"/>
        </w:rPr>
        <w:tab/>
        <w:t>משנה ב.</w:t>
      </w:r>
    </w:p>
  </w:footnote>
  <w:footnote w:id="2">
    <w:p w14:paraId="24406777" w14:textId="18C0A38C"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לכאו’, </w:t>
      </w:r>
      <w:r>
        <w:rPr>
          <w:rtl/>
          <w:lang w:bidi="he-IL"/>
        </w:rPr>
        <w:t>ממשיך מפרים של יה"כ לאלו מפני שדומים במה שמתן דם שלהם באהל מועד. [</w:t>
      </w:r>
      <w:r w:rsidR="00197783">
        <w:rPr>
          <w:rFonts w:hint="cs"/>
          <w:rtl/>
          <w:lang w:bidi="he-IL"/>
        </w:rPr>
        <w:t>כח</w:t>
      </w:r>
      <w:r>
        <w:rPr>
          <w:rtl/>
          <w:lang w:bidi="he-IL"/>
        </w:rPr>
        <w:t>]</w:t>
      </w:r>
    </w:p>
  </w:footnote>
  <w:footnote w:id="3">
    <w:p w14:paraId="55CE126D"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זה כולל שני מיני קרבנות:</w:t>
      </w:r>
    </w:p>
    <w:p w14:paraId="5DA5C367" w14:textId="77777777" w:rsidR="00B31FA7" w:rsidRDefault="00000000" w:rsidP="00510E74">
      <w:pPr>
        <w:pStyle w:val="FootnoteText"/>
        <w:numPr>
          <w:ilvl w:val="0"/>
          <w:numId w:val="2"/>
        </w:numPr>
        <w:jc w:val="both"/>
        <w:rPr>
          <w:lang w:bidi="he-IL"/>
        </w:rPr>
      </w:pPr>
      <w:r>
        <w:rPr>
          <w:rtl/>
          <w:lang w:bidi="he-IL"/>
        </w:rPr>
        <w:t>פר העלם דבר של ציבור. כשציבור חוטאים בשגגת הוראה בעבירה שחייבים בזדונו כרת, מביאים פר, ובשר הפר נשרף.</w:t>
      </w:r>
    </w:p>
    <w:p w14:paraId="3B461E29" w14:textId="1F3ECA00" w:rsidR="00B31FA7" w:rsidRDefault="00000000" w:rsidP="00510E74">
      <w:pPr>
        <w:pStyle w:val="FootnoteText"/>
        <w:numPr>
          <w:ilvl w:val="0"/>
          <w:numId w:val="2"/>
        </w:numPr>
        <w:jc w:val="both"/>
        <w:rPr>
          <w:lang w:bidi="he-IL"/>
        </w:rPr>
      </w:pPr>
      <w:r>
        <w:rPr>
          <w:rtl/>
          <w:lang w:bidi="he-IL"/>
        </w:rPr>
        <w:t>פר כהן משיח. כשכהן משיח חוטא בשגגת הוראה בעבירה שחייבים בזדונו כרת, מביא פר, ובשר הפר נשרף. [</w:t>
      </w:r>
      <w:r w:rsidR="00802A74">
        <w:rPr>
          <w:rFonts w:hint="cs"/>
          <w:rtl/>
          <w:lang w:bidi="he-IL"/>
        </w:rPr>
        <w:t>כט</w:t>
      </w:r>
      <w:r>
        <w:rPr>
          <w:rtl/>
          <w:lang w:bidi="he-IL"/>
        </w:rPr>
        <w:t>]</w:t>
      </w:r>
    </w:p>
  </w:footnote>
  <w:footnote w:id="4">
    <w:p w14:paraId="0BFFD946" w14:textId="61111366" w:rsidR="00B31FA7" w:rsidRDefault="00000000" w:rsidP="00510E74">
      <w:pPr>
        <w:pStyle w:val="FootnoteText"/>
        <w:jc w:val="both"/>
        <w:rPr>
          <w:lang w:bidi="he-IL"/>
        </w:rPr>
      </w:pPr>
      <w:r>
        <w:rPr>
          <w:rStyle w:val="FootnoteCharacters"/>
        </w:rPr>
        <w:footnoteRef/>
      </w:r>
      <w:r>
        <w:rPr>
          <w:rtl/>
          <w:lang w:bidi="he-IL"/>
        </w:rPr>
        <w:tab/>
      </w:r>
      <w:r>
        <w:rPr>
          <w:rtl/>
          <w:lang w:bidi="he-IL"/>
        </w:rPr>
        <w:t>זה שעיר שמביאים כשציבור חוטא בשגגת הוראה בעבודה זרה. [</w:t>
      </w:r>
      <w:r w:rsidR="00C453C4">
        <w:rPr>
          <w:rFonts w:hint="cs"/>
          <w:rtl/>
          <w:lang w:bidi="he-IL"/>
        </w:rPr>
        <w:t>ל</w:t>
      </w:r>
      <w:r>
        <w:rPr>
          <w:rtl/>
          <w:lang w:bidi="he-IL"/>
        </w:rPr>
        <w:t>]</w:t>
      </w:r>
    </w:p>
  </w:footnote>
  <w:footnote w:id="5">
    <w:p w14:paraId="713F05C1" w14:textId="76ED0949" w:rsidR="00B31FA7" w:rsidRDefault="00000000" w:rsidP="00510E74">
      <w:pPr>
        <w:pStyle w:val="FootnoteText"/>
        <w:jc w:val="both"/>
        <w:rPr>
          <w:lang w:bidi="he-IL"/>
        </w:rPr>
      </w:pPr>
      <w:r>
        <w:rPr>
          <w:rStyle w:val="FootnoteCharacters"/>
        </w:rPr>
        <w:footnoteRef/>
      </w:r>
      <w:r>
        <w:rPr>
          <w:rtl/>
          <w:lang w:bidi="he-IL"/>
        </w:rPr>
        <w:tab/>
      </w:r>
      <w:r>
        <w:rPr>
          <w:rtl/>
          <w:lang w:bidi="he-IL"/>
        </w:rPr>
        <w:t>גם חטאות של יה"כ בכלל זה, אלא שרוב דינים שלהם כבר מפורשים. אבל, כמו שנראה, יש דין אחד שמשנה זה מלמד לחטאות יה"כ. [</w:t>
      </w:r>
      <w:r w:rsidR="008F0B8E">
        <w:rPr>
          <w:rFonts w:hint="cs"/>
          <w:rtl/>
          <w:lang w:bidi="he-IL"/>
        </w:rPr>
        <w:t>לא]</w:t>
      </w:r>
    </w:p>
  </w:footnote>
  <w:footnote w:id="6">
    <w:p w14:paraId="19CCA737"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פרים ושעירים הנשרפים הם מיני חטאות, ונבאר מקור ששחיטתם בצפון לקמן במשנה ג, שמדבר בחטאות. </w:t>
      </w:r>
    </w:p>
  </w:footnote>
  <w:footnote w:id="7">
    <w:p w14:paraId="5B37A43F"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פרים </w:t>
      </w:r>
      <w:r>
        <w:rPr>
          <w:rtl/>
          <w:lang w:bidi="he-IL"/>
        </w:rPr>
        <w:t xml:space="preserve">ושעירים הנשרפים הם מיני חטאות, ונבאר מקור ששחיטתם בצפון לקמן במשנה ג, שמדבר בחטאות. </w:t>
      </w:r>
    </w:p>
  </w:footnote>
  <w:footnote w:id="8">
    <w:p w14:paraId="00A4F8BB"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בפר </w:t>
      </w:r>
      <w:r>
        <w:rPr>
          <w:rtl/>
          <w:lang w:bidi="he-IL"/>
        </w:rPr>
        <w:t>העלם דבר של ציבור כתיב, “והזה שבע פעמים לפני ה’ את פני הפרכת."</w:t>
      </w:r>
    </w:p>
    <w:p w14:paraId="53E6CA5D" w14:textId="77777777" w:rsidR="00B31FA7" w:rsidRDefault="00000000" w:rsidP="00510E74">
      <w:pPr>
        <w:pStyle w:val="FootnoteText"/>
        <w:jc w:val="both"/>
        <w:rPr>
          <w:lang w:bidi="he-IL"/>
        </w:rPr>
      </w:pPr>
      <w:r>
        <w:rPr>
          <w:rtl/>
          <w:lang w:bidi="he-IL"/>
        </w:rPr>
        <w:tab/>
        <w:t>בפר כהן משיח כתיב, “והזה מן הדם שבע פעמים לפני ה’ את פני פרכת הקדש."</w:t>
      </w:r>
    </w:p>
    <w:p w14:paraId="57EE46F9" w14:textId="4D342ABF" w:rsidR="00B31FA7" w:rsidRDefault="00000000" w:rsidP="00510E74">
      <w:pPr>
        <w:pStyle w:val="FootnoteText"/>
        <w:jc w:val="both"/>
        <w:rPr>
          <w:lang w:bidi="he-IL"/>
        </w:rPr>
      </w:pPr>
      <w:r>
        <w:rPr>
          <w:rtl/>
          <w:lang w:bidi="he-IL"/>
        </w:rPr>
        <w:tab/>
        <w:t>שעיר של ע"ז הוקש לפר, וכל דינים שלו נלמדים משם. [</w:t>
      </w:r>
      <w:r w:rsidR="008F0B8E">
        <w:rPr>
          <w:rFonts w:hint="cs"/>
          <w:rtl/>
          <w:lang w:bidi="he-IL"/>
        </w:rPr>
        <w:t>לב</w:t>
      </w:r>
      <w:r>
        <w:rPr>
          <w:rtl/>
          <w:lang w:bidi="he-IL"/>
        </w:rPr>
        <w:t>]</w:t>
      </w:r>
    </w:p>
  </w:footnote>
  <w:footnote w:id="9">
    <w:p w14:paraId="6B25A70E"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בפר העלם דבר של ציבור כתיב, “ומן הדם יתן על קרנות המזבח אשר לפני ה’ אשר באהל מועד."</w:t>
      </w:r>
    </w:p>
    <w:p w14:paraId="1E86B3CE" w14:textId="77777777" w:rsidR="00B31FA7" w:rsidRDefault="00000000" w:rsidP="00510E74">
      <w:pPr>
        <w:pStyle w:val="FootnoteText"/>
        <w:jc w:val="both"/>
        <w:rPr>
          <w:lang w:bidi="he-IL"/>
        </w:rPr>
      </w:pPr>
      <w:r>
        <w:rPr>
          <w:rtl/>
          <w:lang w:bidi="he-IL"/>
        </w:rPr>
        <w:tab/>
        <w:t>בפר כהן משיח כתיב, “ונתן הכהן מן הדם על קרנות מזבח קטרת הסמים לפני ה’ אשר באהל מועד.”</w:t>
      </w:r>
    </w:p>
    <w:p w14:paraId="30ACB915" w14:textId="77777777" w:rsidR="00B31FA7" w:rsidRDefault="00000000" w:rsidP="00510E74">
      <w:pPr>
        <w:pStyle w:val="FootnoteText"/>
        <w:jc w:val="both"/>
        <w:rPr>
          <w:lang w:bidi="he-IL"/>
        </w:rPr>
      </w:pPr>
      <w:r>
        <w:rPr>
          <w:rtl/>
          <w:lang w:bidi="he-IL"/>
        </w:rPr>
        <w:tab/>
        <w:t>שעיר של ע"ז הוקש לפר, וכל דינים שלו נלמדים משם.</w:t>
      </w:r>
    </w:p>
    <w:p w14:paraId="6D452CE6" w14:textId="42546BBA" w:rsidR="00B31FA7" w:rsidRDefault="00000000" w:rsidP="00510E74">
      <w:pPr>
        <w:pStyle w:val="FootnoteText"/>
        <w:jc w:val="both"/>
        <w:rPr>
          <w:lang w:bidi="he-IL"/>
        </w:rPr>
      </w:pPr>
      <w:r>
        <w:rPr>
          <w:rtl/>
          <w:lang w:bidi="he-IL"/>
        </w:rPr>
        <w:tab/>
        <w:t>נותן על כל ארבע קרנות של מזבח הפנימי [</w:t>
      </w:r>
      <w:r w:rsidR="008F0B8E">
        <w:rPr>
          <w:rFonts w:hint="cs"/>
          <w:rtl/>
          <w:lang w:bidi="he-IL"/>
        </w:rPr>
        <w:t>לג]</w:t>
      </w:r>
      <w:r>
        <w:rPr>
          <w:rtl/>
          <w:lang w:bidi="he-IL"/>
        </w:rPr>
        <w:t>. חולקים תנאים במקור לזה:</w:t>
      </w:r>
    </w:p>
    <w:p w14:paraId="11D85E55" w14:textId="77777777" w:rsidR="00B31FA7" w:rsidRDefault="00000000" w:rsidP="00510E74">
      <w:pPr>
        <w:pStyle w:val="FootnoteText"/>
        <w:numPr>
          <w:ilvl w:val="0"/>
          <w:numId w:val="3"/>
        </w:numPr>
        <w:jc w:val="both"/>
        <w:rPr>
          <w:lang w:bidi="he-IL"/>
        </w:rPr>
      </w:pPr>
      <w:r>
        <w:rPr>
          <w:rtl/>
          <w:lang w:bidi="he-IL"/>
        </w:rPr>
        <w:t>רבי שמעון אומר שנלמד ממש"כ בפר העלם דבר של ציבור "קרנות,” שמלמד שצריך נתינה על שני קרנות, ובפר משיח "קרנות”, שמלמד שצריך נתינה על שני קרנות. כיון שיש היקש ביניהם, לומדים לשניהם שצריך נתינה על ארבע קרנות.</w:t>
      </w:r>
    </w:p>
    <w:p w14:paraId="34A79036" w14:textId="18F71F0B" w:rsidR="00B31FA7" w:rsidRDefault="00000000" w:rsidP="00510E74">
      <w:pPr>
        <w:pStyle w:val="FootnoteText"/>
        <w:numPr>
          <w:ilvl w:val="0"/>
          <w:numId w:val="3"/>
        </w:numPr>
        <w:jc w:val="both"/>
        <w:rPr>
          <w:lang w:bidi="he-IL"/>
        </w:rPr>
      </w:pPr>
      <w:r>
        <w:rPr>
          <w:rtl/>
          <w:lang w:bidi="he-IL"/>
        </w:rPr>
        <w:t>רבי יהודה אומר שנלמד ממש"כ בפר העלם דבר של ציבור "אהל מועד,” שמלמד שצריך לתת דם על כל קרנות שבאהל מועד. לומדים מפר העלם דבר של ציבור לשאר הקרבנות. [</w:t>
      </w:r>
      <w:r w:rsidR="008F0B8E">
        <w:rPr>
          <w:rFonts w:hint="cs"/>
          <w:rtl/>
          <w:lang w:bidi="he-IL"/>
        </w:rPr>
        <w:t>לד]</w:t>
      </w:r>
    </w:p>
  </w:footnote>
  <w:footnote w:id="10">
    <w:p w14:paraId="1B543D56"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צריכים מקור לכל קרבן, ולכל המתנות:</w:t>
      </w:r>
    </w:p>
    <w:p w14:paraId="09C1DE4B" w14:textId="77777777" w:rsidR="00B31FA7" w:rsidRDefault="00000000" w:rsidP="00510E74">
      <w:pPr>
        <w:pStyle w:val="FootnoteText"/>
        <w:numPr>
          <w:ilvl w:val="0"/>
          <w:numId w:val="4"/>
        </w:numPr>
        <w:jc w:val="both"/>
        <w:rPr>
          <w:lang w:bidi="he-IL"/>
        </w:rPr>
      </w:pPr>
      <w:r>
        <w:rPr>
          <w:rtl/>
          <w:lang w:bidi="he-IL"/>
        </w:rPr>
        <w:t>פר העלם דבר של ציבור:</w:t>
      </w:r>
    </w:p>
    <w:p w14:paraId="6D7992C0" w14:textId="77777777" w:rsidR="00B31FA7" w:rsidRDefault="00000000" w:rsidP="00510E74">
      <w:pPr>
        <w:pStyle w:val="FootnoteText"/>
        <w:numPr>
          <w:ilvl w:val="1"/>
          <w:numId w:val="4"/>
        </w:numPr>
        <w:jc w:val="both"/>
        <w:rPr>
          <w:lang w:bidi="he-IL"/>
        </w:rPr>
      </w:pPr>
      <w:r>
        <w:rPr>
          <w:rtl/>
          <w:lang w:bidi="he-IL"/>
        </w:rPr>
        <w:t>שבע מתנות על הפרכת. זה נלמד ממש"כ בו, “ועשה כאשר עשה.” זה כופל את הציוויים על נתינות הדם שלו, ואז כל מתנה מעכבת.</w:t>
      </w:r>
    </w:p>
    <w:p w14:paraId="6BFFAFBB" w14:textId="77777777" w:rsidR="00B31FA7" w:rsidRDefault="00000000" w:rsidP="00510E74">
      <w:pPr>
        <w:pStyle w:val="FootnoteText"/>
        <w:numPr>
          <w:ilvl w:val="1"/>
          <w:numId w:val="4"/>
        </w:numPr>
        <w:jc w:val="both"/>
        <w:rPr>
          <w:lang w:bidi="he-IL"/>
        </w:rPr>
      </w:pPr>
      <w:r>
        <w:rPr>
          <w:rtl/>
          <w:lang w:bidi="he-IL"/>
        </w:rPr>
        <w:t>ארבע מתנות על מזבח הפנימי. גמ’ נותן שני מקורות לזה:</w:t>
      </w:r>
    </w:p>
    <w:p w14:paraId="4B058CFF" w14:textId="77777777" w:rsidR="00B31FA7" w:rsidRDefault="00000000" w:rsidP="00510E74">
      <w:pPr>
        <w:pStyle w:val="FootnoteText"/>
        <w:numPr>
          <w:ilvl w:val="2"/>
          <w:numId w:val="4"/>
        </w:numPr>
        <w:jc w:val="both"/>
        <w:rPr>
          <w:lang w:bidi="he-IL"/>
        </w:rPr>
      </w:pPr>
      <w:r>
        <w:rPr>
          <w:rtl/>
          <w:lang w:bidi="he-IL"/>
        </w:rPr>
        <w:t>נלמד ממש"כ בו, “ועשה כאשר עשה,” שכופל את הציוויים על נתינות הדם שלו. אף שמצדד גמרא שזה המקור, גם מבאר שני צדדים לדחות את זה:</w:t>
      </w:r>
    </w:p>
    <w:p w14:paraId="2EFEFA6A" w14:textId="77777777" w:rsidR="00B31FA7" w:rsidRDefault="00000000" w:rsidP="00510E74">
      <w:pPr>
        <w:pStyle w:val="FootnoteText"/>
        <w:numPr>
          <w:ilvl w:val="3"/>
          <w:numId w:val="4"/>
        </w:numPr>
        <w:jc w:val="both"/>
        <w:rPr>
          <w:lang w:bidi="he-IL"/>
        </w:rPr>
      </w:pPr>
      <w:r>
        <w:rPr>
          <w:rtl/>
          <w:lang w:bidi="he-IL"/>
        </w:rPr>
        <w:t>רבי שמעון אומר (עיין לעיל) שמה שארבע מתנות ניתנות על המזבח הפנימי לא נכתב בפר העלם דבר, אלא מקצתו נלמד מהיקש. אז, לא יכולים להניח עליו כפל הפסוק של "ועשה כאשר עשה.”</w:t>
      </w:r>
    </w:p>
    <w:p w14:paraId="06D97DF1" w14:textId="42CF6ADF" w:rsidR="00B31FA7" w:rsidRDefault="00000000" w:rsidP="00510E74">
      <w:pPr>
        <w:pStyle w:val="FootnoteText"/>
        <w:numPr>
          <w:ilvl w:val="3"/>
          <w:numId w:val="4"/>
        </w:numPr>
        <w:jc w:val="both"/>
        <w:rPr>
          <w:lang w:bidi="he-IL"/>
        </w:rPr>
      </w:pPr>
      <w:r>
        <w:rPr>
          <w:rtl/>
          <w:lang w:bidi="he-IL"/>
        </w:rPr>
        <w:t>לא פשוט שכל סוג מתנה מעכבת, שאף שנכפל לומר "ועשה כאשר עשה,” יודעים שזה לא הולך על כל דבר, שלא הולך על סמיכה. [</w:t>
      </w:r>
      <w:r w:rsidR="008F0B8E">
        <w:rPr>
          <w:rFonts w:hint="cs"/>
          <w:rtl/>
          <w:lang w:bidi="he-IL"/>
        </w:rPr>
        <w:t>לה]</w:t>
      </w:r>
    </w:p>
    <w:p w14:paraId="60C13A53" w14:textId="77777777" w:rsidR="00B31FA7" w:rsidRDefault="00000000" w:rsidP="00510E74">
      <w:pPr>
        <w:pStyle w:val="FootnoteText"/>
        <w:numPr>
          <w:ilvl w:val="2"/>
          <w:numId w:val="4"/>
        </w:numPr>
        <w:jc w:val="both"/>
        <w:rPr>
          <w:lang w:bidi="he-IL"/>
        </w:rPr>
      </w:pPr>
      <w:r>
        <w:rPr>
          <w:rtl/>
          <w:lang w:bidi="he-IL"/>
        </w:rPr>
        <w:t>נלמד ממש"כ בו, “כן יעשה,” שכופל את הציוויים על נתינות הדם שלו.</w:t>
      </w:r>
    </w:p>
    <w:p w14:paraId="6FE76FB2" w14:textId="77777777" w:rsidR="00B31FA7" w:rsidRDefault="00000000" w:rsidP="00510E74">
      <w:pPr>
        <w:pStyle w:val="FootnoteText"/>
        <w:numPr>
          <w:ilvl w:val="0"/>
          <w:numId w:val="4"/>
        </w:numPr>
        <w:jc w:val="both"/>
        <w:rPr>
          <w:lang w:bidi="he-IL"/>
        </w:rPr>
      </w:pPr>
      <w:r>
        <w:rPr>
          <w:rtl/>
          <w:lang w:bidi="he-IL"/>
        </w:rPr>
        <w:t>פר של נשיא:</w:t>
      </w:r>
    </w:p>
    <w:p w14:paraId="1CB4EEEF" w14:textId="77777777" w:rsidR="00B31FA7" w:rsidRDefault="00000000" w:rsidP="00510E74">
      <w:pPr>
        <w:pStyle w:val="FootnoteText"/>
        <w:numPr>
          <w:ilvl w:val="1"/>
          <w:numId w:val="4"/>
        </w:numPr>
        <w:jc w:val="both"/>
        <w:rPr>
          <w:lang w:bidi="he-IL"/>
        </w:rPr>
      </w:pPr>
      <w:r>
        <w:rPr>
          <w:rtl/>
          <w:lang w:bidi="he-IL"/>
        </w:rPr>
        <w:t>שבע מתנות על הפרכת. זה נלמד מ"כאשר עשה לפר,” שכתוב בפר העלם דבר של ציבור. דורשים מפסוק זה להשוות פר משיח לפר העלם דבר של ציבור לעיכוב כל מתנה.</w:t>
      </w:r>
    </w:p>
    <w:p w14:paraId="643F169F" w14:textId="77777777" w:rsidR="00B31FA7" w:rsidRDefault="00000000" w:rsidP="00510E74">
      <w:pPr>
        <w:pStyle w:val="FootnoteText"/>
        <w:numPr>
          <w:ilvl w:val="1"/>
          <w:numId w:val="4"/>
        </w:numPr>
        <w:jc w:val="both"/>
        <w:rPr>
          <w:lang w:bidi="he-IL"/>
        </w:rPr>
      </w:pPr>
      <w:r>
        <w:rPr>
          <w:rtl/>
          <w:lang w:bidi="he-IL"/>
        </w:rPr>
        <w:t>ארבע מתנות על מזבח הפנימי. זה נלמד מ"כאשר עשה לפר,” שכתוב בפר העלם דבר של ציבור. דורשים מפסוק זה להשוות פר משיח לפר העלם דבר של ציבור לעיכוב כל מתנה.</w:t>
      </w:r>
    </w:p>
    <w:p w14:paraId="6353BCC2" w14:textId="77777777" w:rsidR="00B31FA7" w:rsidRDefault="00000000" w:rsidP="00510E74">
      <w:pPr>
        <w:pStyle w:val="FootnoteText"/>
        <w:numPr>
          <w:ilvl w:val="0"/>
          <w:numId w:val="4"/>
        </w:numPr>
        <w:jc w:val="both"/>
        <w:rPr>
          <w:lang w:bidi="he-IL"/>
        </w:rPr>
      </w:pPr>
      <w:r>
        <w:rPr>
          <w:rtl/>
          <w:lang w:bidi="he-IL"/>
        </w:rPr>
        <w:t>שעיר של עבודה זרה:</w:t>
      </w:r>
    </w:p>
    <w:p w14:paraId="1E7D4701" w14:textId="4729D12C" w:rsidR="00B31FA7" w:rsidRDefault="00000000" w:rsidP="00510E74">
      <w:pPr>
        <w:pStyle w:val="FootnoteText"/>
        <w:numPr>
          <w:ilvl w:val="1"/>
          <w:numId w:val="4"/>
        </w:numPr>
        <w:jc w:val="both"/>
        <w:rPr>
          <w:lang w:bidi="he-IL"/>
        </w:rPr>
      </w:pPr>
      <w:r>
        <w:rPr>
          <w:rtl/>
          <w:lang w:bidi="he-IL"/>
        </w:rPr>
        <w:t>שבע מתנות על הפרכת. זה נלמד מ"החטאת" ו"חטאתם" הכתובים בפר העלם דבר של ציבור. דורשים מפסוק זה להשוות שעיר של עבדוה זרה לפר העלם דבר של ציבור לעיכוב כל מתנה. [</w:t>
      </w:r>
      <w:r w:rsidR="008F0B8E">
        <w:rPr>
          <w:rFonts w:hint="cs"/>
          <w:rtl/>
          <w:lang w:bidi="he-IL"/>
        </w:rPr>
        <w:t>לו]</w:t>
      </w:r>
    </w:p>
    <w:p w14:paraId="4719B3C0" w14:textId="77777777" w:rsidR="00B31FA7" w:rsidRDefault="00000000" w:rsidP="00510E74">
      <w:pPr>
        <w:pStyle w:val="FootnoteText"/>
        <w:numPr>
          <w:ilvl w:val="1"/>
          <w:numId w:val="4"/>
        </w:numPr>
        <w:jc w:val="both"/>
        <w:rPr>
          <w:lang w:bidi="he-IL"/>
        </w:rPr>
      </w:pPr>
      <w:r>
        <w:rPr>
          <w:rtl/>
          <w:lang w:bidi="he-IL"/>
        </w:rPr>
        <w:t>ארבע מתנות על מזבח הפנימי. זה נלמד מ"החטאת" ו"חטאתם" הכתובים בפר העלם דבר של ציבור. דורשים מפסוק זה להשוות שעיר של עבדוה זרה לפר העלם דבר של ציבור לעיכוב כל מתנה.</w:t>
      </w:r>
    </w:p>
  </w:footnote>
  <w:footnote w:id="11">
    <w:p w14:paraId="4011A40B" w14:textId="77777777" w:rsidR="00B31FA7" w:rsidRDefault="00000000" w:rsidP="00510E74">
      <w:pPr>
        <w:pStyle w:val="FootnoteText"/>
        <w:spacing w:before="29" w:after="29"/>
        <w:jc w:val="both"/>
        <w:rPr>
          <w:color w:val="000000"/>
          <w:lang w:bidi="he-IL"/>
        </w:rPr>
      </w:pPr>
      <w:r>
        <w:rPr>
          <w:rStyle w:val="FootnoteCharacters"/>
        </w:rPr>
        <w:footnoteRef/>
      </w:r>
      <w:r>
        <w:rPr>
          <w:color w:val="000000"/>
          <w:rtl/>
          <w:lang w:bidi="he-IL"/>
        </w:rPr>
        <w:tab/>
      </w:r>
      <w:r>
        <w:rPr>
          <w:color w:val="000000"/>
          <w:rtl/>
          <w:lang w:bidi="he-IL"/>
        </w:rPr>
        <w:t xml:space="preserve">יש </w:t>
      </w:r>
      <w:r>
        <w:rPr>
          <w:color w:val="000000"/>
          <w:rtl/>
          <w:lang w:bidi="he-IL"/>
        </w:rPr>
        <w:t>חולק על דין זה, כמו שבארנו בפר ושעיר של יה"כ, במשנה הקודמת.</w:t>
      </w:r>
    </w:p>
  </w:footnote>
  <w:footnote w:id="12">
    <w:p w14:paraId="7FCF04EC" w14:textId="77777777" w:rsidR="00B31FA7" w:rsidRDefault="00000000" w:rsidP="00510E74">
      <w:pPr>
        <w:pStyle w:val="FootnoteText"/>
        <w:spacing w:before="29" w:after="29"/>
        <w:jc w:val="both"/>
        <w:rPr>
          <w:lang w:bidi="he-IL"/>
        </w:rPr>
      </w:pPr>
      <w:r>
        <w:rPr>
          <w:rStyle w:val="FootnoteCharacters"/>
        </w:rPr>
        <w:footnoteRef/>
      </w:r>
      <w:r>
        <w:rPr>
          <w:rtl/>
          <w:lang w:bidi="he-IL"/>
        </w:rPr>
        <w:tab/>
      </w:r>
      <w:r>
        <w:rPr>
          <w:rtl/>
          <w:lang w:bidi="he-IL"/>
        </w:rPr>
        <w:t xml:space="preserve">חולקים </w:t>
      </w:r>
      <w:r>
        <w:rPr>
          <w:rtl/>
          <w:lang w:bidi="he-IL"/>
        </w:rPr>
        <w:t xml:space="preserve">תנאים </w:t>
      </w:r>
      <w:r>
        <w:rPr>
          <w:b/>
          <w:bCs/>
          <w:u w:val="single"/>
          <w:rtl/>
          <w:lang w:bidi="he-IL"/>
        </w:rPr>
        <w:t>(נב.)</w:t>
      </w:r>
      <w:r>
        <w:rPr>
          <w:rtl/>
          <w:lang w:bidi="he-IL"/>
        </w:rPr>
        <w:t xml:space="preserve"> אם זה מעכב או לא מעכב. גמ’ לא מבאר מהו המקור לכל תנא, אבל מן הגמ’ יוצא </w:t>
      </w:r>
      <w:r>
        <w:rPr>
          <w:color w:val="000000"/>
          <w:rtl/>
          <w:lang w:bidi="he-IL"/>
        </w:rPr>
        <w:t xml:space="preserve">מקור אחד, ודיחוי לו. </w:t>
      </w:r>
    </w:p>
    <w:p w14:paraId="43FCC426" w14:textId="77777777" w:rsidR="00B31FA7" w:rsidRDefault="00000000" w:rsidP="00510E74">
      <w:pPr>
        <w:pStyle w:val="FootnoteText"/>
        <w:spacing w:before="29" w:after="29"/>
        <w:jc w:val="both"/>
        <w:rPr>
          <w:lang w:bidi="he-IL"/>
        </w:rPr>
      </w:pPr>
      <w:r>
        <w:rPr>
          <w:color w:val="000000"/>
          <w:rtl/>
          <w:lang w:bidi="he-IL"/>
        </w:rPr>
        <w:tab/>
        <w:t xml:space="preserve">המקור לומר שמעכב הוא שיש שני מקורות לומר שצריך לשפוך. נמצא ששינה הכתוב על הדין, ואז מעכב. </w:t>
      </w:r>
    </w:p>
    <w:p w14:paraId="52FDCDBB" w14:textId="77777777" w:rsidR="00B31FA7" w:rsidRDefault="00000000" w:rsidP="00510E74">
      <w:pPr>
        <w:pStyle w:val="FootnoteText"/>
        <w:spacing w:before="29" w:after="29"/>
        <w:jc w:val="both"/>
        <w:rPr>
          <w:lang w:bidi="he-IL"/>
        </w:rPr>
      </w:pPr>
      <w:r>
        <w:rPr>
          <w:color w:val="000000"/>
          <w:rtl/>
          <w:lang w:bidi="he-IL"/>
        </w:rPr>
        <w:tab/>
        <w:t>הדיחוי לזה הוא שכתיב, “ואת כל דם הפר ישפך.” זה עשה שאומר שצריך לתת כל מתנות הדם ולשפוך שיריים. כיון שניתק אותו לעשה, בא לומר שאינו מעכב.</w:t>
      </w:r>
    </w:p>
  </w:footnote>
  <w:footnote w:id="13">
    <w:p w14:paraId="6DCA564C" w14:textId="77777777"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דין </w:t>
      </w:r>
      <w:r>
        <w:rPr>
          <w:rtl/>
          <w:lang w:bidi="he-IL"/>
        </w:rPr>
        <w:t>זה נוהג בכל קרבנות הנשרפות, כולל קרבנות של יה"כ, ולכן אומר, “אלו ואלו.”</w:t>
      </w:r>
    </w:p>
  </w:footnote>
  <w:footnote w:id="14">
    <w:p w14:paraId="065D99E0" w14:textId="06B10D0B" w:rsidR="00B31FA7" w:rsidRDefault="00000000" w:rsidP="00510E74">
      <w:pPr>
        <w:pStyle w:val="FootnoteText"/>
        <w:jc w:val="both"/>
        <w:rPr>
          <w:lang w:bidi="he-IL"/>
        </w:rPr>
      </w:pPr>
      <w:r>
        <w:rPr>
          <w:rStyle w:val="FootnoteCharacters"/>
        </w:rPr>
        <w:footnoteRef/>
      </w:r>
      <w:r>
        <w:rPr>
          <w:rtl/>
          <w:lang w:bidi="he-IL"/>
        </w:rPr>
        <w:tab/>
      </w:r>
      <w:r>
        <w:rPr>
          <w:rtl/>
          <w:lang w:bidi="he-IL"/>
        </w:rPr>
        <w:t xml:space="preserve">היו </w:t>
      </w:r>
      <w:r>
        <w:rPr>
          <w:rtl/>
          <w:lang w:bidi="he-IL"/>
        </w:rPr>
        <w:t>שורפים אותו חוץ לשלש מחנות (חוץ לעזרה, חוץ להר הבית, וחוץ לירושלים). דרושים את זה ממה שמצאנו שלש פסוקים שאומרים "חוץ למחנה" – אחד בפר כהן משיח, אחד בפר העלם דבר של ציבור, ואחד בהוצאת הדשן. כיון שבפר העלם דבר של ציבור כ’ ששווה לפר כהן משיח[</w:t>
      </w:r>
      <w:r w:rsidR="00812A11">
        <w:rPr>
          <w:rFonts w:hint="cs"/>
          <w:rtl/>
          <w:lang w:bidi="he-IL"/>
        </w:rPr>
        <w:t>לז] [לח]</w:t>
      </w:r>
      <w:r>
        <w:rPr>
          <w:rtl/>
          <w:lang w:bidi="he-IL"/>
        </w:rPr>
        <w:t>. אז, רק צריכים פסוק אחד, ואז דורשים משלש הפסוקים שמוציא ואתו חוץ לשלש מחנות.</w:t>
      </w:r>
    </w:p>
    <w:p w14:paraId="4FE4C804" w14:textId="77777777" w:rsidR="00B31FA7" w:rsidRDefault="00000000" w:rsidP="00510E74">
      <w:pPr>
        <w:pStyle w:val="FootnoteText"/>
        <w:jc w:val="both"/>
        <w:rPr>
          <w:lang w:bidi="he-IL"/>
        </w:rPr>
      </w:pPr>
      <w:r>
        <w:rPr>
          <w:rtl/>
          <w:lang w:bidi="he-IL"/>
        </w:rPr>
        <w:tab/>
        <w:t>גם חולקים תנאים איפה נשרף. רבי שמעון אומר שנשרף במזרח (דורש כן מג"ש לפרה אדומה), ורבנן אומרים שנשרף בצפון (שכל מעשי חטאת בצפון).</w:t>
      </w:r>
    </w:p>
    <w:p w14:paraId="16DA30A6" w14:textId="77777777" w:rsidR="00B31FA7" w:rsidRDefault="00000000" w:rsidP="00510E74">
      <w:pPr>
        <w:pStyle w:val="FootnoteText"/>
        <w:jc w:val="both"/>
      </w:pPr>
      <w:r>
        <w:rPr>
          <w:rtl/>
          <w:lang w:bidi="he-IL"/>
        </w:rPr>
        <w:tab/>
        <w:t xml:space="preserve">גם חולקים, לצד אחד בגמ’, אם צריך להיות על מקום דשן (כיון שכ’, “על שפך הדשן"). גם חולקים, לצד אחר בגמ’, אם צריך להיות על מקום מדרון (שכ’, “על שפך") או לא צריך להיות על מקום מדרון. </w:t>
      </w:r>
      <w:r>
        <w:rPr>
          <w:b/>
          <w:bCs/>
          <w:u w:val="single"/>
          <w:rtl/>
          <w:lang w:bidi="he-IL"/>
        </w:rPr>
        <w:t>(יומא סח)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73C22"/>
    <w:multiLevelType w:val="multilevel"/>
    <w:tmpl w:val="29F634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2C4812EA"/>
    <w:multiLevelType w:val="multilevel"/>
    <w:tmpl w:val="7D34C52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D38035E"/>
    <w:multiLevelType w:val="multilevel"/>
    <w:tmpl w:val="B04E3D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050493"/>
    <w:multiLevelType w:val="multilevel"/>
    <w:tmpl w:val="75B054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283116493">
    <w:abstractNumId w:val="2"/>
  </w:num>
  <w:num w:numId="2" w16cid:durableId="1127165109">
    <w:abstractNumId w:val="3"/>
  </w:num>
  <w:num w:numId="3" w16cid:durableId="1572809755">
    <w:abstractNumId w:val="1"/>
  </w:num>
  <w:num w:numId="4" w16cid:durableId="179007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31FA7"/>
    <w:rsid w:val="000F3F4A"/>
    <w:rsid w:val="00133886"/>
    <w:rsid w:val="00197783"/>
    <w:rsid w:val="003B109E"/>
    <w:rsid w:val="004361B0"/>
    <w:rsid w:val="00510E74"/>
    <w:rsid w:val="005357CA"/>
    <w:rsid w:val="00802A74"/>
    <w:rsid w:val="00812A11"/>
    <w:rsid w:val="008355FE"/>
    <w:rsid w:val="008D6702"/>
    <w:rsid w:val="008E7609"/>
    <w:rsid w:val="008F0B8E"/>
    <w:rsid w:val="00A5571C"/>
    <w:rsid w:val="00AA765C"/>
    <w:rsid w:val="00AF5D2A"/>
    <w:rsid w:val="00B31FA7"/>
    <w:rsid w:val="00C453C4"/>
    <w:rsid w:val="00D726B5"/>
    <w:rsid w:val="00DB30CF"/>
    <w:rsid w:val="00E62435"/>
    <w:rsid w:val="00FB7F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A5DA"/>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1B0"/>
    <w:pPr>
      <w:bidi/>
      <w:spacing w:before="120" w:after="120" w:line="276" w:lineRule="auto"/>
    </w:pPr>
  </w:style>
  <w:style w:type="paragraph" w:styleId="Heading2">
    <w:name w:val="heading 2"/>
    <w:basedOn w:val="Normal"/>
    <w:next w:val="Normal"/>
    <w:uiPriority w:val="9"/>
    <w:unhideWhenUsed/>
    <w:qFormat/>
    <w:rsid w:val="00133886"/>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4361B0"/>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748A6-8E9D-40FE-A24B-92D514B18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58</Words>
  <Characters>334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12</cp:revision>
  <dcterms:created xsi:type="dcterms:W3CDTF">2025-11-05T18:43:00Z</dcterms:created>
  <dcterms:modified xsi:type="dcterms:W3CDTF">2025-11-10T18:31:00Z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2025-11-04T12:08:58Z</dcterms:created>
  <dc:creator/>
  <dc:description/>
  <dc:language>en-US</dc:language>
  <cp:lastModifiedBy/>
  <dcterms:modified xsi:type="dcterms:W3CDTF">2025-11-04T12:20:22Z</dcterms:modified>
  <cp:revision>2</cp:revision>
  <dc:subject/>
  <dc:title/>
</cp:coreProperties>
</file>