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C50B7" w14:textId="77777777" w:rsidR="00215AD6" w:rsidRDefault="00000000" w:rsidP="00EA55F2">
      <w:pPr>
        <w:pStyle w:val="Heading2"/>
        <w:jc w:val="both"/>
        <w:rPr>
          <w:rFonts w:ascii="David" w:hAnsi="David" w:cs="David"/>
        </w:rPr>
      </w:pPr>
      <w:r>
        <w:rPr>
          <w:rFonts w:ascii="David" w:hAnsi="David" w:cs="David"/>
          <w:rtl/>
        </w:rPr>
        <w:t>משנה ג.</w:t>
      </w:r>
      <w:r>
        <w:rPr>
          <w:rStyle w:val="FootnoteReference"/>
          <w:rFonts w:ascii="David" w:hAnsi="David" w:cs="David"/>
          <w:rtl/>
        </w:rPr>
        <w:footnoteReference w:id="1"/>
      </w:r>
    </w:p>
    <w:p w14:paraId="0A013C79" w14:textId="0B1EA7BD" w:rsidR="00215AD6" w:rsidRDefault="00000000" w:rsidP="00EA55F2">
      <w:pPr>
        <w:jc w:val="both"/>
        <w:rPr>
          <w:rFonts w:ascii="David" w:hAnsi="David" w:cs="David"/>
        </w:rPr>
      </w:pPr>
      <w:r>
        <w:rPr>
          <w:rStyle w:val="FootnoteReference"/>
          <w:rFonts w:ascii="David" w:hAnsi="David" w:cs="David"/>
          <w:rtl/>
        </w:rPr>
        <w:footnoteReference w:id="2"/>
      </w:r>
      <w:r>
        <w:rPr>
          <w:rFonts w:ascii="David" w:hAnsi="David" w:cs="David"/>
          <w:rtl/>
        </w:rPr>
        <w:t>חַטֹּאות הַצִּבּוּר וְהַיָּחִיד</w:t>
      </w:r>
      <w:r>
        <w:rPr>
          <w:rStyle w:val="FootnoteReference"/>
          <w:rFonts w:ascii="David" w:hAnsi="David" w:cs="David"/>
          <w:rtl/>
        </w:rPr>
        <w:footnoteReference w:id="3"/>
      </w:r>
      <w:r>
        <w:rPr>
          <w:rStyle w:val="FootnoteReference"/>
          <w:rFonts w:ascii="David" w:hAnsi="David" w:cs="David"/>
          <w:rtl/>
        </w:rPr>
        <w:footnoteReference w:id="4"/>
      </w:r>
      <w:r>
        <w:rPr>
          <w:rFonts w:ascii="David" w:hAnsi="David" w:cs="David"/>
          <w:rtl/>
        </w:rPr>
        <w:t>. אֵלּוּ הֵן חַטֹּאות הַצִּבּוּר, שְׂעִירֵי רָאשֵׁי חֳדָשִׁים וְשֶׁל מוֹעֲדוֹת</w:t>
      </w:r>
      <w:r w:rsidR="005662F8">
        <w:rPr>
          <w:rFonts w:ascii="David" w:hAnsi="David" w:cs="David" w:hint="cs"/>
          <w:rtl/>
          <w:lang w:bidi="he-IL"/>
        </w:rPr>
        <w:t xml:space="preserve"> [לט]</w:t>
      </w:r>
      <w:r>
        <w:rPr>
          <w:rFonts w:ascii="David" w:hAnsi="David" w:cs="David"/>
          <w:rtl/>
        </w:rPr>
        <w:t>, שְׁחִיטָתָן בַּצָּפוֹן</w:t>
      </w:r>
      <w:r>
        <w:rPr>
          <w:rStyle w:val="FootnoteReference"/>
          <w:rFonts w:ascii="David" w:hAnsi="David" w:cs="David"/>
          <w:rtl/>
        </w:rPr>
        <w:footnoteReference w:id="5"/>
      </w:r>
      <w:r>
        <w:rPr>
          <w:rStyle w:val="FootnoteReference"/>
          <w:rFonts w:ascii="David" w:hAnsi="David" w:cs="David"/>
          <w:rtl/>
        </w:rPr>
        <w:footnoteReference w:id="6"/>
      </w:r>
      <w:r>
        <w:rPr>
          <w:rFonts w:ascii="David" w:hAnsi="David" w:cs="David"/>
          <w:rtl/>
        </w:rPr>
        <w:t>, וְקִבּוּל דָּמָן בִּכְלִי שָׁרֵת בַּצָּפוֹן</w:t>
      </w:r>
      <w:r>
        <w:rPr>
          <w:rStyle w:val="FootnoteReference"/>
          <w:rFonts w:ascii="David" w:hAnsi="David" w:cs="David"/>
          <w:rtl/>
        </w:rPr>
        <w:footnoteReference w:id="7"/>
      </w:r>
      <w:r>
        <w:rPr>
          <w:rFonts w:ascii="David" w:hAnsi="David" w:cs="David"/>
          <w:rtl/>
        </w:rPr>
        <w:t xml:space="preserve">, </w:t>
      </w:r>
      <w:r>
        <w:rPr>
          <w:rFonts w:ascii="David" w:hAnsi="David" w:cs="David"/>
          <w:rtl/>
        </w:rPr>
        <w:lastRenderedPageBreak/>
        <w:t>וְדָמָן טָעוּן אַרְבַּע מַתָּנוֹת עַל אַרְבַּע קְרָנוֹת</w:t>
      </w:r>
      <w:r>
        <w:rPr>
          <w:rStyle w:val="FootnoteReference"/>
          <w:rFonts w:ascii="David" w:hAnsi="David" w:cs="David"/>
          <w:rtl/>
        </w:rPr>
        <w:footnoteReference w:id="8"/>
      </w:r>
      <w:r w:rsidR="0056046A">
        <w:rPr>
          <w:rStyle w:val="FootnoteReference"/>
          <w:rFonts w:ascii="David" w:hAnsi="David" w:cs="David"/>
          <w:rtl/>
        </w:rPr>
        <w:footnoteReference w:id="9"/>
      </w:r>
      <w:r>
        <w:rPr>
          <w:rFonts w:ascii="David" w:hAnsi="David" w:cs="David"/>
          <w:rtl/>
        </w:rPr>
        <w:t xml:space="preserve">. כֵּיצַד. עָלָה בַכֶּבֶשׁ וּפָנָה לַסּוֹבֵב, וּבָא לוֹ לְקֶרֶן דְּרוֹמִית מִזְרָחִית, מִזְרָחִית צְפוֹנִית, צְפוֹנִית </w:t>
      </w:r>
      <w:r>
        <w:rPr>
          <w:rFonts w:ascii="David" w:hAnsi="David" w:cs="David"/>
          <w:rtl/>
        </w:rPr>
        <w:lastRenderedPageBreak/>
        <w:t>מַעֲרָבִית, מַעֲרָבִית דְּרוֹמִית.</w:t>
      </w:r>
      <w:r>
        <w:rPr>
          <w:rStyle w:val="FootnoteReference"/>
          <w:rFonts w:ascii="David" w:hAnsi="David" w:cs="David"/>
          <w:rtl/>
        </w:rPr>
        <w:footnoteReference w:id="10"/>
      </w:r>
      <w:r>
        <w:rPr>
          <w:rFonts w:ascii="David" w:hAnsi="David" w:cs="David"/>
          <w:rtl/>
        </w:rPr>
        <w:t xml:space="preserve"> שְׁיָרֵי הַדָּם הָיָה שׁוֹפֵךְ עַל יְסוֹד דְּרוֹמִי</w:t>
      </w:r>
      <w:r>
        <w:rPr>
          <w:rStyle w:val="FootnoteReference"/>
          <w:rFonts w:ascii="David" w:hAnsi="David" w:cs="David"/>
          <w:rtl/>
        </w:rPr>
        <w:footnoteReference w:id="11"/>
      </w:r>
      <w:r>
        <w:rPr>
          <w:rStyle w:val="FootnoteReference"/>
          <w:rFonts w:ascii="David" w:hAnsi="David" w:cs="David"/>
          <w:rtl/>
        </w:rPr>
        <w:footnoteReference w:id="12"/>
      </w:r>
      <w:r>
        <w:rPr>
          <w:rStyle w:val="FootnoteReference"/>
          <w:rFonts w:ascii="David" w:hAnsi="David" w:cs="David"/>
          <w:rtl/>
        </w:rPr>
        <w:footnoteReference w:id="13"/>
      </w:r>
      <w:r>
        <w:rPr>
          <w:rFonts w:ascii="David" w:hAnsi="David" w:cs="David"/>
          <w:rtl/>
        </w:rPr>
        <w:t>. וְנֶאֱכָלִין לִפְנִים מִן הַקְּלָעִים</w:t>
      </w:r>
      <w:r>
        <w:rPr>
          <w:rStyle w:val="FootnoteReference"/>
          <w:rFonts w:ascii="David" w:hAnsi="David" w:cs="David"/>
          <w:rtl/>
        </w:rPr>
        <w:footnoteReference w:id="14"/>
      </w:r>
      <w:r>
        <w:rPr>
          <w:rFonts w:ascii="David" w:hAnsi="David" w:cs="David"/>
          <w:rtl/>
        </w:rPr>
        <w:t xml:space="preserve"> לְזִכְרֵי כְהֻנָּה</w:t>
      </w:r>
      <w:r>
        <w:rPr>
          <w:rStyle w:val="FootnoteReference"/>
          <w:rFonts w:ascii="David" w:hAnsi="David" w:cs="David"/>
          <w:rtl/>
        </w:rPr>
        <w:footnoteReference w:id="15"/>
      </w:r>
      <w:r>
        <w:rPr>
          <w:rFonts w:ascii="David" w:hAnsi="David" w:cs="David"/>
          <w:rtl/>
        </w:rPr>
        <w:t xml:space="preserve"> בְּכָל מַאֲכָל</w:t>
      </w:r>
      <w:r>
        <w:rPr>
          <w:rStyle w:val="FootnoteReference"/>
          <w:rFonts w:ascii="David" w:hAnsi="David" w:cs="David"/>
          <w:rtl/>
        </w:rPr>
        <w:footnoteReference w:id="16"/>
      </w:r>
      <w:r>
        <w:rPr>
          <w:rFonts w:ascii="David" w:hAnsi="David" w:cs="David"/>
          <w:rtl/>
        </w:rPr>
        <w:t xml:space="preserve"> לְיוֹם וָלַיְלָה</w:t>
      </w:r>
      <w:r>
        <w:rPr>
          <w:rStyle w:val="FootnoteReference"/>
          <w:rFonts w:ascii="David" w:hAnsi="David" w:cs="David"/>
          <w:rtl/>
        </w:rPr>
        <w:footnoteReference w:id="17"/>
      </w:r>
      <w:r>
        <w:rPr>
          <w:rFonts w:ascii="David" w:hAnsi="David" w:cs="David"/>
          <w:rtl/>
        </w:rPr>
        <w:t xml:space="preserve"> עַד חֲצוֹת</w:t>
      </w:r>
      <w:r>
        <w:rPr>
          <w:rStyle w:val="FootnoteReference"/>
          <w:rFonts w:ascii="David" w:hAnsi="David" w:cs="David"/>
          <w:rtl/>
        </w:rPr>
        <w:footnoteReference w:id="18"/>
      </w:r>
      <w:r>
        <w:rPr>
          <w:rFonts w:ascii="David" w:hAnsi="David" w:cs="David"/>
          <w:rtl/>
        </w:rPr>
        <w:t xml:space="preserve">: </w:t>
      </w:r>
    </w:p>
    <w:sectPr w:rsidR="00215AD6" w:rsidSect="00EA55F2">
      <w:pgSz w:w="7200" w:h="11520" w:code="1"/>
      <w:pgMar w:top="720" w:right="720" w:bottom="720" w:left="720" w:header="0" w:footer="0" w:gutter="0"/>
      <w:cols w:space="720"/>
      <w:formProt w:val="0"/>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B3723" w14:textId="77777777" w:rsidR="008100ED" w:rsidRDefault="008100ED">
      <w:r>
        <w:separator/>
      </w:r>
    </w:p>
  </w:endnote>
  <w:endnote w:type="continuationSeparator" w:id="0">
    <w:p w14:paraId="3300B49F" w14:textId="77777777" w:rsidR="008100ED" w:rsidRDefault="00810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OpenSymbol">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7B50F" w14:textId="77777777" w:rsidR="008100ED" w:rsidRDefault="008100ED">
      <w:r>
        <w:separator/>
      </w:r>
    </w:p>
  </w:footnote>
  <w:footnote w:type="continuationSeparator" w:id="0">
    <w:p w14:paraId="0ECD125D" w14:textId="77777777" w:rsidR="008100ED" w:rsidRDefault="008100ED">
      <w:r>
        <w:continuationSeparator/>
      </w:r>
    </w:p>
  </w:footnote>
  <w:footnote w:id="1">
    <w:p w14:paraId="001D4C9F" w14:textId="77777777" w:rsidR="00215AD6" w:rsidRDefault="00000000" w:rsidP="00EA55F2">
      <w:pPr>
        <w:pStyle w:val="FootnoteText"/>
        <w:jc w:val="both"/>
        <w:rPr>
          <w:b/>
          <w:bCs/>
          <w:lang w:bidi="he-IL"/>
        </w:rPr>
      </w:pPr>
      <w:r>
        <w:rPr>
          <w:rStyle w:val="FootnoteCharacters"/>
        </w:rPr>
        <w:footnoteRef/>
      </w:r>
      <w:r>
        <w:rPr>
          <w:b/>
          <w:bCs/>
          <w:rtl/>
          <w:lang w:bidi="he-IL"/>
        </w:rPr>
        <w:tab/>
        <w:t>משנה ג.</w:t>
      </w:r>
    </w:p>
  </w:footnote>
  <w:footnote w:id="2">
    <w:p w14:paraId="7F1110F4" w14:textId="77777777" w:rsidR="00215AD6" w:rsidRDefault="00000000" w:rsidP="00EA55F2">
      <w:pPr>
        <w:pStyle w:val="FootnoteText"/>
        <w:jc w:val="both"/>
        <w:rPr>
          <w:lang w:bidi="he-IL"/>
        </w:rPr>
      </w:pPr>
      <w:r>
        <w:rPr>
          <w:rStyle w:val="FootnoteCharacters"/>
        </w:rPr>
        <w:footnoteRef/>
      </w:r>
      <w:r>
        <w:rPr>
          <w:rtl/>
          <w:lang w:bidi="he-IL"/>
        </w:rPr>
        <w:tab/>
      </w:r>
      <w:r>
        <w:rPr>
          <w:rtl/>
          <w:lang w:bidi="he-IL"/>
        </w:rPr>
        <w:t>לכאו’, ממשיך מחטאות הנשרפים לחטאות חיצוניות כיון שכולם מיני חטאות.</w:t>
      </w:r>
    </w:p>
  </w:footnote>
  <w:footnote w:id="3">
    <w:p w14:paraId="4CC44C63" w14:textId="77777777" w:rsidR="00215AD6" w:rsidRDefault="00000000" w:rsidP="00EA55F2">
      <w:pPr>
        <w:pStyle w:val="FootnoteText"/>
        <w:jc w:val="both"/>
        <w:rPr>
          <w:lang w:bidi="he-IL"/>
        </w:rPr>
      </w:pPr>
      <w:r>
        <w:rPr>
          <w:rStyle w:val="FootnoteCharacters"/>
        </w:rPr>
        <w:footnoteRef/>
      </w:r>
      <w:r>
        <w:rPr>
          <w:rtl/>
          <w:lang w:bidi="he-IL"/>
        </w:rPr>
        <w:tab/>
      </w:r>
      <w:r>
        <w:rPr>
          <w:rtl/>
          <w:lang w:bidi="he-IL"/>
        </w:rPr>
        <w:t>כל חטאת (חוץ מחטאות הציבור של מועדים ור"ח) בא רק על חטא. רק בא אם בשוגג עשה עבירה שאילו היה עושה אותו במזיד היה חייב כרת. יש שני מקורות לזה:</w:t>
      </w:r>
    </w:p>
    <w:p w14:paraId="21B361D6" w14:textId="77777777" w:rsidR="00215AD6" w:rsidRDefault="00000000" w:rsidP="00EA55F2">
      <w:pPr>
        <w:pStyle w:val="FootnoteText"/>
        <w:numPr>
          <w:ilvl w:val="0"/>
          <w:numId w:val="2"/>
        </w:numPr>
        <w:jc w:val="both"/>
        <w:rPr>
          <w:lang w:bidi="he-IL"/>
        </w:rPr>
      </w:pPr>
      <w:r>
        <w:rPr>
          <w:rtl/>
          <w:lang w:bidi="he-IL"/>
        </w:rPr>
        <w:t>רבי – כתיב, “עליה" בחטאת של ציבור בשאר עבירות, ודורשים מג"ש מאיסור אשת אח לומר שהוא מדבר בעבירה שעל זדונה חייבים כרת. דורשים קרבן משיח בשאר עבירות כיון שכ’, “לאשמת העם.” דורשים נשיא ויחיד בשאר עבירות מציבור מג"ש ממילת "מצות.” דורשים ציבור בעבודת כוכבים מג"ש מציבור בשאר עבירות ממילת "מעיני.”  דורשים יחיד נשיא ומשיח בעבודה זרה מ"ו" שבתחילתו, שמוסיף על פרשת ציבור בעבודה זרה.</w:t>
      </w:r>
    </w:p>
    <w:p w14:paraId="79BD097C" w14:textId="77777777" w:rsidR="00215AD6" w:rsidRDefault="00000000" w:rsidP="00EA55F2">
      <w:pPr>
        <w:pStyle w:val="FootnoteText"/>
        <w:numPr>
          <w:ilvl w:val="0"/>
          <w:numId w:val="2"/>
        </w:numPr>
        <w:jc w:val="both"/>
        <w:rPr>
          <w:lang w:bidi="he-IL"/>
        </w:rPr>
      </w:pPr>
      <w:r>
        <w:rPr>
          <w:rtl/>
          <w:lang w:bidi="he-IL"/>
        </w:rPr>
        <w:t>רבנן – כתיב, “תורה אחת יהיה לכם…" בקרבן יחיד נשיא ומשיח בעבודה זרה, שמקיש כה"ת כולה לע"ז, לומר שכמו שע"ז הוא דבר שיש בו חיוב כרת בזדון, כך כל התורה כולו לענין חיוב חטאת צריך להיות בו חיוב כרת בזדון. אז, נמצא מקור ליחיד, נשיא, ומשיח, בין בעבודה זרה, בין בשאר עבירות. לומדים ציבור בעבודת כוכבים ממה שפרשת יחיד מתחיל ב"ו,” ואז לומדים עליון מתחתון. לומדים ציבור בשאר מצוות מג"ש מציבור בע"ז מ"מעיני.” (יבמות ח:)</w:t>
      </w:r>
    </w:p>
  </w:footnote>
  <w:footnote w:id="4">
    <w:p w14:paraId="6421C378" w14:textId="77777777" w:rsidR="00215AD6" w:rsidRDefault="00000000" w:rsidP="00EA55F2">
      <w:pPr>
        <w:pStyle w:val="FootnoteText"/>
        <w:jc w:val="both"/>
        <w:rPr>
          <w:lang w:bidi="he-IL"/>
        </w:rPr>
      </w:pPr>
      <w:r>
        <w:rPr>
          <w:rStyle w:val="FootnoteCharacters"/>
        </w:rPr>
        <w:footnoteRef/>
      </w:r>
      <w:r>
        <w:rPr>
          <w:rtl/>
          <w:lang w:bidi="he-IL"/>
        </w:rPr>
        <w:tab/>
      </w:r>
      <w:r>
        <w:rPr>
          <w:rtl/>
          <w:lang w:bidi="he-IL"/>
        </w:rPr>
        <w:t xml:space="preserve">חטאת יכול להיות מכמה מינים, ותלוי באיזה סוג חטאת מביא. ציבור בשאר עבירות מקריבים פר, משיח בשאר עבירות מקריב פר, נשיא בשאר עבירות מקריב שעיר, יחיד בשאר עבירות מקריב שעירה או כשבה, ציבור בע"ז מקריבים שעיר (עם פר לעולה), ויחיד נשיא ומשיח בע"ז מקריבים שעירה. </w:t>
      </w:r>
    </w:p>
  </w:footnote>
  <w:footnote w:id="5">
    <w:p w14:paraId="7E54C24F" w14:textId="77777777" w:rsidR="00215AD6" w:rsidRDefault="00000000" w:rsidP="00EA55F2">
      <w:pPr>
        <w:pStyle w:val="FootnoteText"/>
        <w:jc w:val="both"/>
        <w:rPr>
          <w:lang w:bidi="he-IL"/>
        </w:rPr>
      </w:pPr>
      <w:r>
        <w:rPr>
          <w:rStyle w:val="FootnoteCharacters"/>
        </w:rPr>
        <w:footnoteRef/>
      </w:r>
      <w:r>
        <w:rPr>
          <w:rtl/>
          <w:lang w:bidi="he-IL"/>
        </w:rPr>
        <w:tab/>
      </w:r>
      <w:r>
        <w:rPr>
          <w:rtl/>
          <w:lang w:bidi="he-IL"/>
        </w:rPr>
        <w:t>בכלל זה, יש שני הלכות:</w:t>
      </w:r>
    </w:p>
    <w:p w14:paraId="2A72B306" w14:textId="77777777" w:rsidR="00347A5F" w:rsidRDefault="00000000" w:rsidP="00EA55F2">
      <w:pPr>
        <w:pStyle w:val="FootnoteText"/>
        <w:numPr>
          <w:ilvl w:val="0"/>
          <w:numId w:val="11"/>
        </w:numPr>
        <w:jc w:val="both"/>
        <w:rPr>
          <w:lang w:bidi="he-IL"/>
        </w:rPr>
      </w:pPr>
      <w:r>
        <w:rPr>
          <w:rtl/>
          <w:lang w:bidi="he-IL"/>
        </w:rPr>
        <w:t>שהשחיטה צריכה להיות בצפון העזרה. גמרא מביא שני פסוקים ללמד דין זה. אבל, כדי להבין למה צריכים שניהם, צריכים להקדים שיש עשרה מיני חטאות, שאיזה מין שמביא תלוי מי החוטא, ובמה חטא. יש ארבע חוטאים (ציבור, כה"ג, נשיא, ויחיד), ויש שני חטאים (עבירה שיש בו חיוב כרת (נקרא לזה עבירה רגילה), ועבודה זרה). בנוסף על זה, שעיר של יה"כ ופר של יה"כ הם חטאות. יש חילוקים ביניהם, כמו שכתובים בתורה. אבל, חוץ מזה, דינים שלהם (חוץ משל יה"כ) שווים, כמו שדורשים בפרק ראשון של יבמות. [</w:t>
      </w:r>
      <w:r w:rsidR="003C7E5E">
        <w:rPr>
          <w:rFonts w:hint="cs"/>
          <w:rtl/>
          <w:lang w:bidi="he-IL"/>
        </w:rPr>
        <w:t>מ]</w:t>
      </w:r>
    </w:p>
    <w:p w14:paraId="27FFD35F" w14:textId="77777777" w:rsidR="00347A5F" w:rsidRDefault="00000000" w:rsidP="00EA55F2">
      <w:pPr>
        <w:pStyle w:val="FootnoteText"/>
        <w:ind w:left="720" w:firstLine="0"/>
        <w:jc w:val="both"/>
        <w:rPr>
          <w:lang w:bidi="he-IL"/>
        </w:rPr>
      </w:pPr>
      <w:r w:rsidRPr="00347A5F">
        <w:rPr>
          <w:color w:val="000000"/>
          <w:rtl/>
          <w:lang w:bidi="he-IL"/>
        </w:rPr>
        <w:t>פסוק ראשון כתוב בעבירה רגילה בנשיא. כתיב, “ושחט אותו במקום אשר ישחט את העולה.” דורשים שכמו ששחיטת עולה צריכה להיות בצפון (לקמן, בע"ה, נבאר המקור לזה), כך שחיטת חטאת צריכה להיות בצפון.</w:t>
      </w:r>
    </w:p>
    <w:p w14:paraId="7D577470" w14:textId="77777777" w:rsidR="00347A5F" w:rsidRDefault="00000000" w:rsidP="00EA55F2">
      <w:pPr>
        <w:pStyle w:val="FootnoteText"/>
        <w:ind w:left="720" w:firstLine="0"/>
        <w:jc w:val="both"/>
        <w:rPr>
          <w:lang w:bidi="he-IL"/>
        </w:rPr>
      </w:pPr>
      <w:r w:rsidRPr="00347A5F">
        <w:rPr>
          <w:color w:val="000000"/>
          <w:rtl/>
          <w:lang w:bidi="he-IL"/>
        </w:rPr>
        <w:t>פסוק שני כתוב בעבירה רגילה ביחיד. כתיב, “ושחט את החטאת במקום העולה.” דורשים שכמו ששחיטת עולה צריכה להיות בצפון, כך שחיטת חטאת צריכה להיות בצפון.</w:t>
      </w:r>
    </w:p>
    <w:p w14:paraId="64E9178F" w14:textId="77777777" w:rsidR="00347A5F" w:rsidRDefault="00000000" w:rsidP="00EA55F2">
      <w:pPr>
        <w:pStyle w:val="FootnoteText"/>
        <w:ind w:left="720" w:firstLine="0"/>
        <w:jc w:val="both"/>
        <w:rPr>
          <w:color w:val="000000"/>
          <w:lang w:bidi="he-IL"/>
        </w:rPr>
      </w:pPr>
      <w:r w:rsidRPr="00347A5F">
        <w:rPr>
          <w:color w:val="000000"/>
          <w:rtl/>
          <w:lang w:bidi="he-IL"/>
        </w:rPr>
        <w:t>בדרך כלל, משווים דין של כל החטאות, חוץ משל יה”כ. אבל, כיון שכתיב "אותו,” יש סברה למעט שאר מיני חטאת. לכן, צריכים שני הפסוקים. [</w:t>
      </w:r>
      <w:r w:rsidR="00201D0E" w:rsidRPr="00347A5F">
        <w:rPr>
          <w:rFonts w:hint="cs"/>
          <w:color w:val="000000"/>
          <w:rtl/>
          <w:lang w:bidi="he-IL"/>
        </w:rPr>
        <w:t>מא</w:t>
      </w:r>
      <w:r w:rsidRPr="00347A5F">
        <w:rPr>
          <w:color w:val="000000"/>
          <w:rtl/>
          <w:lang w:bidi="he-IL"/>
        </w:rPr>
        <w:t>]</w:t>
      </w:r>
    </w:p>
    <w:p w14:paraId="7E100CD9" w14:textId="5653B8E5" w:rsidR="00215AD6" w:rsidRPr="00347A5F" w:rsidRDefault="00000000" w:rsidP="00EA55F2">
      <w:pPr>
        <w:pStyle w:val="FootnoteText"/>
        <w:numPr>
          <w:ilvl w:val="0"/>
          <w:numId w:val="11"/>
        </w:numPr>
        <w:jc w:val="both"/>
        <w:rPr>
          <w:color w:val="000000"/>
          <w:lang w:bidi="he-IL"/>
        </w:rPr>
      </w:pPr>
      <w:r w:rsidRPr="00347A5F">
        <w:rPr>
          <w:color w:val="000000"/>
          <w:rtl/>
          <w:lang w:bidi="he-IL"/>
        </w:rPr>
        <w:t>שאם השחיטה אינה בצפון, הקרבן [</w:t>
      </w:r>
      <w:r w:rsidR="00201D0E" w:rsidRPr="00347A5F">
        <w:rPr>
          <w:rFonts w:hint="cs"/>
          <w:color w:val="000000"/>
          <w:rtl/>
          <w:lang w:bidi="he-IL"/>
        </w:rPr>
        <w:t>מב</w:t>
      </w:r>
      <w:r w:rsidRPr="00347A5F">
        <w:rPr>
          <w:color w:val="000000"/>
          <w:rtl/>
          <w:lang w:bidi="he-IL"/>
        </w:rPr>
        <w:t>] פסול. כמו לעיל, זה נלמד משני פסוקים.  [</w:t>
      </w:r>
      <w:r w:rsidR="00EA624A" w:rsidRPr="00347A5F">
        <w:rPr>
          <w:rFonts w:hint="cs"/>
          <w:color w:val="000000"/>
          <w:rtl/>
          <w:lang w:bidi="he-IL"/>
        </w:rPr>
        <w:t>מג</w:t>
      </w:r>
      <w:r w:rsidRPr="00347A5F">
        <w:rPr>
          <w:color w:val="000000"/>
          <w:rtl/>
          <w:lang w:bidi="he-IL"/>
        </w:rPr>
        <w:t>]</w:t>
      </w:r>
    </w:p>
    <w:p w14:paraId="48C9EAED" w14:textId="77777777" w:rsidR="00215AD6" w:rsidRDefault="00000000" w:rsidP="00EA55F2">
      <w:pPr>
        <w:pStyle w:val="FootnoteText"/>
        <w:ind w:left="720"/>
        <w:jc w:val="both"/>
        <w:rPr>
          <w:color w:val="000000"/>
          <w:lang w:bidi="he-IL"/>
        </w:rPr>
      </w:pPr>
      <w:r>
        <w:rPr>
          <w:color w:val="000000"/>
          <w:rtl/>
          <w:lang w:bidi="he-IL"/>
        </w:rPr>
        <w:t>פסוק ראשון כתוב סתם. אומר, “במקום אשר תשחט העולה תשחט החטאת.”</w:t>
      </w:r>
    </w:p>
    <w:p w14:paraId="054656F3" w14:textId="77777777" w:rsidR="00215AD6" w:rsidRDefault="00000000" w:rsidP="00EA55F2">
      <w:pPr>
        <w:pStyle w:val="FootnoteText"/>
        <w:ind w:left="720"/>
        <w:jc w:val="both"/>
        <w:rPr>
          <w:color w:val="000000"/>
          <w:lang w:bidi="he-IL"/>
        </w:rPr>
      </w:pPr>
      <w:r>
        <w:rPr>
          <w:color w:val="000000"/>
          <w:rtl/>
          <w:lang w:bidi="he-IL"/>
        </w:rPr>
        <w:t>פסוק שני כתוב בעבירות רגילות ביחיד. כתיב, “ושחט אותה לחטאת במקום אשר ישחט את העולה."</w:t>
      </w:r>
    </w:p>
    <w:p w14:paraId="76825B60" w14:textId="77777777" w:rsidR="00215AD6" w:rsidRDefault="00000000" w:rsidP="00EA55F2">
      <w:pPr>
        <w:pStyle w:val="FootnoteText"/>
        <w:spacing w:before="29" w:after="29"/>
        <w:ind w:left="720"/>
        <w:jc w:val="both"/>
      </w:pPr>
      <w:r>
        <w:rPr>
          <w:color w:val="000000"/>
          <w:rtl/>
          <w:lang w:bidi="he-IL"/>
        </w:rPr>
        <w:t xml:space="preserve">כמו שבארנו, בדר"כ משווים דיני החטאות. לכאו’, צריכים שני פסוקים כיון שבאחד מהם כתיב "אותה,” שזה ימעט שאר מיני חטאות. </w:t>
      </w:r>
      <w:r>
        <w:rPr>
          <w:b/>
          <w:bCs/>
          <w:color w:val="000000"/>
          <w:u w:val="single"/>
          <w:rtl/>
          <w:lang w:bidi="he-IL"/>
        </w:rPr>
        <w:t>(מח, מט)</w:t>
      </w:r>
    </w:p>
  </w:footnote>
  <w:footnote w:id="6">
    <w:p w14:paraId="01F86D70" w14:textId="77777777" w:rsidR="00215AD6" w:rsidRDefault="00000000" w:rsidP="00EA55F2">
      <w:pPr>
        <w:pStyle w:val="FootnoteText"/>
        <w:jc w:val="both"/>
        <w:rPr>
          <w:lang w:bidi="he-IL"/>
        </w:rPr>
      </w:pPr>
      <w:r>
        <w:rPr>
          <w:rStyle w:val="FootnoteCharacters"/>
        </w:rPr>
        <w:footnoteRef/>
      </w:r>
      <w:r>
        <w:rPr>
          <w:rtl/>
          <w:lang w:bidi="he-IL"/>
        </w:rPr>
        <w:tab/>
      </w:r>
      <w:r>
        <w:rPr>
          <w:rtl/>
          <w:lang w:bidi="he-IL"/>
        </w:rPr>
        <w:t xml:space="preserve">השחיטה צריכה להיות בצפון, אבל השוחט לא צריך להיות בצפון. זה נלמד ממש"כ, “אותו.” </w:t>
      </w:r>
      <w:r>
        <w:rPr>
          <w:b/>
          <w:bCs/>
          <w:u w:val="single"/>
          <w:rtl/>
          <w:lang w:bidi="he-IL"/>
        </w:rPr>
        <w:t>(מח:)</w:t>
      </w:r>
    </w:p>
  </w:footnote>
  <w:footnote w:id="7">
    <w:p w14:paraId="328B0308" w14:textId="5BD759BB" w:rsidR="00215AD6" w:rsidRDefault="00000000" w:rsidP="00EA55F2">
      <w:pPr>
        <w:pStyle w:val="FootnoteText"/>
        <w:jc w:val="both"/>
        <w:rPr>
          <w:lang w:bidi="he-IL"/>
        </w:rPr>
      </w:pPr>
      <w:r>
        <w:rPr>
          <w:rStyle w:val="FootnoteCharacters"/>
        </w:rPr>
        <w:footnoteRef/>
      </w:r>
      <w:r>
        <w:rPr>
          <w:rtl/>
          <w:lang w:bidi="he-IL"/>
        </w:rPr>
        <w:tab/>
      </w:r>
      <w:r>
        <w:rPr>
          <w:rtl/>
          <w:lang w:bidi="he-IL"/>
        </w:rPr>
        <w:t>יש בזה שני דינים [</w:t>
      </w:r>
      <w:r w:rsidR="00EA624A">
        <w:rPr>
          <w:rFonts w:hint="cs"/>
          <w:rtl/>
          <w:lang w:bidi="he-IL"/>
        </w:rPr>
        <w:t>מד</w:t>
      </w:r>
      <w:r>
        <w:rPr>
          <w:rtl/>
          <w:lang w:bidi="he-IL"/>
        </w:rPr>
        <w:t>], ובכל אחד יש שני דינים:</w:t>
      </w:r>
    </w:p>
    <w:p w14:paraId="1A001D3B" w14:textId="77777777" w:rsidR="00215AD6" w:rsidRDefault="00000000" w:rsidP="00EA55F2">
      <w:pPr>
        <w:pStyle w:val="FootnoteText"/>
        <w:numPr>
          <w:ilvl w:val="0"/>
          <w:numId w:val="4"/>
        </w:numPr>
        <w:jc w:val="both"/>
        <w:rPr>
          <w:lang w:bidi="he-IL"/>
        </w:rPr>
      </w:pPr>
      <w:r>
        <w:rPr>
          <w:rtl/>
          <w:lang w:bidi="he-IL"/>
        </w:rPr>
        <w:t>הקבלה צריכה להיות בצפון:</w:t>
      </w:r>
    </w:p>
    <w:p w14:paraId="116E2A51" w14:textId="1A0C56FC" w:rsidR="00215AD6" w:rsidRDefault="00000000" w:rsidP="00EA55F2">
      <w:pPr>
        <w:pStyle w:val="FootnoteText"/>
        <w:numPr>
          <w:ilvl w:val="1"/>
          <w:numId w:val="4"/>
        </w:numPr>
        <w:jc w:val="both"/>
        <w:rPr>
          <w:lang w:bidi="he-IL"/>
        </w:rPr>
      </w:pPr>
      <w:r>
        <w:rPr>
          <w:rtl/>
          <w:lang w:bidi="he-IL"/>
        </w:rPr>
        <w:t>הקבלה צריכה להיות בצפון. זה נלמד ממה שכ’, “ולקח" סמוך [</w:t>
      </w:r>
      <w:r w:rsidR="00A42729">
        <w:rPr>
          <w:rFonts w:hint="cs"/>
          <w:rtl/>
          <w:lang w:bidi="he-IL"/>
        </w:rPr>
        <w:t>מה</w:t>
      </w:r>
      <w:r>
        <w:rPr>
          <w:rtl/>
          <w:lang w:bidi="he-IL"/>
        </w:rPr>
        <w:t>]</w:t>
      </w:r>
      <w:r>
        <w:rPr>
          <w:i/>
          <w:iCs/>
          <w:color w:val="C9211E"/>
          <w:rtl/>
          <w:lang w:bidi="he-IL"/>
        </w:rPr>
        <w:t xml:space="preserve"> </w:t>
      </w:r>
      <w:r>
        <w:rPr>
          <w:rtl/>
          <w:lang w:bidi="he-IL"/>
        </w:rPr>
        <w:t>ל"ושחט… במקום אשר ישחט את העולה.” מן הסמיכות לומדים שגם הלקיחה (ודורשים שלקיחה היא קבלה) צריכה להיות בצפון. [</w:t>
      </w:r>
      <w:r w:rsidR="00A42729">
        <w:rPr>
          <w:rFonts w:hint="cs"/>
          <w:rtl/>
          <w:lang w:bidi="he-IL"/>
        </w:rPr>
        <w:t>מו</w:t>
      </w:r>
      <w:r>
        <w:rPr>
          <w:rtl/>
          <w:lang w:bidi="he-IL"/>
        </w:rPr>
        <w:t>]</w:t>
      </w:r>
    </w:p>
    <w:p w14:paraId="4A5A1CA6" w14:textId="14D56120" w:rsidR="00215AD6" w:rsidRDefault="00000000" w:rsidP="00EA55F2">
      <w:pPr>
        <w:pStyle w:val="FootnoteText"/>
        <w:numPr>
          <w:ilvl w:val="1"/>
          <w:numId w:val="4"/>
        </w:numPr>
        <w:jc w:val="both"/>
        <w:rPr>
          <w:lang w:bidi="he-IL"/>
        </w:rPr>
      </w:pPr>
      <w:r>
        <w:rPr>
          <w:rtl/>
          <w:lang w:bidi="he-IL"/>
        </w:rPr>
        <w:t>אם הקבלה אינה בצפון, הקרבן פסול. עיין בהערות. [</w:t>
      </w:r>
      <w:r w:rsidR="00A42729">
        <w:rPr>
          <w:rFonts w:hint="cs"/>
          <w:rtl/>
          <w:lang w:bidi="he-IL"/>
        </w:rPr>
        <w:t>מז</w:t>
      </w:r>
      <w:r>
        <w:rPr>
          <w:rtl/>
          <w:lang w:bidi="he-IL"/>
        </w:rPr>
        <w:t>]</w:t>
      </w:r>
    </w:p>
    <w:p w14:paraId="7E09E11F" w14:textId="1D6FACA9" w:rsidR="00215AD6" w:rsidRDefault="00000000" w:rsidP="00EA55F2">
      <w:pPr>
        <w:pStyle w:val="FootnoteText"/>
        <w:numPr>
          <w:ilvl w:val="0"/>
          <w:numId w:val="4"/>
        </w:numPr>
        <w:jc w:val="both"/>
        <w:rPr>
          <w:lang w:bidi="he-IL"/>
        </w:rPr>
      </w:pPr>
      <w:r>
        <w:rPr>
          <w:rtl/>
          <w:lang w:bidi="he-IL"/>
        </w:rPr>
        <w:t>המקבל [</w:t>
      </w:r>
      <w:r w:rsidR="00A42729">
        <w:rPr>
          <w:rFonts w:hint="cs"/>
          <w:rtl/>
          <w:lang w:bidi="he-IL"/>
        </w:rPr>
        <w:t>מח]</w:t>
      </w:r>
      <w:r>
        <w:rPr>
          <w:i/>
          <w:iCs/>
          <w:color w:val="C9211E"/>
          <w:rtl/>
          <w:lang w:bidi="he-IL"/>
        </w:rPr>
        <w:t xml:space="preserve"> </w:t>
      </w:r>
      <w:r>
        <w:rPr>
          <w:rtl/>
          <w:lang w:bidi="he-IL"/>
        </w:rPr>
        <w:t>צריך להיות בצפון:</w:t>
      </w:r>
    </w:p>
    <w:p w14:paraId="5C0E53C7" w14:textId="77777777" w:rsidR="00215AD6" w:rsidRDefault="00000000" w:rsidP="00EA55F2">
      <w:pPr>
        <w:pStyle w:val="FootnoteText"/>
        <w:numPr>
          <w:ilvl w:val="1"/>
          <w:numId w:val="4"/>
        </w:numPr>
        <w:jc w:val="both"/>
        <w:rPr>
          <w:lang w:bidi="he-IL"/>
        </w:rPr>
      </w:pPr>
      <w:r>
        <w:rPr>
          <w:rtl/>
          <w:lang w:bidi="he-IL"/>
        </w:rPr>
        <w:t>המקבל צריך להיות בצפון. גמרא מביא שני מקורות לזה:</w:t>
      </w:r>
    </w:p>
    <w:p w14:paraId="2CB0DA54" w14:textId="1ADABA69" w:rsidR="00215AD6" w:rsidRDefault="00000000" w:rsidP="00EA55F2">
      <w:pPr>
        <w:pStyle w:val="FootnoteText"/>
        <w:numPr>
          <w:ilvl w:val="2"/>
          <w:numId w:val="4"/>
        </w:numPr>
        <w:jc w:val="both"/>
        <w:rPr>
          <w:lang w:bidi="he-IL"/>
        </w:rPr>
      </w:pPr>
      <w:r>
        <w:rPr>
          <w:rtl/>
          <w:lang w:bidi="he-IL"/>
        </w:rPr>
        <w:t>כתיב " ולקח,” ודורשים ממנו שקבלה צריכה להיות בצפון. גם דורשים אותו כאילו אמר "לו יקח,” לומר שצריך לקחת אותו לו. כיון שדורשים כן על המילה שמגידה לנו שקבלה צ"ל בצפון, לומדים מזה שלו בצפון יקח את הדם, והמקבל יהיה בצפון. [</w:t>
      </w:r>
      <w:r w:rsidR="00A42729">
        <w:rPr>
          <w:rFonts w:hint="cs"/>
          <w:rtl/>
          <w:lang w:bidi="he-IL"/>
        </w:rPr>
        <w:t>מט</w:t>
      </w:r>
      <w:r>
        <w:rPr>
          <w:rtl/>
          <w:lang w:bidi="he-IL"/>
        </w:rPr>
        <w:t>] [</w:t>
      </w:r>
      <w:r w:rsidR="00A42729">
        <w:rPr>
          <w:rFonts w:hint="cs"/>
          <w:rtl/>
          <w:lang w:bidi="he-IL"/>
        </w:rPr>
        <w:t>נ</w:t>
      </w:r>
      <w:r>
        <w:rPr>
          <w:rtl/>
          <w:lang w:bidi="he-IL"/>
        </w:rPr>
        <w:t>]</w:t>
      </w:r>
    </w:p>
    <w:p w14:paraId="17B4849C" w14:textId="42FE4A05" w:rsidR="00215AD6" w:rsidRDefault="00000000" w:rsidP="00EA55F2">
      <w:pPr>
        <w:pStyle w:val="FootnoteText"/>
        <w:numPr>
          <w:ilvl w:val="1"/>
          <w:numId w:val="4"/>
        </w:numPr>
        <w:jc w:val="both"/>
        <w:rPr>
          <w:lang w:bidi="he-IL"/>
        </w:rPr>
      </w:pPr>
      <w:r>
        <w:rPr>
          <w:rtl/>
          <w:lang w:bidi="he-IL"/>
        </w:rPr>
        <w:t>אם המקבל אינו בצפון, הקרבן פסול. עיין בהערות. [</w:t>
      </w:r>
      <w:r w:rsidR="002D18D4">
        <w:rPr>
          <w:rFonts w:hint="cs"/>
          <w:rtl/>
          <w:lang w:bidi="he-IL"/>
        </w:rPr>
        <w:t>נא]</w:t>
      </w:r>
    </w:p>
  </w:footnote>
  <w:footnote w:id="8">
    <w:p w14:paraId="03502214" w14:textId="77777777" w:rsidR="00215AD6" w:rsidRDefault="00000000" w:rsidP="00EA55F2">
      <w:pPr>
        <w:pStyle w:val="FootnoteText"/>
        <w:jc w:val="both"/>
        <w:rPr>
          <w:lang w:bidi="he-IL"/>
        </w:rPr>
      </w:pPr>
      <w:r>
        <w:rPr>
          <w:rStyle w:val="FootnoteCharacters"/>
        </w:rPr>
        <w:footnoteRef/>
      </w:r>
      <w:r>
        <w:rPr>
          <w:rtl/>
          <w:lang w:bidi="he-IL"/>
        </w:rPr>
        <w:tab/>
      </w:r>
      <w:r>
        <w:rPr>
          <w:rtl/>
          <w:lang w:bidi="he-IL"/>
        </w:rPr>
        <w:t>כדי לבאר את זה, צריכים לבאר שלשה דברים:</w:t>
      </w:r>
    </w:p>
    <w:p w14:paraId="3437FEBB" w14:textId="77777777" w:rsidR="00215AD6" w:rsidRDefault="00000000" w:rsidP="00EA55F2">
      <w:pPr>
        <w:pStyle w:val="FootnoteText"/>
        <w:numPr>
          <w:ilvl w:val="0"/>
          <w:numId w:val="5"/>
        </w:numPr>
        <w:jc w:val="both"/>
        <w:rPr>
          <w:lang w:bidi="he-IL"/>
        </w:rPr>
      </w:pPr>
      <w:r>
        <w:rPr>
          <w:rtl/>
          <w:lang w:bidi="he-IL"/>
        </w:rPr>
        <w:t>ציור המזבח. יש מחלקת בגודל מזבח של המשכן, ונדבר במזבח של בית המקדש. גובה של הזבח הוא עשר אמות. אבל, אין הגובה שלו חלק, אלא נכנס, וגם נרשם עליו חוט. אחרי אמה, נכנס. המקום הבולט, שהוא רוחב אמה, נקרא היסוד, והוא מקיף רוב המזבח. אחרי שעולה עוד ארבע אמות – שהוא, סך הכל, גובה חמש אמות – נרשם חוט, שנקרא חוט הסיקרא, להבדיל בין תחתון ועליון של המזבח. אחרי שעולה עוד אמה – שהוא, סך הכל, גובה שש אמות –  נכנס עוד אמה. מקום הבולט, שמקיף את כל המזבח, נקרא הסובב. אחרי שעולה שלש אמות – שהוא, סך הכל, גובה תשע אמות – נכנס עד שנשאר רק ארבע מקומות במזבח, וכל מקום שנשאר הוא אמה על אמה, והם יושבים על הקרנות. מפני מקומם, אותם מקומות נקראים קרנות. גובה הקרבנות היא אמה אחת, עד שכל גובה המזבח הוא עשר אמות.</w:t>
      </w:r>
    </w:p>
    <w:p w14:paraId="63341EE1" w14:textId="77777777" w:rsidR="00215AD6" w:rsidRDefault="00000000" w:rsidP="00EA55F2">
      <w:pPr>
        <w:pStyle w:val="FootnoteText"/>
        <w:numPr>
          <w:ilvl w:val="0"/>
          <w:numId w:val="5"/>
        </w:numPr>
        <w:jc w:val="both"/>
        <w:rPr>
          <w:lang w:bidi="he-IL"/>
        </w:rPr>
      </w:pPr>
      <w:r>
        <w:rPr>
          <w:rtl/>
          <w:lang w:bidi="he-IL"/>
        </w:rPr>
        <w:t>מקומות על המזבח. יש שלש מקומות לענין זה:</w:t>
      </w:r>
    </w:p>
    <w:p w14:paraId="61919180" w14:textId="77777777" w:rsidR="00215AD6" w:rsidRDefault="00000000" w:rsidP="00EA55F2">
      <w:pPr>
        <w:pStyle w:val="FootnoteText"/>
        <w:numPr>
          <w:ilvl w:val="1"/>
          <w:numId w:val="5"/>
        </w:numPr>
        <w:jc w:val="both"/>
        <w:rPr>
          <w:lang w:bidi="he-IL"/>
        </w:rPr>
      </w:pPr>
      <w:r>
        <w:rPr>
          <w:rtl/>
          <w:lang w:bidi="he-IL"/>
        </w:rPr>
        <w:t>הקרן עצמו – זה כולל אמה רוחב הקרן בשני הצדדים. אז, בכל קרן יש מקום של שתי אמות על אמה, מקום של אמה על אמה בכל צד.</w:t>
      </w:r>
    </w:p>
    <w:p w14:paraId="2887CDB1" w14:textId="77777777" w:rsidR="00215AD6" w:rsidRDefault="00000000" w:rsidP="00EA55F2">
      <w:pPr>
        <w:pStyle w:val="FootnoteText"/>
        <w:numPr>
          <w:ilvl w:val="1"/>
          <w:numId w:val="5"/>
        </w:numPr>
        <w:jc w:val="both"/>
        <w:rPr>
          <w:lang w:bidi="he-IL"/>
        </w:rPr>
      </w:pPr>
      <w:r>
        <w:rPr>
          <w:rtl/>
          <w:lang w:bidi="he-IL"/>
        </w:rPr>
        <w:t>תחת הקרן, על חודו של קרן, עד חצי המזבח. זה כולל מקום תחת הקרנות – דהיינו, גובה תשע אמות – עד חצי המזבח (חוט הסיקרא) – דהיינו, גובה חמש אמות, על חודו של הקרן. אז, הוא מקום גובה ארבע אמות, עם רוחב כל שהוא.</w:t>
      </w:r>
    </w:p>
    <w:p w14:paraId="7CEAD23E" w14:textId="77777777" w:rsidR="00215AD6" w:rsidRDefault="00000000" w:rsidP="00EA55F2">
      <w:pPr>
        <w:pStyle w:val="FootnoteText"/>
        <w:numPr>
          <w:ilvl w:val="1"/>
          <w:numId w:val="5"/>
        </w:numPr>
        <w:jc w:val="both"/>
        <w:rPr>
          <w:lang w:bidi="he-IL"/>
        </w:rPr>
      </w:pPr>
      <w:r>
        <w:rPr>
          <w:rtl/>
          <w:lang w:bidi="he-IL"/>
        </w:rPr>
        <w:t>תחת הקרן עד חצי המזבח. זה כולל מקום תחת הקרנות – דהיינו, גובה תשע אמות – עד חצי המזבח (חוט הסיקרא) – דהיינו, גובה חמש אמות, במקום רוחב של אמה לכל צד. אז, זה כולל ארבע אמות על שתי אמות.</w:t>
      </w:r>
    </w:p>
    <w:p w14:paraId="579097A6" w14:textId="77777777" w:rsidR="00215AD6" w:rsidRDefault="00000000" w:rsidP="00EA55F2">
      <w:pPr>
        <w:pStyle w:val="FootnoteText"/>
        <w:numPr>
          <w:ilvl w:val="0"/>
          <w:numId w:val="5"/>
        </w:numPr>
        <w:jc w:val="both"/>
        <w:rPr>
          <w:lang w:bidi="he-IL"/>
        </w:rPr>
      </w:pPr>
      <w:r>
        <w:rPr>
          <w:rtl/>
          <w:lang w:bidi="he-IL"/>
        </w:rPr>
        <w:t>שיטות:</w:t>
      </w:r>
    </w:p>
    <w:p w14:paraId="61169059" w14:textId="29EC1E82" w:rsidR="00215AD6" w:rsidRDefault="00000000" w:rsidP="00EA55F2">
      <w:pPr>
        <w:pStyle w:val="FootnoteText"/>
        <w:numPr>
          <w:ilvl w:val="1"/>
          <w:numId w:val="5"/>
        </w:numPr>
        <w:jc w:val="both"/>
        <w:rPr>
          <w:lang w:bidi="he-IL"/>
        </w:rPr>
      </w:pPr>
      <w:r>
        <w:rPr>
          <w:rtl/>
          <w:lang w:bidi="he-IL"/>
        </w:rPr>
        <w:t>ראב"ש – ראב"ש מכשיר רק במקום ראשון. [</w:t>
      </w:r>
      <w:r w:rsidR="00A67A3B">
        <w:rPr>
          <w:rFonts w:hint="cs"/>
          <w:rtl/>
          <w:lang w:bidi="he-IL"/>
        </w:rPr>
        <w:t>נב</w:t>
      </w:r>
      <w:r>
        <w:rPr>
          <w:rtl/>
          <w:lang w:bidi="he-IL"/>
        </w:rPr>
        <w:t>]</w:t>
      </w:r>
    </w:p>
    <w:p w14:paraId="39AC8664" w14:textId="7C989919" w:rsidR="00215AD6" w:rsidRDefault="00000000" w:rsidP="00EA55F2">
      <w:pPr>
        <w:pStyle w:val="FootnoteText"/>
        <w:numPr>
          <w:ilvl w:val="1"/>
          <w:numId w:val="5"/>
        </w:numPr>
        <w:jc w:val="both"/>
        <w:rPr>
          <w:color w:val="000000"/>
          <w:lang w:bidi="he-IL"/>
        </w:rPr>
      </w:pPr>
      <w:r>
        <w:rPr>
          <w:color w:val="000000"/>
          <w:rtl/>
          <w:lang w:bidi="he-IL"/>
        </w:rPr>
        <w:t>רבי לפי שיטה ראשונה – מכשיר במקום הראשון ובמקום השני. [</w:t>
      </w:r>
      <w:r w:rsidR="00A67A3B">
        <w:rPr>
          <w:rFonts w:hint="cs"/>
          <w:color w:val="000000"/>
          <w:rtl/>
          <w:lang w:bidi="he-IL"/>
        </w:rPr>
        <w:t>נג</w:t>
      </w:r>
      <w:r>
        <w:rPr>
          <w:color w:val="000000"/>
          <w:rtl/>
          <w:lang w:bidi="he-IL"/>
        </w:rPr>
        <w:t>] [</w:t>
      </w:r>
      <w:r w:rsidR="00A67A3B">
        <w:rPr>
          <w:rFonts w:hint="cs"/>
          <w:color w:val="000000"/>
          <w:rtl/>
          <w:lang w:bidi="he-IL"/>
        </w:rPr>
        <w:t>נד</w:t>
      </w:r>
      <w:r>
        <w:rPr>
          <w:color w:val="000000"/>
          <w:rtl/>
          <w:lang w:bidi="he-IL"/>
        </w:rPr>
        <w:t>]</w:t>
      </w:r>
    </w:p>
    <w:p w14:paraId="2AAC7EEC" w14:textId="77777777" w:rsidR="00215AD6" w:rsidRDefault="00000000" w:rsidP="00EA55F2">
      <w:pPr>
        <w:pStyle w:val="FootnoteText"/>
        <w:numPr>
          <w:ilvl w:val="1"/>
          <w:numId w:val="5"/>
        </w:numPr>
        <w:jc w:val="both"/>
        <w:rPr>
          <w:color w:val="000000"/>
          <w:lang w:bidi="he-IL"/>
        </w:rPr>
      </w:pPr>
      <w:r>
        <w:rPr>
          <w:color w:val="000000"/>
          <w:rtl/>
          <w:lang w:bidi="he-IL"/>
        </w:rPr>
        <w:t xml:space="preserve">רבי לפי שיטה שנית – מכשיר במקום הראשון, במקום השני, ובמקום השלישי. </w:t>
      </w:r>
      <w:r>
        <w:rPr>
          <w:b/>
          <w:bCs/>
          <w:color w:val="000000"/>
          <w:u w:val="single"/>
          <w:rtl/>
          <w:lang w:bidi="he-IL"/>
        </w:rPr>
        <w:t>(נג.)</w:t>
      </w:r>
    </w:p>
  </w:footnote>
  <w:footnote w:id="9">
    <w:p w14:paraId="3215AC44" w14:textId="188E8629" w:rsidR="0056046A" w:rsidRDefault="0056046A" w:rsidP="00EA55F2">
      <w:pPr>
        <w:pStyle w:val="FootnoteText"/>
        <w:jc w:val="both"/>
        <w:rPr>
          <w:rtl/>
        </w:rPr>
      </w:pPr>
      <w:r>
        <w:rPr>
          <w:rStyle w:val="FootnoteReference"/>
        </w:rPr>
        <w:footnoteRef/>
      </w:r>
      <w:r>
        <w:rPr>
          <w:rtl/>
          <w:lang w:bidi="he-IL"/>
        </w:rPr>
        <w:t xml:space="preserve"> </w:t>
      </w:r>
      <w:r>
        <w:rPr>
          <w:lang w:bidi="he-IL"/>
        </w:rPr>
        <w:tab/>
      </w:r>
      <w:r>
        <w:rPr>
          <w:rFonts w:hint="cs"/>
          <w:rtl/>
          <w:lang w:bidi="he-IL"/>
        </w:rPr>
        <w:t>הכהן עלה בכבש, שהיה בצד דרום של המזבח. כיון שכל פינות יהיו לימין (כמו שדורשים מפסוק גבי בנין ביה"מ, בזבחים (סב:)), נותן על קרן דרומית מזרחית, צפונית מזרחית, צפונית מערבית, ודרומית מערבית</w:t>
      </w:r>
      <w:r w:rsidR="003B0C2D">
        <w:rPr>
          <w:rFonts w:hint="cs"/>
          <w:rtl/>
          <w:lang w:bidi="he-IL"/>
        </w:rPr>
        <w:t xml:space="preserve">, כמו שיבאר המשנה, כיון שהולך לימין. </w:t>
      </w:r>
    </w:p>
  </w:footnote>
  <w:footnote w:id="10">
    <w:p w14:paraId="368E0059" w14:textId="77777777" w:rsidR="00215AD6" w:rsidRDefault="00000000" w:rsidP="00EA55F2">
      <w:pPr>
        <w:pStyle w:val="FootnoteText"/>
        <w:jc w:val="both"/>
        <w:rPr>
          <w:lang w:bidi="he-IL"/>
        </w:rPr>
      </w:pPr>
      <w:r>
        <w:rPr>
          <w:rStyle w:val="FootnoteCharacters"/>
        </w:rPr>
        <w:footnoteRef/>
      </w:r>
      <w:r>
        <w:rPr>
          <w:rtl/>
          <w:lang w:bidi="he-IL"/>
        </w:rPr>
        <w:tab/>
      </w:r>
      <w:r>
        <w:rPr>
          <w:rtl/>
          <w:lang w:bidi="he-IL"/>
        </w:rPr>
        <w:t>מכאן ולהלן, אין כל מתנה מעכבת. חולקים תנאים כמה מתנות מעכבות:</w:t>
      </w:r>
    </w:p>
    <w:p w14:paraId="00B01D4B" w14:textId="77777777" w:rsidR="00215AD6" w:rsidRDefault="00000000" w:rsidP="00EA55F2">
      <w:pPr>
        <w:pStyle w:val="FootnoteText"/>
        <w:numPr>
          <w:ilvl w:val="0"/>
          <w:numId w:val="6"/>
        </w:numPr>
        <w:jc w:val="both"/>
        <w:rPr>
          <w:lang w:bidi="he-IL"/>
        </w:rPr>
      </w:pPr>
      <w:r>
        <w:rPr>
          <w:rtl/>
          <w:lang w:bidi="he-IL"/>
        </w:rPr>
        <w:t>חטאת-</w:t>
      </w:r>
    </w:p>
    <w:p w14:paraId="7F607A3E" w14:textId="77777777" w:rsidR="00215AD6" w:rsidRDefault="00000000" w:rsidP="00EA55F2">
      <w:pPr>
        <w:pStyle w:val="FootnoteText"/>
        <w:numPr>
          <w:ilvl w:val="1"/>
          <w:numId w:val="6"/>
        </w:numPr>
        <w:jc w:val="both"/>
        <w:rPr>
          <w:lang w:bidi="he-IL"/>
        </w:rPr>
      </w:pPr>
      <w:r>
        <w:rPr>
          <w:rtl/>
          <w:lang w:bidi="he-IL"/>
        </w:rPr>
        <w:t>בית שמאי – שתי מתנות מעכבות. בית שמאי דורשים אותו ממה שכתיב “קרנות" שלש פעמים. בית שמאי הולך אחרי מקרא, ואז דורש מזה שש קרנות. שנים מהם הם לעכב, וארבע הם למצווה.</w:t>
      </w:r>
    </w:p>
    <w:p w14:paraId="333E9EFA" w14:textId="77777777" w:rsidR="00215AD6" w:rsidRDefault="00000000" w:rsidP="00EA55F2">
      <w:pPr>
        <w:pStyle w:val="FootnoteText"/>
        <w:numPr>
          <w:ilvl w:val="1"/>
          <w:numId w:val="6"/>
        </w:numPr>
        <w:jc w:val="both"/>
        <w:rPr>
          <w:lang w:bidi="he-IL"/>
        </w:rPr>
      </w:pPr>
      <w:r>
        <w:rPr>
          <w:rtl/>
          <w:lang w:bidi="he-IL"/>
        </w:rPr>
        <w:t>בית הלל – מתנה אחת מעכב. גמ’ נותן שלש ביאורים בשיטת בית הלל:</w:t>
      </w:r>
    </w:p>
    <w:p w14:paraId="0465A4FB" w14:textId="77777777" w:rsidR="00215AD6" w:rsidRDefault="00000000" w:rsidP="00EA55F2">
      <w:pPr>
        <w:pStyle w:val="FootnoteText"/>
        <w:numPr>
          <w:ilvl w:val="2"/>
          <w:numId w:val="7"/>
        </w:numPr>
        <w:jc w:val="both"/>
        <w:rPr>
          <w:lang w:bidi="he-IL"/>
        </w:rPr>
      </w:pPr>
      <w:r>
        <w:rPr>
          <w:rtl/>
          <w:lang w:bidi="he-IL"/>
        </w:rPr>
        <w:t>כתיב, “קרנות" שלש פעמים. בית הלל הולך אחרי מסורה, ורק אחד מהם כ’ מלא. אז, דורש מזה ארבע קרנות. מוכרח שאחד מעכב, וצריך לומר שארבע למצוה, ואחד לעכב.</w:t>
      </w:r>
    </w:p>
    <w:p w14:paraId="4A76E196" w14:textId="77777777" w:rsidR="00215AD6" w:rsidRDefault="00000000" w:rsidP="00EA55F2">
      <w:pPr>
        <w:pStyle w:val="FootnoteText"/>
        <w:numPr>
          <w:ilvl w:val="2"/>
          <w:numId w:val="7"/>
        </w:numPr>
        <w:jc w:val="both"/>
        <w:rPr>
          <w:lang w:bidi="he-IL"/>
        </w:rPr>
      </w:pPr>
      <w:r>
        <w:rPr>
          <w:rtl/>
          <w:lang w:bidi="he-IL"/>
        </w:rPr>
        <w:t>כתיב, “קרנות" שלש פעמים. בית הלל הולך אחרי מסורה ואחרי מקרא, ורק אחד מהם כ’ מלא. אז, דורש מזה חמש קרנות. אחד מהם מעכב, וארבע יש למצווה.</w:t>
      </w:r>
    </w:p>
    <w:p w14:paraId="4DB91E5E" w14:textId="77777777" w:rsidR="00215AD6" w:rsidRDefault="00000000" w:rsidP="00EA55F2">
      <w:pPr>
        <w:pStyle w:val="FootnoteText"/>
        <w:numPr>
          <w:ilvl w:val="2"/>
          <w:numId w:val="7"/>
        </w:numPr>
        <w:jc w:val="both"/>
        <w:rPr>
          <w:lang w:bidi="he-IL"/>
        </w:rPr>
      </w:pPr>
      <w:r>
        <w:rPr>
          <w:rtl/>
          <w:lang w:bidi="he-IL"/>
        </w:rPr>
        <w:t>כתיב, “וכפר" שלש פעמים. כל אחד מלמד שיכול לכפר בלי קרן. אז, משלש, לומדים שיכול לכפר בלי שלש קרנות, ורק קרן אחד מעכב.</w:t>
      </w:r>
    </w:p>
    <w:p w14:paraId="51CEE50C" w14:textId="3A6E3A9A" w:rsidR="00215AD6" w:rsidRDefault="00000000" w:rsidP="00EA55F2">
      <w:pPr>
        <w:pStyle w:val="FootnoteText"/>
        <w:numPr>
          <w:ilvl w:val="0"/>
          <w:numId w:val="6"/>
        </w:numPr>
        <w:jc w:val="both"/>
        <w:rPr>
          <w:lang w:bidi="he-IL"/>
        </w:rPr>
      </w:pPr>
      <w:r>
        <w:rPr>
          <w:rtl/>
          <w:lang w:bidi="he-IL"/>
        </w:rPr>
        <w:t xml:space="preserve">שאר קרבנות – מתנה אחת מעכבת. </w:t>
      </w:r>
      <w:r w:rsidR="00A67A3B">
        <w:rPr>
          <w:rFonts w:hint="cs"/>
          <w:rtl/>
          <w:lang w:bidi="he-IL"/>
        </w:rPr>
        <w:t>[נה]</w:t>
      </w:r>
      <w:r>
        <w:rPr>
          <w:rtl/>
          <w:lang w:bidi="he-IL"/>
        </w:rPr>
        <w:t xml:space="preserve"> גמרא </w:t>
      </w:r>
      <w:r>
        <w:rPr>
          <w:b/>
          <w:bCs/>
          <w:u w:val="single"/>
          <w:rtl/>
          <w:lang w:bidi="he-IL"/>
        </w:rPr>
        <w:t>(לו:)</w:t>
      </w:r>
      <w:r>
        <w:rPr>
          <w:rtl/>
          <w:lang w:bidi="he-IL"/>
        </w:rPr>
        <w:t xml:space="preserve"> נותן לזה שני מקורות:</w:t>
      </w:r>
    </w:p>
    <w:p w14:paraId="0935E297" w14:textId="4A2DCBC4" w:rsidR="00215AD6" w:rsidRDefault="00000000" w:rsidP="00EA55F2">
      <w:pPr>
        <w:pStyle w:val="FootnoteText"/>
        <w:numPr>
          <w:ilvl w:val="1"/>
          <w:numId w:val="8"/>
        </w:numPr>
        <w:jc w:val="both"/>
        <w:rPr>
          <w:lang w:bidi="he-IL"/>
        </w:rPr>
      </w:pPr>
      <w:r>
        <w:rPr>
          <w:rtl/>
          <w:lang w:bidi="he-IL"/>
        </w:rPr>
        <w:t>כתיב "דם זבחיך ישפך.” משמע שאף אם רק נתן במתנה אחת (שלא כתוב יותר משפיכה אחת), יוצא. [</w:t>
      </w:r>
      <w:r w:rsidR="003E251D">
        <w:rPr>
          <w:rFonts w:hint="cs"/>
          <w:rtl/>
          <w:lang w:bidi="he-IL"/>
        </w:rPr>
        <w:t>נו</w:t>
      </w:r>
      <w:r>
        <w:rPr>
          <w:rtl/>
          <w:lang w:bidi="he-IL"/>
        </w:rPr>
        <w:t>] אבל, יש תנאים שדורשים דינים אחרים משם, ואז לא יכולים לדרוש את זה.</w:t>
      </w:r>
    </w:p>
    <w:p w14:paraId="73427D8A" w14:textId="5185BD08" w:rsidR="00215AD6" w:rsidRDefault="00000000" w:rsidP="00EA55F2">
      <w:pPr>
        <w:pStyle w:val="FootnoteText"/>
        <w:numPr>
          <w:ilvl w:val="1"/>
          <w:numId w:val="8"/>
        </w:numPr>
        <w:jc w:val="both"/>
        <w:rPr>
          <w:lang w:bidi="he-IL"/>
        </w:rPr>
      </w:pPr>
      <w:r>
        <w:rPr>
          <w:rtl/>
          <w:lang w:bidi="he-IL"/>
        </w:rPr>
        <w:t>נלמד מחטאת. [</w:t>
      </w:r>
      <w:r w:rsidR="0012765D">
        <w:rPr>
          <w:rFonts w:hint="cs"/>
          <w:rtl/>
          <w:lang w:bidi="he-IL"/>
        </w:rPr>
        <w:t>נ</w:t>
      </w:r>
      <w:r w:rsidR="00A4189D">
        <w:rPr>
          <w:rFonts w:hint="cs"/>
          <w:rtl/>
          <w:lang w:bidi="he-IL"/>
        </w:rPr>
        <w:t>ז</w:t>
      </w:r>
      <w:r w:rsidR="0012765D">
        <w:rPr>
          <w:rFonts w:hint="cs"/>
          <w:rtl/>
          <w:lang w:bidi="he-IL"/>
        </w:rPr>
        <w:t>]</w:t>
      </w:r>
    </w:p>
  </w:footnote>
  <w:footnote w:id="11">
    <w:p w14:paraId="58D70A4C" w14:textId="77777777" w:rsidR="00215AD6" w:rsidRDefault="00000000" w:rsidP="00EA55F2">
      <w:pPr>
        <w:pStyle w:val="FootnoteText"/>
        <w:spacing w:before="29" w:after="29"/>
        <w:jc w:val="both"/>
        <w:rPr>
          <w:lang w:bidi="he-IL"/>
        </w:rPr>
      </w:pPr>
      <w:r>
        <w:rPr>
          <w:rStyle w:val="FootnoteCharacters"/>
        </w:rPr>
        <w:footnoteRef/>
      </w:r>
      <w:r>
        <w:rPr>
          <w:rtl/>
          <w:lang w:bidi="he-IL"/>
        </w:rPr>
        <w:tab/>
      </w:r>
      <w:r>
        <w:rPr>
          <w:rtl/>
          <w:lang w:bidi="he-IL"/>
        </w:rPr>
        <w:t xml:space="preserve">גמרא </w:t>
      </w:r>
      <w:r>
        <w:rPr>
          <w:b/>
          <w:bCs/>
          <w:u w:val="single"/>
          <w:rtl/>
          <w:lang w:bidi="he-IL"/>
        </w:rPr>
        <w:t>(נג.)</w:t>
      </w:r>
      <w:r>
        <w:rPr>
          <w:rtl/>
          <w:lang w:bidi="he-IL"/>
        </w:rPr>
        <w:t xml:space="preserve"> מפרש שיש בזה חולק, ומבאר יסוד השיטות:</w:t>
      </w:r>
    </w:p>
    <w:p w14:paraId="7D3CC2F2" w14:textId="77777777" w:rsidR="00347A5F" w:rsidRDefault="00000000" w:rsidP="00EA55F2">
      <w:pPr>
        <w:pStyle w:val="FootnoteText"/>
        <w:numPr>
          <w:ilvl w:val="0"/>
          <w:numId w:val="12"/>
        </w:numPr>
        <w:jc w:val="both"/>
        <w:rPr>
          <w:lang w:bidi="he-IL"/>
        </w:rPr>
      </w:pPr>
      <w:r>
        <w:rPr>
          <w:rtl/>
          <w:lang w:bidi="he-IL"/>
        </w:rPr>
        <w:t>משנה סוברת שנשפך ליסוד הדרומי. לומדים הסתום מן המפורש; מצאנו שפיכת שיריים שמפורש מקומו (שפיכת שיריים של קרבנות שבפנים), ולומדים משם מקום השפיכה. כמו ששם מקום השפיכה הוא הנקב הקרוב לו, כך כאן מקום השפיכה הוא מקום הקרוב לו. כיון שיורד מכבש המזבח, נקב הדרומי קרוב לו. [</w:t>
      </w:r>
      <w:r w:rsidR="001B2D5D">
        <w:rPr>
          <w:rFonts w:hint="cs"/>
          <w:rtl/>
          <w:lang w:bidi="he-IL"/>
        </w:rPr>
        <w:t>נח</w:t>
      </w:r>
      <w:r>
        <w:rPr>
          <w:rtl/>
          <w:lang w:bidi="he-IL"/>
        </w:rPr>
        <w:t>]</w:t>
      </w:r>
    </w:p>
    <w:p w14:paraId="0641444C" w14:textId="0787BBD0" w:rsidR="00215AD6" w:rsidRDefault="00000000" w:rsidP="00EA55F2">
      <w:pPr>
        <w:pStyle w:val="FootnoteText"/>
        <w:numPr>
          <w:ilvl w:val="0"/>
          <w:numId w:val="12"/>
        </w:numPr>
        <w:jc w:val="both"/>
        <w:rPr>
          <w:lang w:bidi="he-IL"/>
        </w:rPr>
      </w:pPr>
      <w:r>
        <w:rPr>
          <w:rtl/>
          <w:lang w:bidi="he-IL"/>
        </w:rPr>
        <w:t>רבי ישמעאל סובר שנשפך ליסוד מערבי. לומדים הסתום מן המפורש; מצאנו שפיכת שיריים שמפורש מקומו (שפיכת שיריים של קרבנות שבפנים), ולומדים משם מקום השפיכה. כמו ששם מקום השפיכה הוא הנקב המערבי, כך כאן מקום השפיכה הוא נקב המערבי. [</w:t>
      </w:r>
      <w:r w:rsidR="001D67D9">
        <w:rPr>
          <w:rFonts w:hint="cs"/>
          <w:rtl/>
          <w:lang w:bidi="he-IL"/>
        </w:rPr>
        <w:t>נט</w:t>
      </w:r>
      <w:r>
        <w:rPr>
          <w:rtl/>
          <w:lang w:bidi="he-IL"/>
        </w:rPr>
        <w:t>]</w:t>
      </w:r>
      <w:r w:rsidR="006A52D6" w:rsidRPr="00347A5F">
        <w:rPr>
          <w:rFonts w:hint="cs"/>
          <w:b/>
          <w:bCs/>
          <w:rtl/>
          <w:lang w:bidi="he-IL"/>
        </w:rPr>
        <w:t xml:space="preserve"> </w:t>
      </w:r>
      <w:r w:rsidRPr="00347A5F">
        <w:rPr>
          <w:b/>
          <w:bCs/>
          <w:u w:val="single"/>
          <w:rtl/>
          <w:lang w:bidi="he-IL"/>
        </w:rPr>
        <w:t>לח)</w:t>
      </w:r>
    </w:p>
  </w:footnote>
  <w:footnote w:id="12">
    <w:p w14:paraId="10E5C6E4" w14:textId="77777777" w:rsidR="00215AD6" w:rsidRDefault="00000000" w:rsidP="00EA55F2">
      <w:pPr>
        <w:pStyle w:val="FootnoteText"/>
        <w:jc w:val="both"/>
        <w:rPr>
          <w:lang w:bidi="he-IL"/>
        </w:rPr>
      </w:pPr>
      <w:r>
        <w:rPr>
          <w:rStyle w:val="FootnoteCharacters"/>
        </w:rPr>
        <w:footnoteRef/>
      </w:r>
      <w:r>
        <w:rPr>
          <w:rtl/>
          <w:lang w:bidi="he-IL"/>
        </w:rPr>
        <w:tab/>
      </w:r>
      <w:r>
        <w:rPr>
          <w:rtl/>
          <w:lang w:bidi="he-IL"/>
        </w:rPr>
        <w:t>דם של כל הקרבנות מכאן עד סוף המשנה נשפכים באותו נקב ביסוד שדם חטאת נשפך לשם. לא כופל עליהם, כיון שהדין כבר נאמר בחטאת.</w:t>
      </w:r>
    </w:p>
    <w:p w14:paraId="5A0BE3E8" w14:textId="2678C38C" w:rsidR="00215AD6" w:rsidRDefault="00000000" w:rsidP="00EA55F2">
      <w:pPr>
        <w:pStyle w:val="FootnoteText"/>
        <w:jc w:val="both"/>
        <w:rPr>
          <w:lang w:bidi="he-IL"/>
        </w:rPr>
      </w:pPr>
      <w:r>
        <w:rPr>
          <w:rtl/>
          <w:lang w:bidi="he-IL"/>
        </w:rPr>
        <w:tab/>
        <w:t>יש שלש פרשיות בחטאת שבהם כתיב ענין יסוד. [</w:t>
      </w:r>
      <w:r w:rsidR="006A52D6">
        <w:rPr>
          <w:rFonts w:hint="cs"/>
          <w:rtl/>
          <w:lang w:bidi="he-IL"/>
        </w:rPr>
        <w:t>ס]</w:t>
      </w:r>
    </w:p>
    <w:p w14:paraId="15331546" w14:textId="77777777" w:rsidR="00215AD6" w:rsidRDefault="00000000" w:rsidP="00EA55F2">
      <w:pPr>
        <w:pStyle w:val="FootnoteText"/>
        <w:numPr>
          <w:ilvl w:val="0"/>
          <w:numId w:val="10"/>
        </w:numPr>
        <w:jc w:val="both"/>
        <w:rPr>
          <w:lang w:bidi="he-IL"/>
        </w:rPr>
      </w:pPr>
      <w:r>
        <w:rPr>
          <w:rtl/>
          <w:lang w:bidi="he-IL"/>
        </w:rPr>
        <w:t>א. חטאת של פר משיח (פנימי). כתיב "אל יסוד מזבח העולה." גמ’ מפרש שזה בא למעט יסוד הפנימי, שהוא מקום מתן דמים שלו. מקשה גמ’ שאולי בא לומר שיכול לתת באיזה שירצה. דוחה שכ’, “אל פתח" כבר, שמלמד שיכול לתת בחיצון.</w:t>
      </w:r>
    </w:p>
    <w:p w14:paraId="63C3D7AC" w14:textId="2A8812AA" w:rsidR="00215AD6" w:rsidRDefault="00000000" w:rsidP="00EA55F2">
      <w:pPr>
        <w:pStyle w:val="FootnoteText"/>
        <w:numPr>
          <w:ilvl w:val="0"/>
          <w:numId w:val="10"/>
        </w:numPr>
        <w:jc w:val="both"/>
        <w:rPr>
          <w:lang w:bidi="he-IL"/>
        </w:rPr>
      </w:pPr>
      <w:r>
        <w:rPr>
          <w:rtl/>
          <w:lang w:bidi="he-IL"/>
        </w:rPr>
        <w:t xml:space="preserve">חטאת של העלם דבר (פנימי). כתיב "אל יסוד מזבח העולה." גמ’ מפרש שפסוק זה מיותר, שנלמד מפר כהן משיח, כיון שהוקש לו. אז, בא ללמד שאין יסודלפנימי. </w:t>
      </w:r>
      <w:r w:rsidR="00E07A88">
        <w:rPr>
          <w:rFonts w:hint="cs"/>
          <w:rtl/>
          <w:lang w:bidi="he-IL"/>
        </w:rPr>
        <w:t xml:space="preserve">[סא] [סב] </w:t>
      </w:r>
    </w:p>
    <w:p w14:paraId="6B35D8FE" w14:textId="6AAE0731" w:rsidR="00215AD6" w:rsidRDefault="00000000" w:rsidP="00EA55F2">
      <w:pPr>
        <w:pStyle w:val="FootnoteText"/>
        <w:numPr>
          <w:ilvl w:val="0"/>
          <w:numId w:val="10"/>
        </w:numPr>
        <w:jc w:val="both"/>
        <w:rPr>
          <w:lang w:bidi="he-IL"/>
        </w:rPr>
      </w:pPr>
      <w:r>
        <w:rPr>
          <w:rtl/>
          <w:lang w:bidi="he-IL"/>
        </w:rPr>
        <w:t xml:space="preserve">חטאת של שעיר נשיא (חיצון). כתיב "אל יסוד מזבח העולה." גמ’ מפרש שפסוק זה מיותר, שכבר נודע מקו”ח מפנימיות (שמתן דם שלהם בפנים, ועדיין שפיכתם בחוץ, ועוד שכבר הוכחנו שאין יסוד למזבח הפנימי. </w:t>
      </w:r>
      <w:r w:rsidR="00BE345C">
        <w:rPr>
          <w:rFonts w:hint="cs"/>
          <w:rtl/>
          <w:lang w:bidi="he-IL"/>
        </w:rPr>
        <w:t>[</w:t>
      </w:r>
      <w:r w:rsidR="00E07A88">
        <w:rPr>
          <w:rFonts w:hint="cs"/>
          <w:rtl/>
          <w:lang w:bidi="he-IL"/>
        </w:rPr>
        <w:t xml:space="preserve">סג] </w:t>
      </w:r>
      <w:r>
        <w:rPr>
          <w:rtl/>
          <w:lang w:bidi="he-IL"/>
        </w:rPr>
        <w:t>אז, דורשים מזה שצריך לשפוך שיירי כל שניתן על מזבח העולה. מקשה גמ’ שאולי פסוק זה בא ללמד שמתן דם של קרבנות הוא רק כנגד היסוד. גמ’ דוחה שזה כבר נלמד מקו"ח משיירי חטאת (שאף שכבר כיפר, צ"ל ביסוד, ואז קו"ח בעולה, שלא זרק דמו כלל כבר, צ"ל כנגד היסוד).</w:t>
      </w:r>
    </w:p>
    <w:p w14:paraId="0BD27D9D" w14:textId="77777777" w:rsidR="00215AD6" w:rsidRDefault="00000000" w:rsidP="00EA55F2">
      <w:pPr>
        <w:pStyle w:val="FootnoteText"/>
        <w:jc w:val="both"/>
        <w:rPr>
          <w:lang w:bidi="he-IL"/>
        </w:rPr>
      </w:pPr>
      <w:r>
        <w:rPr>
          <w:rtl/>
          <w:lang w:bidi="he-IL"/>
        </w:rPr>
        <w:tab/>
        <w:t xml:space="preserve">דורשים שפר יה"כ צריך שפיכת שיריים משני מקורות – ממש"כ, "הפר," ומקל וחומר (שדמו נכנס לפנים למצווה, משא"כ בשאר קרבנות." </w:t>
      </w:r>
      <w:r>
        <w:rPr>
          <w:b/>
          <w:bCs/>
          <w:u w:val="single"/>
          <w:rtl/>
          <w:lang w:bidi="he-IL"/>
        </w:rPr>
        <w:t>(נא)</w:t>
      </w:r>
    </w:p>
    <w:p w14:paraId="2529B4E5" w14:textId="7A086AF3" w:rsidR="00215AD6" w:rsidRDefault="00000000" w:rsidP="00EA55F2">
      <w:pPr>
        <w:pStyle w:val="FootnoteText"/>
        <w:jc w:val="both"/>
        <w:rPr>
          <w:lang w:bidi="he-IL"/>
        </w:rPr>
      </w:pPr>
      <w:r>
        <w:rPr>
          <w:rtl/>
          <w:lang w:bidi="he-IL"/>
        </w:rPr>
        <w:tab/>
        <w:t xml:space="preserve">יש חולק על דרשה זו. גמ’ מביא שיטת תנא שסובר שהמקור שצריכים מתן דם ליסוד הוא "ודם זבחיך ישפך.” גמ’ גם מביא שיטת רבי, שסובר שמ"והנשאר בדם ימצה,” שיש בו מילה יתירה של "בדם,” מלמד שצריכים שפיכה ליסוד. </w:t>
      </w:r>
      <w:r>
        <w:rPr>
          <w:b/>
          <w:bCs/>
          <w:u w:val="single"/>
          <w:rtl/>
          <w:lang w:bidi="he-IL"/>
        </w:rPr>
        <w:t>(לז)</w:t>
      </w:r>
      <w:r>
        <w:rPr>
          <w:rtl/>
          <w:lang w:bidi="he-IL"/>
        </w:rPr>
        <w:t xml:space="preserve"> </w:t>
      </w:r>
      <w:r w:rsidR="00BE345C">
        <w:rPr>
          <w:rFonts w:hint="cs"/>
          <w:rtl/>
          <w:lang w:bidi="he-IL"/>
        </w:rPr>
        <w:t>[</w:t>
      </w:r>
      <w:r w:rsidR="00D12861">
        <w:rPr>
          <w:rFonts w:hint="cs"/>
          <w:rtl/>
          <w:lang w:bidi="he-IL"/>
        </w:rPr>
        <w:t>סד]</w:t>
      </w:r>
    </w:p>
  </w:footnote>
  <w:footnote w:id="13">
    <w:p w14:paraId="4C0D8C42" w14:textId="77777777" w:rsidR="00215AD6" w:rsidRDefault="00000000" w:rsidP="00EA55F2">
      <w:pPr>
        <w:pStyle w:val="FootnoteText"/>
        <w:jc w:val="both"/>
        <w:rPr>
          <w:lang w:bidi="he-IL"/>
        </w:rPr>
      </w:pPr>
      <w:r>
        <w:rPr>
          <w:rStyle w:val="FootnoteCharacters"/>
        </w:rPr>
        <w:footnoteRef/>
      </w:r>
      <w:r>
        <w:rPr>
          <w:rtl/>
          <w:lang w:bidi="he-IL"/>
        </w:rPr>
        <w:tab/>
      </w:r>
      <w:r>
        <w:rPr>
          <w:rtl/>
          <w:lang w:bidi="he-IL"/>
        </w:rPr>
        <w:t>לא מזכיר כאן איפה שופך אותו, אבל הדין הוא ששופך אותו על יסוד של מזבח העולה. נראה שלא מזכיר כאן איזה מזבח כיון שהוא פשוט, שאם שופך את השיריים של קרבן הנקרב בפנים במזבח החיצון, כל שכן שישפוך את השיריים של קרבן הנקרב בחוץ במזבח החיצון. (סברה זו נאמר בגמ’ בדף נא)</w:t>
      </w:r>
    </w:p>
  </w:footnote>
  <w:footnote w:id="14">
    <w:p w14:paraId="3ECA9C5D" w14:textId="77777777" w:rsidR="00215AD6" w:rsidRDefault="00000000" w:rsidP="00EA55F2">
      <w:pPr>
        <w:pStyle w:val="FootnoteText"/>
        <w:jc w:val="both"/>
        <w:rPr>
          <w:lang w:bidi="he-IL"/>
        </w:rPr>
      </w:pPr>
      <w:r>
        <w:rPr>
          <w:rStyle w:val="FootnoteCharacters"/>
        </w:rPr>
        <w:footnoteRef/>
      </w:r>
      <w:r>
        <w:rPr>
          <w:rtl/>
          <w:lang w:bidi="he-IL"/>
        </w:rPr>
        <w:tab/>
      </w:r>
      <w:r>
        <w:rPr>
          <w:rtl/>
          <w:lang w:bidi="he-IL"/>
        </w:rPr>
        <w:t>לענין אכילת קדשים, יש שלש מקומות. במשכן, שלש מקומות היו לפנים מקלעי אהל מועד, במחנה ישראל, וחוץ למחנה. בביה"מ, היו, כנגדם, שלש מקומות, שהיה בעזרה, בירושלים, וחוץ מירושלים. חטאת נאכלת רק במקום ראשון, כיון שכתיב, “במקום קדש תאכל, בחצר אהל מועד."</w:t>
      </w:r>
    </w:p>
  </w:footnote>
  <w:footnote w:id="15">
    <w:p w14:paraId="7DDD7432" w14:textId="77777777" w:rsidR="00215AD6" w:rsidRDefault="00000000" w:rsidP="00EA55F2">
      <w:pPr>
        <w:pStyle w:val="FootnoteText"/>
        <w:jc w:val="both"/>
        <w:rPr>
          <w:lang w:bidi="he-IL"/>
        </w:rPr>
      </w:pPr>
      <w:r>
        <w:rPr>
          <w:rStyle w:val="FootnoteCharacters"/>
        </w:rPr>
        <w:footnoteRef/>
      </w:r>
      <w:r>
        <w:rPr>
          <w:rtl/>
          <w:lang w:bidi="he-IL"/>
        </w:rPr>
        <w:tab/>
      </w:r>
      <w:r>
        <w:rPr>
          <w:rtl/>
          <w:lang w:bidi="he-IL"/>
        </w:rPr>
        <w:t>זה נלמד ממש"כ, “כל זכר בכהנים יאכל אותה.”</w:t>
      </w:r>
    </w:p>
  </w:footnote>
  <w:footnote w:id="16">
    <w:p w14:paraId="33BFAF41" w14:textId="77777777" w:rsidR="00215AD6" w:rsidRDefault="00000000" w:rsidP="00EA55F2">
      <w:pPr>
        <w:pStyle w:val="FootnoteText"/>
        <w:jc w:val="both"/>
        <w:rPr>
          <w:lang w:bidi="he-IL"/>
        </w:rPr>
      </w:pPr>
      <w:r>
        <w:rPr>
          <w:rStyle w:val="FootnoteCharacters"/>
        </w:rPr>
        <w:footnoteRef/>
      </w:r>
      <w:r>
        <w:rPr>
          <w:rtl/>
          <w:lang w:bidi="he-IL"/>
        </w:rPr>
        <w:tab/>
      </w:r>
      <w:r>
        <w:rPr>
          <w:rtl/>
          <w:lang w:bidi="he-IL"/>
        </w:rPr>
        <w:t>יכול לאכול אותו בכל אופן שירצה. בסוף הפרק, נזכיר קרבן פסח, שנאכל רק באופן מיוחד, ולכן מזכיר בשאר קרבנות שנאכל בכל אופן שירצה.</w:t>
      </w:r>
    </w:p>
  </w:footnote>
  <w:footnote w:id="17">
    <w:p w14:paraId="5BB32BA6" w14:textId="30AE2C69" w:rsidR="00215AD6" w:rsidRPr="00075A6F" w:rsidRDefault="00000000" w:rsidP="00EA55F2">
      <w:pPr>
        <w:pStyle w:val="FootnoteText"/>
        <w:jc w:val="both"/>
        <w:rPr>
          <w:lang w:bidi="he-IL"/>
        </w:rPr>
      </w:pPr>
      <w:r>
        <w:rPr>
          <w:rStyle w:val="FootnoteCharacters"/>
        </w:rPr>
        <w:footnoteRef/>
      </w:r>
      <w:r>
        <w:rPr>
          <w:rtl/>
          <w:lang w:bidi="he-IL"/>
        </w:rPr>
        <w:tab/>
      </w:r>
      <w:r>
        <w:rPr>
          <w:rtl/>
          <w:lang w:bidi="he-IL"/>
        </w:rPr>
        <w:t>זה נלמד מפסוק מיותר בקרבן תודה. שם, כ’, “ובשר זבח תודת שלמיו ביום קרבנו יאכל." כיון שכ’, "זבח" מרבים חטאת ואשם ושאר קדשי קדשים.</w:t>
      </w:r>
      <w:r>
        <w:rPr>
          <w:b/>
          <w:bCs/>
          <w:u w:val="single"/>
          <w:rtl/>
          <w:lang w:bidi="he-IL"/>
        </w:rPr>
        <w:t xml:space="preserve"> (לו.)</w:t>
      </w:r>
      <w:r>
        <w:rPr>
          <w:rtl/>
          <w:lang w:bidi="he-IL"/>
        </w:rPr>
        <w:t xml:space="preserve"> </w:t>
      </w:r>
      <w:r>
        <w:rPr>
          <w:b/>
          <w:bCs/>
          <w:u w:val="single"/>
          <w:rtl/>
          <w:lang w:bidi="he-IL"/>
        </w:rPr>
        <w:t xml:space="preserve"> </w:t>
      </w:r>
      <w:r w:rsidR="00075A6F">
        <w:rPr>
          <w:rFonts w:hint="cs"/>
          <w:rtl/>
          <w:lang w:bidi="he-IL"/>
        </w:rPr>
        <w:t>[סה]</w:t>
      </w:r>
    </w:p>
  </w:footnote>
  <w:footnote w:id="18">
    <w:p w14:paraId="039E73BF" w14:textId="0BEA5ABC" w:rsidR="00215AD6" w:rsidRDefault="00000000" w:rsidP="00EA55F2">
      <w:pPr>
        <w:pStyle w:val="FootnoteText"/>
        <w:jc w:val="both"/>
        <w:rPr>
          <w:lang w:bidi="he-IL"/>
        </w:rPr>
      </w:pPr>
      <w:r>
        <w:rPr>
          <w:rStyle w:val="FootnoteCharacters"/>
        </w:rPr>
        <w:footnoteRef/>
      </w:r>
      <w:r>
        <w:rPr>
          <w:rtl/>
          <w:lang w:bidi="he-IL"/>
        </w:rPr>
        <w:tab/>
      </w:r>
      <w:r>
        <w:rPr>
          <w:rtl/>
          <w:lang w:bidi="he-IL"/>
        </w:rPr>
        <w:t xml:space="preserve">מדאו’, יכול לאכול עד עלות השחר, שכ’, “עד בוקר.”. אבל, גזרו רבנן שלא יאכל אחרי חצות, כדי שלא יבוא להמתין מלאכול עד אחרי עלות השחר. (ברכות ב.) </w:t>
      </w:r>
      <w:r w:rsidR="00FB37D5">
        <w:rPr>
          <w:rFonts w:hint="cs"/>
          <w:rtl/>
          <w:lang w:bidi="he-IL"/>
        </w:rPr>
        <w:t>[</w:t>
      </w:r>
      <w:r w:rsidR="00D44C46">
        <w:rPr>
          <w:rFonts w:hint="cs"/>
          <w:rtl/>
          <w:lang w:bidi="he-IL"/>
        </w:rPr>
        <w:t>סו]</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908"/>
    <w:multiLevelType w:val="multilevel"/>
    <w:tmpl w:val="C838AF5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F35950"/>
    <w:multiLevelType w:val="multilevel"/>
    <w:tmpl w:val="353EFAB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165604CB"/>
    <w:multiLevelType w:val="multilevel"/>
    <w:tmpl w:val="9E0013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6A204A7"/>
    <w:multiLevelType w:val="multilevel"/>
    <w:tmpl w:val="471C85D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Symbol" w:hAnsi="Symbol" w:cs="Symbol" w:hint="default"/>
      </w:rPr>
    </w:lvl>
    <w:lvl w:ilvl="2">
      <w:start w:val="1"/>
      <w:numFmt w:val="bullet"/>
      <w:lvlText w:val=""/>
      <w:lvlJc w:val="right"/>
      <w:pPr>
        <w:tabs>
          <w:tab w:val="num" w:pos="1440"/>
        </w:tabs>
        <w:ind w:left="1440" w:hanging="360"/>
      </w:pPr>
      <w:rPr>
        <w:rFonts w:ascii="Symbol" w:hAnsi="Symbol" w:cs="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Symbol" w:hAnsi="Symbol" w:cs="Symbol" w:hint="default"/>
      </w:rPr>
    </w:lvl>
    <w:lvl w:ilvl="5">
      <w:start w:val="1"/>
      <w:numFmt w:val="bullet"/>
      <w:lvlText w:val=""/>
      <w:lvlJc w:val="right"/>
      <w:pPr>
        <w:tabs>
          <w:tab w:val="num" w:pos="2520"/>
        </w:tabs>
        <w:ind w:left="2520" w:hanging="360"/>
      </w:pPr>
      <w:rPr>
        <w:rFonts w:ascii="Symbol" w:hAnsi="Symbol" w:cs="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Symbol" w:hAnsi="Symbol" w:cs="Symbol" w:hint="default"/>
      </w:rPr>
    </w:lvl>
    <w:lvl w:ilvl="8">
      <w:start w:val="1"/>
      <w:numFmt w:val="bullet"/>
      <w:lvlText w:val=""/>
      <w:lvlJc w:val="right"/>
      <w:pPr>
        <w:tabs>
          <w:tab w:val="num" w:pos="3600"/>
        </w:tabs>
        <w:ind w:left="3600" w:hanging="360"/>
      </w:pPr>
      <w:rPr>
        <w:rFonts w:ascii="Symbol" w:hAnsi="Symbol" w:cs="Symbol" w:hint="default"/>
      </w:rPr>
    </w:lvl>
  </w:abstractNum>
  <w:abstractNum w:abstractNumId="4" w15:restartNumberingAfterBreak="0">
    <w:nsid w:val="2A4F64D0"/>
    <w:multiLevelType w:val="multilevel"/>
    <w:tmpl w:val="A7D2C576"/>
    <w:lvl w:ilvl="0">
      <w:start w:val="1"/>
      <w:numFmt w:val="decimal"/>
      <w:lvlText w:val="%1."/>
      <w:lvlJc w:val="right"/>
      <w:pPr>
        <w:tabs>
          <w:tab w:val="num" w:pos="1060"/>
        </w:tabs>
        <w:ind w:left="1060" w:hanging="360"/>
      </w:pPr>
    </w:lvl>
    <w:lvl w:ilvl="1">
      <w:start w:val="1"/>
      <w:numFmt w:val="decimal"/>
      <w:lvlText w:val="%2."/>
      <w:lvlJc w:val="right"/>
      <w:pPr>
        <w:tabs>
          <w:tab w:val="num" w:pos="1420"/>
        </w:tabs>
        <w:ind w:left="1420" w:hanging="360"/>
      </w:pPr>
    </w:lvl>
    <w:lvl w:ilvl="2">
      <w:start w:val="1"/>
      <w:numFmt w:val="decimal"/>
      <w:lvlText w:val="%3."/>
      <w:lvlJc w:val="right"/>
      <w:pPr>
        <w:tabs>
          <w:tab w:val="num" w:pos="1780"/>
        </w:tabs>
        <w:ind w:left="1780" w:hanging="360"/>
      </w:pPr>
    </w:lvl>
    <w:lvl w:ilvl="3">
      <w:start w:val="1"/>
      <w:numFmt w:val="decimal"/>
      <w:lvlText w:val="%4."/>
      <w:lvlJc w:val="right"/>
      <w:pPr>
        <w:tabs>
          <w:tab w:val="num" w:pos="2140"/>
        </w:tabs>
        <w:ind w:left="2140" w:hanging="360"/>
      </w:pPr>
    </w:lvl>
    <w:lvl w:ilvl="4">
      <w:start w:val="1"/>
      <w:numFmt w:val="decimal"/>
      <w:lvlText w:val="%5."/>
      <w:lvlJc w:val="right"/>
      <w:pPr>
        <w:tabs>
          <w:tab w:val="num" w:pos="2500"/>
        </w:tabs>
        <w:ind w:left="2500" w:hanging="360"/>
      </w:pPr>
    </w:lvl>
    <w:lvl w:ilvl="5">
      <w:start w:val="1"/>
      <w:numFmt w:val="decimal"/>
      <w:lvlText w:val="%6."/>
      <w:lvlJc w:val="right"/>
      <w:pPr>
        <w:tabs>
          <w:tab w:val="num" w:pos="2860"/>
        </w:tabs>
        <w:ind w:left="2860" w:hanging="360"/>
      </w:pPr>
    </w:lvl>
    <w:lvl w:ilvl="6">
      <w:start w:val="1"/>
      <w:numFmt w:val="decimal"/>
      <w:lvlText w:val="%7."/>
      <w:lvlJc w:val="right"/>
      <w:pPr>
        <w:tabs>
          <w:tab w:val="num" w:pos="3220"/>
        </w:tabs>
        <w:ind w:left="3220" w:hanging="360"/>
      </w:pPr>
    </w:lvl>
    <w:lvl w:ilvl="7">
      <w:start w:val="1"/>
      <w:numFmt w:val="decimal"/>
      <w:lvlText w:val="%8."/>
      <w:lvlJc w:val="right"/>
      <w:pPr>
        <w:tabs>
          <w:tab w:val="num" w:pos="3580"/>
        </w:tabs>
        <w:ind w:left="3580" w:hanging="360"/>
      </w:pPr>
    </w:lvl>
    <w:lvl w:ilvl="8">
      <w:start w:val="1"/>
      <w:numFmt w:val="decimal"/>
      <w:lvlText w:val="%9."/>
      <w:lvlJc w:val="right"/>
      <w:pPr>
        <w:tabs>
          <w:tab w:val="num" w:pos="3940"/>
        </w:tabs>
        <w:ind w:left="3940" w:hanging="360"/>
      </w:pPr>
    </w:lvl>
  </w:abstractNum>
  <w:abstractNum w:abstractNumId="5" w15:restartNumberingAfterBreak="0">
    <w:nsid w:val="33EF1CCF"/>
    <w:multiLevelType w:val="multilevel"/>
    <w:tmpl w:val="E4C049A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3A5A60F3"/>
    <w:multiLevelType w:val="multilevel"/>
    <w:tmpl w:val="152EC8E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435D039B"/>
    <w:multiLevelType w:val="multilevel"/>
    <w:tmpl w:val="240C5E7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7F24066"/>
    <w:multiLevelType w:val="multilevel"/>
    <w:tmpl w:val="BA5876F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49AD2DA4"/>
    <w:multiLevelType w:val="multilevel"/>
    <w:tmpl w:val="3CCE312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0" w15:restartNumberingAfterBreak="0">
    <w:nsid w:val="5A4F55A3"/>
    <w:multiLevelType w:val="multilevel"/>
    <w:tmpl w:val="3662C17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1" w15:restartNumberingAfterBreak="0">
    <w:nsid w:val="618A2D69"/>
    <w:multiLevelType w:val="multilevel"/>
    <w:tmpl w:val="A268ED7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16cid:durableId="2058432200">
    <w:abstractNumId w:val="2"/>
  </w:num>
  <w:num w:numId="2" w16cid:durableId="561133836">
    <w:abstractNumId w:val="8"/>
  </w:num>
  <w:num w:numId="3" w16cid:durableId="1913586429">
    <w:abstractNumId w:val="7"/>
  </w:num>
  <w:num w:numId="4" w16cid:durableId="1190485828">
    <w:abstractNumId w:val="4"/>
  </w:num>
  <w:num w:numId="5" w16cid:durableId="289868816">
    <w:abstractNumId w:val="10"/>
  </w:num>
  <w:num w:numId="6" w16cid:durableId="359278922">
    <w:abstractNumId w:val="3"/>
  </w:num>
  <w:num w:numId="7" w16cid:durableId="531262314">
    <w:abstractNumId w:val="1"/>
  </w:num>
  <w:num w:numId="8" w16cid:durableId="385642387">
    <w:abstractNumId w:val="11"/>
  </w:num>
  <w:num w:numId="9" w16cid:durableId="78913728">
    <w:abstractNumId w:val="6"/>
  </w:num>
  <w:num w:numId="10" w16cid:durableId="1384712760">
    <w:abstractNumId w:val="5"/>
  </w:num>
  <w:num w:numId="11" w16cid:durableId="1098212359">
    <w:abstractNumId w:val="0"/>
  </w:num>
  <w:num w:numId="12" w16cid:durableId="15702680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15AD6"/>
    <w:rsid w:val="00020FF5"/>
    <w:rsid w:val="00075A6F"/>
    <w:rsid w:val="000F3F4A"/>
    <w:rsid w:val="0012765D"/>
    <w:rsid w:val="001B2D5D"/>
    <w:rsid w:val="001D457B"/>
    <w:rsid w:val="001D67D9"/>
    <w:rsid w:val="00201D0E"/>
    <w:rsid w:val="0020647E"/>
    <w:rsid w:val="00215AD6"/>
    <w:rsid w:val="00215C59"/>
    <w:rsid w:val="002624B3"/>
    <w:rsid w:val="002D18D4"/>
    <w:rsid w:val="002D776E"/>
    <w:rsid w:val="002E3645"/>
    <w:rsid w:val="00347A5F"/>
    <w:rsid w:val="003B0C2D"/>
    <w:rsid w:val="003C7E5E"/>
    <w:rsid w:val="003E251D"/>
    <w:rsid w:val="0056046A"/>
    <w:rsid w:val="005662F8"/>
    <w:rsid w:val="00580F49"/>
    <w:rsid w:val="005B756D"/>
    <w:rsid w:val="00694E79"/>
    <w:rsid w:val="006A52D6"/>
    <w:rsid w:val="00730F25"/>
    <w:rsid w:val="00742873"/>
    <w:rsid w:val="007F1150"/>
    <w:rsid w:val="008100ED"/>
    <w:rsid w:val="008E1814"/>
    <w:rsid w:val="0093584B"/>
    <w:rsid w:val="00973E80"/>
    <w:rsid w:val="009D19DE"/>
    <w:rsid w:val="009E4DF7"/>
    <w:rsid w:val="00A4189D"/>
    <w:rsid w:val="00A42729"/>
    <w:rsid w:val="00A67A3B"/>
    <w:rsid w:val="00B464BC"/>
    <w:rsid w:val="00BE345C"/>
    <w:rsid w:val="00C171AA"/>
    <w:rsid w:val="00C7663A"/>
    <w:rsid w:val="00D12861"/>
    <w:rsid w:val="00D44C46"/>
    <w:rsid w:val="00D63909"/>
    <w:rsid w:val="00E07A88"/>
    <w:rsid w:val="00E62435"/>
    <w:rsid w:val="00EA55F2"/>
    <w:rsid w:val="00EA624A"/>
    <w:rsid w:val="00F60025"/>
    <w:rsid w:val="00FB37D5"/>
    <w:rsid w:val="00FB7F9F"/>
    <w:rsid w:val="00FC61E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194E"/>
  <w15:docId w15:val="{7FE240B1-2A88-4D31-B307-2D40A1B08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4B3"/>
    <w:pPr>
      <w:bidi/>
      <w:spacing w:before="120" w:after="120" w:line="276" w:lineRule="auto"/>
    </w:pPr>
  </w:style>
  <w:style w:type="paragraph" w:styleId="Heading2">
    <w:name w:val="heading 2"/>
    <w:basedOn w:val="Normal"/>
    <w:next w:val="Normal"/>
    <w:uiPriority w:val="9"/>
    <w:unhideWhenUsed/>
    <w:qFormat/>
    <w:rsid w:val="00C171AA"/>
    <w:pPr>
      <w:keepNext/>
      <w:keepLines/>
      <w:spacing w:before="0"/>
      <w:outlineLvl w:val="1"/>
    </w:pPr>
    <w:rPr>
      <w:rFonts w:ascii="Calibri Light" w:hAnsi="Calibri Light"/>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customStyle="1" w:styleId="FootnoteCharactersuser">
    <w:name w:val="Footnote Characters (user)"/>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Charactersuser">
    <w:name w:val="Endnote Characters (user)"/>
    <w:qFormat/>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pPr>
    <w:rPr>
      <w:i/>
      <w:iCs/>
    </w:rPr>
  </w:style>
  <w:style w:type="paragraph" w:customStyle="1" w:styleId="Index">
    <w:name w:val="Index"/>
    <w:basedOn w:val="Normal"/>
    <w:qFormat/>
    <w:pPr>
      <w:suppressLineNumbers/>
    </w:pPr>
  </w:style>
  <w:style w:type="paragraph" w:styleId="FootnoteText">
    <w:name w:val="footnote text"/>
    <w:basedOn w:val="Normal"/>
    <w:rsid w:val="002624B3"/>
    <w:pPr>
      <w:suppressLineNumbers/>
      <w:spacing w:before="40" w:after="40"/>
      <w:ind w:left="346" w:hanging="346"/>
    </w:pPr>
    <w:rPr>
      <w:rFonts w:cs="Davi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3B3A9-9A27-4E54-91AD-3FCC38078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85</Words>
  <Characters>490</Characters>
  <Application>Microsoft Office Word</Application>
  <DocSecurity>0</DocSecurity>
  <Lines>4</Lines>
  <Paragraphs>1</Paragraphs>
  <ScaleCrop>false</ScaleCrop>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Y Khayyat</cp:lastModifiedBy>
  <cp:revision>37</cp:revision>
  <dcterms:created xsi:type="dcterms:W3CDTF">2025-11-04T17:24:00Z</dcterms:created>
  <dcterms:modified xsi:type="dcterms:W3CDTF">2025-11-10T18:32:00Z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2025-11-04T12:10:03Z</dcterms:created>
  <dc:creator/>
  <dc:description/>
  <dc:language>en-US</dc:language>
  <cp:lastModifiedBy/>
  <dcterms:modified xsi:type="dcterms:W3CDTF">2025-11-04T12:21:00Z</dcterms:modified>
  <cp:revision>2</cp:revision>
  <dc:subject/>
  <dc:title/>
</cp:coreProperties>
</file>