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E37F" w14:textId="77777777" w:rsidR="00AA0518" w:rsidRDefault="00000000" w:rsidP="00A77DE9">
      <w:pPr>
        <w:pStyle w:val="Heading2"/>
        <w:jc w:val="both"/>
        <w:rPr>
          <w:rFonts w:cs="David"/>
        </w:rPr>
      </w:pPr>
      <w:r>
        <w:rPr>
          <w:rFonts w:ascii="David" w:hAnsi="David" w:cs="David"/>
          <w:rtl/>
        </w:rPr>
        <w:t>משנה ד.</w:t>
      </w:r>
      <w:r>
        <w:rPr>
          <w:rStyle w:val="FootnoteReference"/>
          <w:rFonts w:ascii="David" w:hAnsi="David" w:cs="David"/>
          <w:rtl/>
        </w:rPr>
        <w:footnoteReference w:id="1"/>
      </w:r>
    </w:p>
    <w:p w14:paraId="44AC44BF" w14:textId="77777777" w:rsidR="00AA0518" w:rsidRDefault="00000000" w:rsidP="00A77DE9">
      <w:pPr>
        <w:jc w:val="both"/>
        <w:rPr>
          <w:rFonts w:cs="David"/>
        </w:rPr>
      </w:pPr>
      <w:r>
        <w:rPr>
          <w:rStyle w:val="FootnoteReference"/>
          <w:rFonts w:ascii="David" w:hAnsi="David" w:cs="David"/>
          <w:rtl/>
        </w:rPr>
        <w:footnoteReference w:id="2"/>
      </w:r>
      <w:r>
        <w:rPr>
          <w:rFonts w:ascii="David" w:hAnsi="David" w:cs="David"/>
          <w:rtl/>
        </w:rPr>
        <w:t>הָעוֹלָה</w:t>
      </w:r>
      <w:r>
        <w:rPr>
          <w:rStyle w:val="FootnoteReference"/>
          <w:rFonts w:ascii="David" w:hAnsi="David" w:cs="David"/>
          <w:rtl/>
        </w:rPr>
        <w:footnoteReference w:id="3"/>
      </w:r>
      <w:r>
        <w:rPr>
          <w:rStyle w:val="FootnoteReference"/>
          <w:rFonts w:ascii="David" w:hAnsi="David" w:cs="David"/>
          <w:rtl/>
        </w:rPr>
        <w:footnoteReference w:id="4"/>
      </w:r>
      <w:r>
        <w:rPr>
          <w:rFonts w:ascii="David" w:hAnsi="David" w:cs="David"/>
          <w:rtl/>
        </w:rPr>
        <w:t>, קָדְשֵׁי קָדָשִׁים</w:t>
      </w:r>
      <w:r>
        <w:rPr>
          <w:rStyle w:val="FootnoteReference"/>
          <w:rFonts w:ascii="David" w:hAnsi="David" w:cs="David"/>
          <w:rtl/>
        </w:rPr>
        <w:footnoteReference w:id="5"/>
      </w:r>
      <w:r>
        <w:rPr>
          <w:rFonts w:ascii="David" w:hAnsi="David" w:cs="David"/>
          <w:rtl/>
        </w:rPr>
        <w:t>, שְׁחִיטָתָהּ בַּצָּפוֹן</w:t>
      </w:r>
      <w:r>
        <w:rPr>
          <w:rStyle w:val="FootnoteReference"/>
          <w:rFonts w:ascii="David" w:hAnsi="David" w:cs="David"/>
          <w:rtl/>
        </w:rPr>
        <w:footnoteReference w:id="6"/>
      </w:r>
      <w:r>
        <w:rPr>
          <w:rFonts w:ascii="David" w:hAnsi="David" w:cs="David"/>
          <w:rtl/>
        </w:rPr>
        <w:t>, וְקִבּוּל דָּמָהּ בִּכְלִי שָׁרֵת בַּצָּפוֹן</w:t>
      </w:r>
      <w:r>
        <w:rPr>
          <w:rStyle w:val="FootnoteReference"/>
          <w:rFonts w:ascii="David" w:hAnsi="David" w:cs="David"/>
          <w:rtl/>
        </w:rPr>
        <w:footnoteReference w:id="7"/>
      </w:r>
      <w:r>
        <w:rPr>
          <w:rFonts w:ascii="David" w:hAnsi="David" w:cs="David"/>
          <w:rtl/>
        </w:rPr>
        <w:t>, וְדָמָהּ טָעוּן שְׁתֵּי מַתָּנוֹת שֶׁהֵן אַרְבַּע</w:t>
      </w:r>
      <w:r>
        <w:rPr>
          <w:rStyle w:val="FootnoteReference"/>
          <w:rFonts w:ascii="David" w:hAnsi="David" w:cs="David"/>
          <w:rtl/>
        </w:rPr>
        <w:footnoteReference w:id="8"/>
      </w:r>
      <w:r>
        <w:rPr>
          <w:rStyle w:val="FootnoteReference"/>
          <w:rFonts w:ascii="David" w:hAnsi="David" w:cs="David"/>
          <w:rtl/>
        </w:rPr>
        <w:footnoteReference w:id="9"/>
      </w:r>
      <w:r>
        <w:rPr>
          <w:rStyle w:val="FootnoteReference"/>
          <w:rFonts w:ascii="David" w:hAnsi="David" w:cs="David"/>
          <w:rtl/>
        </w:rPr>
        <w:footnoteReference w:id="10"/>
      </w:r>
      <w:r>
        <w:rPr>
          <w:rFonts w:ascii="David" w:hAnsi="David" w:cs="David"/>
          <w:rtl/>
        </w:rPr>
        <w:t>, וּטְעוּנָה הֶפְשֵׁט</w:t>
      </w:r>
      <w:r>
        <w:rPr>
          <w:rStyle w:val="FootnoteReference"/>
          <w:rFonts w:ascii="David" w:hAnsi="David" w:cs="David"/>
          <w:rtl/>
        </w:rPr>
        <w:footnoteReference w:id="11"/>
      </w:r>
      <w:r>
        <w:rPr>
          <w:rFonts w:ascii="David" w:hAnsi="David" w:cs="David"/>
          <w:rtl/>
        </w:rPr>
        <w:t xml:space="preserve"> וְנִתּוּחַ</w:t>
      </w:r>
      <w:r>
        <w:rPr>
          <w:rStyle w:val="FootnoteReference"/>
          <w:rFonts w:ascii="David" w:hAnsi="David" w:cs="David"/>
          <w:rtl/>
        </w:rPr>
        <w:footnoteReference w:id="12"/>
      </w:r>
      <w:r>
        <w:rPr>
          <w:rFonts w:ascii="David" w:hAnsi="David" w:cs="David"/>
          <w:rtl/>
        </w:rPr>
        <w:t xml:space="preserve"> וְכָלִיל לָאִשִּׁים</w:t>
      </w:r>
      <w:r>
        <w:rPr>
          <w:rStyle w:val="FootnoteReference"/>
          <w:rFonts w:ascii="David" w:hAnsi="David" w:cs="David"/>
          <w:rtl/>
        </w:rPr>
        <w:footnoteReference w:id="13"/>
      </w:r>
      <w:r>
        <w:rPr>
          <w:rFonts w:ascii="David" w:hAnsi="David" w:cs="David"/>
          <w:rtl/>
        </w:rPr>
        <w:t xml:space="preserve">: </w:t>
      </w:r>
    </w:p>
    <w:sectPr w:rsidR="00AA0518" w:rsidSect="00A77DE9">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5178D" w14:textId="77777777" w:rsidR="00052893" w:rsidRDefault="00052893">
      <w:r>
        <w:separator/>
      </w:r>
    </w:p>
  </w:endnote>
  <w:endnote w:type="continuationSeparator" w:id="0">
    <w:p w14:paraId="25FCE6AC" w14:textId="77777777" w:rsidR="00052893" w:rsidRDefault="00052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F19D4" w14:textId="77777777" w:rsidR="00052893" w:rsidRDefault="00052893">
      <w:r>
        <w:separator/>
      </w:r>
    </w:p>
  </w:footnote>
  <w:footnote w:type="continuationSeparator" w:id="0">
    <w:p w14:paraId="0958C219" w14:textId="77777777" w:rsidR="00052893" w:rsidRDefault="00052893">
      <w:r>
        <w:continuationSeparator/>
      </w:r>
    </w:p>
  </w:footnote>
  <w:footnote w:id="1">
    <w:p w14:paraId="0FB2B3AC" w14:textId="77777777" w:rsidR="00AA0518" w:rsidRDefault="00000000" w:rsidP="00A77DE9">
      <w:pPr>
        <w:pStyle w:val="FootnoteText"/>
        <w:jc w:val="both"/>
        <w:rPr>
          <w:b/>
          <w:bCs/>
          <w:lang w:bidi="he-IL"/>
        </w:rPr>
      </w:pPr>
      <w:r>
        <w:rPr>
          <w:rStyle w:val="FootnoteCharacters"/>
        </w:rPr>
        <w:footnoteRef/>
      </w:r>
      <w:r>
        <w:rPr>
          <w:b/>
          <w:bCs/>
          <w:rtl/>
          <w:lang w:bidi="he-IL"/>
        </w:rPr>
        <w:tab/>
        <w:t>משנה ד.</w:t>
      </w:r>
    </w:p>
  </w:footnote>
  <w:footnote w:id="2">
    <w:p w14:paraId="55A390C5" w14:textId="394D87BC" w:rsidR="00AA0518" w:rsidRDefault="00000000" w:rsidP="00A77DE9">
      <w:pPr>
        <w:pStyle w:val="FootnoteText"/>
        <w:jc w:val="both"/>
        <w:rPr>
          <w:rtl/>
          <w:lang w:bidi="he-IL"/>
        </w:rPr>
      </w:pPr>
      <w:r>
        <w:rPr>
          <w:rStyle w:val="FootnoteCharacters"/>
        </w:rPr>
        <w:footnoteRef/>
      </w:r>
      <w:r>
        <w:rPr>
          <w:rtl/>
          <w:lang w:bidi="he-IL"/>
        </w:rPr>
        <w:tab/>
        <w:t>לכאו’, ממשיך מחטאת, שהוא  קדשי קדשים לעולה, שהוא מין אחר של קדשי קדשים. [</w:t>
      </w:r>
      <w:r w:rsidR="00EF77C4">
        <w:rPr>
          <w:rFonts w:hint="cs"/>
          <w:rtl/>
          <w:lang w:bidi="he-IL"/>
        </w:rPr>
        <w:t>סז</w:t>
      </w:r>
      <w:r w:rsidR="00AC4CF3">
        <w:rPr>
          <w:rFonts w:hint="cs"/>
          <w:rtl/>
          <w:lang w:bidi="he-IL"/>
        </w:rPr>
        <w:t>]</w:t>
      </w:r>
    </w:p>
  </w:footnote>
  <w:footnote w:id="3">
    <w:p w14:paraId="7EF5B3BF" w14:textId="77777777" w:rsidR="00AA0518" w:rsidRDefault="00000000" w:rsidP="00A77DE9">
      <w:pPr>
        <w:pStyle w:val="FootnoteText"/>
        <w:jc w:val="both"/>
        <w:rPr>
          <w:lang w:bidi="he-IL"/>
        </w:rPr>
      </w:pPr>
      <w:r>
        <w:rPr>
          <w:rStyle w:val="FootnoteCharacters"/>
        </w:rPr>
        <w:footnoteRef/>
      </w:r>
      <w:r>
        <w:rPr>
          <w:rtl/>
          <w:lang w:bidi="he-IL"/>
        </w:rPr>
        <w:tab/>
        <w:t>בעיקר, עולה נקרב לקרבן נדבה. אדם שרוצה להקריב קרבן עולה יאמר על קרבן שלו שהוא קרבן עולה, ויקריב אותו לעולה. יש גם מיני קרבן עולה שחייב אדם להקריב, כמו קרבן תמיד.</w:t>
      </w:r>
    </w:p>
  </w:footnote>
  <w:footnote w:id="4">
    <w:p w14:paraId="32FDB2F4" w14:textId="77777777" w:rsidR="00AA0518" w:rsidRDefault="00000000" w:rsidP="00A77DE9">
      <w:pPr>
        <w:pStyle w:val="FootnoteText"/>
        <w:jc w:val="both"/>
        <w:rPr>
          <w:lang w:bidi="he-IL"/>
        </w:rPr>
      </w:pPr>
      <w:r>
        <w:rPr>
          <w:rStyle w:val="FootnoteCharacters"/>
        </w:rPr>
        <w:footnoteRef/>
      </w:r>
      <w:r>
        <w:rPr>
          <w:rtl/>
          <w:lang w:bidi="he-IL"/>
        </w:rPr>
        <w:tab/>
        <w:t>עולה יכול להיות פר, כבש, ועז. אבל, צריך להיות זכר.</w:t>
      </w:r>
    </w:p>
  </w:footnote>
  <w:footnote w:id="5">
    <w:p w14:paraId="49C70B30" w14:textId="77777777" w:rsidR="00AA0518" w:rsidRDefault="00000000" w:rsidP="00A77DE9">
      <w:pPr>
        <w:pStyle w:val="FootnoteText"/>
        <w:jc w:val="both"/>
        <w:rPr>
          <w:lang w:bidi="he-IL"/>
        </w:rPr>
      </w:pPr>
      <w:r>
        <w:rPr>
          <w:rStyle w:val="FootnoteCharacters"/>
        </w:rPr>
        <w:footnoteRef/>
      </w:r>
      <w:r>
        <w:rPr>
          <w:rtl/>
          <w:lang w:bidi="he-IL"/>
        </w:rPr>
        <w:tab/>
        <w:t xml:space="preserve">גמ’ </w:t>
      </w:r>
      <w:r>
        <w:rPr>
          <w:b/>
          <w:bCs/>
          <w:u w:val="single"/>
          <w:rtl/>
          <w:lang w:bidi="he-IL"/>
        </w:rPr>
        <w:t>(נג:)</w:t>
      </w:r>
      <w:r>
        <w:rPr>
          <w:rtl/>
          <w:lang w:bidi="he-IL"/>
        </w:rPr>
        <w:t xml:space="preserve"> מפרש שמוסיף כאן שהוא קדשי קדשים כיון שלא כתיב בו בפירוש לשון "קדששי קדשים.”</w:t>
      </w:r>
    </w:p>
  </w:footnote>
  <w:footnote w:id="6">
    <w:p w14:paraId="74051464" w14:textId="77777777" w:rsidR="00AA0518" w:rsidRDefault="00000000" w:rsidP="00A77DE9">
      <w:pPr>
        <w:pStyle w:val="FootnoteText"/>
        <w:jc w:val="both"/>
        <w:rPr>
          <w:lang w:bidi="he-IL"/>
        </w:rPr>
      </w:pPr>
      <w:r>
        <w:rPr>
          <w:rStyle w:val="FootnoteCharacters"/>
        </w:rPr>
        <w:footnoteRef/>
      </w:r>
      <w:r>
        <w:rPr>
          <w:rtl/>
          <w:lang w:bidi="he-IL"/>
        </w:rPr>
        <w:tab/>
        <w:t>בכלל זה, יש שני הלכות:</w:t>
      </w:r>
    </w:p>
    <w:p w14:paraId="01EC2603" w14:textId="77777777" w:rsidR="00AA0518" w:rsidRDefault="00000000" w:rsidP="00A77DE9">
      <w:pPr>
        <w:pStyle w:val="FootnoteText"/>
        <w:numPr>
          <w:ilvl w:val="0"/>
          <w:numId w:val="2"/>
        </w:numPr>
        <w:jc w:val="both"/>
      </w:pPr>
      <w:r>
        <w:rPr>
          <w:rtl/>
          <w:lang w:bidi="he-IL"/>
        </w:rPr>
        <w:t xml:space="preserve">שהשחיטה צריכה להיות בצפון העזרה – זה נלמד ממש"כ, “ושחט אותו על ירך המזבח צפונה.” אף שזה רק כתוב בקרבן בן צאן, כיון שפרשת בן צאן בא אחרי פרשת בן בקר, ומתחיל ב"ואם מן הצאן…,” לומדים מתחתון לעליון, לומר שגם קרבן בן בקר נשחט בצפון העזרה. </w:t>
      </w:r>
      <w:r>
        <w:rPr>
          <w:b/>
          <w:bCs/>
          <w:u w:val="single"/>
          <w:rtl/>
          <w:lang w:bidi="he-IL"/>
        </w:rPr>
        <w:t>(מח.)</w:t>
      </w:r>
    </w:p>
    <w:p w14:paraId="5B7AE0EF" w14:textId="77777777" w:rsidR="00AA0518" w:rsidRDefault="00000000" w:rsidP="00A77DE9">
      <w:pPr>
        <w:pStyle w:val="FootnoteText"/>
        <w:numPr>
          <w:ilvl w:val="0"/>
          <w:numId w:val="2"/>
        </w:numPr>
        <w:jc w:val="both"/>
        <w:rPr>
          <w:lang w:bidi="he-IL"/>
        </w:rPr>
      </w:pPr>
      <w:r>
        <w:rPr>
          <w:rtl/>
          <w:lang w:bidi="he-IL"/>
        </w:rPr>
        <w:t xml:space="preserve">שאם השחיטה אינה בצפון, הקרבן פסול. גמרא </w:t>
      </w:r>
      <w:r>
        <w:rPr>
          <w:b/>
          <w:bCs/>
          <w:u w:val="single"/>
          <w:rtl/>
          <w:lang w:bidi="he-IL"/>
        </w:rPr>
        <w:t>(מח:)</w:t>
      </w:r>
      <w:r>
        <w:rPr>
          <w:rtl/>
          <w:lang w:bidi="he-IL"/>
        </w:rPr>
        <w:t xml:space="preserve"> מביא שני מקורות לזה:</w:t>
      </w:r>
    </w:p>
    <w:p w14:paraId="1414123D" w14:textId="481F98EB" w:rsidR="00AA0518" w:rsidRDefault="00000000" w:rsidP="00A77DE9">
      <w:pPr>
        <w:pStyle w:val="FootnoteText"/>
        <w:numPr>
          <w:ilvl w:val="1"/>
          <w:numId w:val="2"/>
        </w:numPr>
        <w:jc w:val="both"/>
        <w:rPr>
          <w:lang w:bidi="he-IL"/>
        </w:rPr>
      </w:pPr>
      <w:r>
        <w:rPr>
          <w:rtl/>
          <w:lang w:bidi="he-IL"/>
        </w:rPr>
        <w:t>לעיל, בארנו שמה שחטאת צ"ל בצפון נלמד מעולה. כיון שנלמד מעולה, לא אפשר שיהיה הדין נוהג בו יותר משנוהג בעולה. כיון שיש לימוד שם (כמו שבארנו שם) לומר שבחטאת שחיטת צפון מעכבת, גם בעולה שחיטת צפון מעכבת. [</w:t>
      </w:r>
      <w:r w:rsidR="00AC4CF3">
        <w:rPr>
          <w:rFonts w:hint="cs"/>
          <w:rtl/>
          <w:lang w:bidi="he-IL"/>
        </w:rPr>
        <w:t>סח]</w:t>
      </w:r>
    </w:p>
    <w:p w14:paraId="610C575E" w14:textId="79DB1100" w:rsidR="00AA0518" w:rsidRDefault="00000000" w:rsidP="00A77DE9">
      <w:pPr>
        <w:pStyle w:val="FootnoteText"/>
        <w:numPr>
          <w:ilvl w:val="1"/>
          <w:numId w:val="2"/>
        </w:numPr>
        <w:jc w:val="both"/>
        <w:rPr>
          <w:color w:val="000000"/>
          <w:lang w:bidi="he-IL"/>
        </w:rPr>
      </w:pPr>
      <w:r>
        <w:rPr>
          <w:color w:val="000000"/>
          <w:rtl/>
          <w:lang w:bidi="he-IL"/>
        </w:rPr>
        <w:t>כתיב, “העולה,” לומר שעולה צריכה להיות כתקנה, עם שחיטתה בצפון. [</w:t>
      </w:r>
      <w:r w:rsidR="00AC4CF3">
        <w:rPr>
          <w:rFonts w:hint="cs"/>
          <w:color w:val="000000"/>
          <w:rtl/>
          <w:lang w:bidi="he-IL"/>
        </w:rPr>
        <w:t>ס</w:t>
      </w:r>
      <w:r>
        <w:rPr>
          <w:color w:val="000000"/>
          <w:rtl/>
          <w:lang w:bidi="he-IL"/>
        </w:rPr>
        <w:t>ט]</w:t>
      </w:r>
    </w:p>
  </w:footnote>
  <w:footnote w:id="7">
    <w:p w14:paraId="3180AD9B" w14:textId="75C52557" w:rsidR="00AA0518" w:rsidRDefault="00000000" w:rsidP="00A77DE9">
      <w:pPr>
        <w:pStyle w:val="FootnoteText"/>
        <w:jc w:val="both"/>
      </w:pPr>
      <w:r>
        <w:rPr>
          <w:rStyle w:val="FootnoteCharacters"/>
        </w:rPr>
        <w:footnoteRef/>
      </w:r>
      <w:r>
        <w:rPr>
          <w:rtl/>
          <w:lang w:bidi="he-IL"/>
        </w:rPr>
        <w:tab/>
        <w:t>קבלת דמה צריכה להיות בצפון, כיון שהוא מין קדשי קדשים.  [</w:t>
      </w:r>
      <w:r w:rsidR="00AC4CF3">
        <w:rPr>
          <w:rFonts w:hint="cs"/>
          <w:rtl/>
          <w:lang w:bidi="he-IL"/>
        </w:rPr>
        <w:t>ע</w:t>
      </w:r>
      <w:r>
        <w:rPr>
          <w:rtl/>
          <w:lang w:bidi="he-IL"/>
        </w:rPr>
        <w:t>]</w:t>
      </w:r>
    </w:p>
  </w:footnote>
  <w:footnote w:id="8">
    <w:p w14:paraId="3090E1D6" w14:textId="77777777" w:rsidR="00AA0518" w:rsidRDefault="00000000" w:rsidP="00A77DE9">
      <w:pPr>
        <w:pStyle w:val="FootnoteText"/>
        <w:jc w:val="both"/>
        <w:rPr>
          <w:lang w:bidi="he-IL"/>
        </w:rPr>
      </w:pPr>
      <w:r>
        <w:rPr>
          <w:rStyle w:val="FootnoteCharacters"/>
        </w:rPr>
        <w:footnoteRef/>
      </w:r>
      <w:r>
        <w:rPr>
          <w:rtl/>
          <w:lang w:bidi="he-IL"/>
        </w:rPr>
        <w:tab/>
        <w:t>זורק את דם העולה על שני קרנות מזבח – קרן מזרחית צפונית, וקרן מערבית דרומית – על ארבע צדדי המזבח. חולקים תנאים ואמוראים בזריקת דם עולה:</w:t>
      </w:r>
    </w:p>
    <w:p w14:paraId="41349001" w14:textId="3A07B563" w:rsidR="00AA0518" w:rsidRDefault="00000000" w:rsidP="00A77DE9">
      <w:pPr>
        <w:pStyle w:val="FootnoteText"/>
        <w:numPr>
          <w:ilvl w:val="0"/>
          <w:numId w:val="3"/>
        </w:numPr>
        <w:jc w:val="both"/>
        <w:rPr>
          <w:lang w:bidi="he-IL"/>
        </w:rPr>
      </w:pPr>
      <w:r>
        <w:rPr>
          <w:rtl/>
          <w:lang w:bidi="he-IL"/>
        </w:rPr>
        <w:t>רב ורבי ישמעאל סוברים שנןתן אותו בארבע מתנות, אחד על כל צד של קרן. דורש שצריכים ארבע מתנות ממש"א לשון "סביב,” כמו בחטאת. [</w:t>
      </w:r>
      <w:r w:rsidR="00AC4CF3">
        <w:rPr>
          <w:rFonts w:hint="cs"/>
          <w:rtl/>
          <w:lang w:bidi="he-IL"/>
        </w:rPr>
        <w:t>עא</w:t>
      </w:r>
      <w:r>
        <w:rPr>
          <w:rtl/>
          <w:lang w:bidi="he-IL"/>
        </w:rPr>
        <w:t>] אבל, אינו ממש כחטאת, ואינו ניתן באצבע, כיון שכ’, “וזרקו.” גם אינו בארבע הקרנות, דלא כחטאת, כיון שצריך יסוד, ואחד מן הקרנות לא היה לה יסוד.</w:t>
      </w:r>
    </w:p>
    <w:p w14:paraId="18855839" w14:textId="77777777" w:rsidR="00AA0518" w:rsidRDefault="00000000" w:rsidP="00A77DE9">
      <w:pPr>
        <w:pStyle w:val="FootnoteText"/>
        <w:numPr>
          <w:ilvl w:val="0"/>
          <w:numId w:val="3"/>
        </w:numPr>
        <w:jc w:val="both"/>
        <w:rPr>
          <w:lang w:bidi="he-IL"/>
        </w:rPr>
      </w:pPr>
      <w:r>
        <w:rPr>
          <w:rtl/>
          <w:lang w:bidi="he-IL"/>
        </w:rPr>
        <w:t>שמואל ות"ק סוברים שנותן אותו בשתי מתנות, ומושך כל מתנה עד שמגיע לשני צדדי הקרן. דורש שצריכים מתנה על ארבע צדדים ממה שכ’, “סביב.” אף שאותו לשון משמע לו שמקיף אותו בדם, זה אי אפשר ע"י זריקה, ואפשר רק בנתינה באצבע, וכיון שכתיב, “וזרקו" יודעים שצריך לזרוק.</w:t>
      </w:r>
    </w:p>
    <w:p w14:paraId="4E963EB9" w14:textId="3AE16C8A" w:rsidR="00AA0518" w:rsidRDefault="00000000" w:rsidP="00A77DE9">
      <w:pPr>
        <w:pStyle w:val="FootnoteText"/>
        <w:jc w:val="both"/>
        <w:rPr>
          <w:lang w:bidi="he-IL"/>
        </w:rPr>
      </w:pPr>
      <w:r>
        <w:rPr>
          <w:rtl/>
          <w:lang w:bidi="he-IL"/>
        </w:rPr>
        <w:tab/>
      </w:r>
      <w:r w:rsidR="00525053">
        <w:rPr>
          <w:rFonts w:hint="cs"/>
          <w:rtl/>
          <w:lang w:bidi="he-IL"/>
        </w:rPr>
        <w:t>[עב]</w:t>
      </w:r>
    </w:p>
    <w:p w14:paraId="74F12C00" w14:textId="77777777" w:rsidR="00AA0518" w:rsidRDefault="00000000" w:rsidP="00A77DE9">
      <w:pPr>
        <w:pStyle w:val="FootnoteText"/>
        <w:jc w:val="both"/>
        <w:rPr>
          <w:lang w:bidi="he-IL"/>
        </w:rPr>
      </w:pPr>
      <w:r>
        <w:rPr>
          <w:rtl/>
          <w:lang w:bidi="he-IL"/>
        </w:rPr>
        <w:tab/>
        <w:t>(ניתן על שני קרנות אלו כדי שינתן על כל ארבע המחיצות בנתינת שני מקומות. וא"ת ל"ל ניתן בשנים קרנות אחרות במקום אלו. י"ל שדורשים (מקל וחומר משיירי חטאת) שדם העולה צ"ל במזבח על היסוד, ולא היה יסוד (או לא היה יסוד ראוי לכך) בקרן מזרחית דרומית).</w:t>
      </w:r>
    </w:p>
  </w:footnote>
  <w:footnote w:id="9">
    <w:p w14:paraId="6331F24F" w14:textId="77777777" w:rsidR="00AA0518" w:rsidRDefault="00000000" w:rsidP="00A77DE9">
      <w:pPr>
        <w:pStyle w:val="FootnoteText"/>
        <w:jc w:val="both"/>
      </w:pPr>
      <w:r>
        <w:rPr>
          <w:rStyle w:val="FootnoteCharacters"/>
        </w:rPr>
        <w:footnoteRef/>
      </w:r>
      <w:r>
        <w:rPr>
          <w:rtl/>
          <w:lang w:bidi="he-IL"/>
        </w:rPr>
        <w:tab/>
        <w:t>יש יוצא אחד לכלל זה, והוא מחלקת.</w:t>
      </w:r>
    </w:p>
    <w:p w14:paraId="0E29B9B6" w14:textId="264D5EBF" w:rsidR="00AA0518" w:rsidRDefault="00000000" w:rsidP="00A77DE9">
      <w:pPr>
        <w:pStyle w:val="FootnoteText"/>
        <w:jc w:val="both"/>
      </w:pPr>
      <w:r>
        <w:rPr>
          <w:rtl/>
          <w:lang w:bidi="he-IL"/>
        </w:rPr>
        <w:tab/>
        <w:t>בקרבן תמיד חולקים תנאים איך זורק את הדם. ת"ק סובר שהוא כשאר עולות, שבארנו את דיניהם לעיל. אבל, ר"ש איש המצפה סובר שבקרן מזרחית צפונית נותן כמו גאם, ובקרן מערבית דרומית נותן בצד מערבי ושוב בצד דרומי. דורש כן ממש"כ, “ושעיר עזים אחד לחטאת לה’ על עולת התמיד יעשב.” דורשים מזה שניתן תורת חטאת על עולת התמיד, לתת אותו במתנות חלוקות. לא נותנים שש (שנים שהם ארבע (כעולה), וארבע (כחטאת), שלא מצאנו קרבן שצריך שני מיני כפרה. לא נותנים מתנות הדומות לחטאת למעלה, שלא מצאנו דמים שמקצתם למעלה ומקצתם למטה. [</w:t>
      </w:r>
      <w:r w:rsidR="007B6F4A">
        <w:rPr>
          <w:rFonts w:hint="cs"/>
          <w:rtl/>
          <w:lang w:bidi="he-IL"/>
        </w:rPr>
        <w:t>עג]</w:t>
      </w:r>
    </w:p>
  </w:footnote>
  <w:footnote w:id="10">
    <w:p w14:paraId="71C63C01" w14:textId="3A3535BC" w:rsidR="00AA0518" w:rsidRDefault="00000000" w:rsidP="00A77DE9">
      <w:pPr>
        <w:pStyle w:val="FootnoteText"/>
        <w:jc w:val="both"/>
        <w:rPr>
          <w:lang w:bidi="he-IL"/>
        </w:rPr>
      </w:pPr>
      <w:r>
        <w:rPr>
          <w:rStyle w:val="FootnoteCharacters"/>
        </w:rPr>
        <w:footnoteRef/>
      </w:r>
      <w:r>
        <w:rPr>
          <w:rtl/>
          <w:lang w:bidi="he-IL"/>
        </w:rPr>
        <w:tab/>
        <w:t xml:space="preserve">בכל דמים שצריכים לינתן בזריקה, חולקים תנאים אם מהני כשנתן אותם בשפיכה (כיון שכ’, “דם זבחיך ישפך") או שלא מהני (שדורשים דרשה אחרת מן הפסוק). </w:t>
      </w:r>
      <w:r>
        <w:rPr>
          <w:b/>
          <w:bCs/>
          <w:u w:val="single"/>
          <w:rtl/>
          <w:lang w:bidi="he-IL"/>
        </w:rPr>
        <w:t>(לז.)</w:t>
      </w:r>
      <w:r>
        <w:rPr>
          <w:rtl/>
          <w:lang w:bidi="he-IL"/>
        </w:rPr>
        <w:t xml:space="preserve"> </w:t>
      </w:r>
      <w:r w:rsidR="00B468AF">
        <w:rPr>
          <w:rFonts w:hint="cs"/>
          <w:rtl/>
          <w:lang w:bidi="he-IL"/>
        </w:rPr>
        <w:t>[עד]</w:t>
      </w:r>
    </w:p>
  </w:footnote>
  <w:footnote w:id="11">
    <w:p w14:paraId="5CF8D7BD" w14:textId="77777777" w:rsidR="00AA0518" w:rsidRDefault="00000000" w:rsidP="00A77DE9">
      <w:pPr>
        <w:pStyle w:val="FootnoteText"/>
        <w:jc w:val="both"/>
        <w:rPr>
          <w:lang w:bidi="he-IL"/>
        </w:rPr>
      </w:pPr>
      <w:r>
        <w:rPr>
          <w:rStyle w:val="FootnoteCharacters"/>
        </w:rPr>
        <w:footnoteRef/>
      </w:r>
      <w:r>
        <w:rPr>
          <w:rtl/>
          <w:lang w:bidi="he-IL"/>
        </w:rPr>
        <w:tab/>
        <w:t>כתוב: “והפשיט את העולה."</w:t>
      </w:r>
    </w:p>
  </w:footnote>
  <w:footnote w:id="12">
    <w:p w14:paraId="517964B8" w14:textId="77777777" w:rsidR="00AA0518" w:rsidRDefault="00000000" w:rsidP="00A77DE9">
      <w:pPr>
        <w:pStyle w:val="FootnoteText"/>
        <w:jc w:val="both"/>
        <w:rPr>
          <w:lang w:bidi="he-IL"/>
        </w:rPr>
      </w:pPr>
      <w:r>
        <w:rPr>
          <w:rStyle w:val="FootnoteCharacters"/>
        </w:rPr>
        <w:footnoteRef/>
      </w:r>
      <w:r>
        <w:rPr>
          <w:rtl/>
          <w:lang w:bidi="he-IL"/>
        </w:rPr>
        <w:tab/>
        <w:t>כתוב: “ונתח אותה לנתחיה.”</w:t>
      </w:r>
    </w:p>
  </w:footnote>
  <w:footnote w:id="13">
    <w:p w14:paraId="3919D8BC" w14:textId="77777777" w:rsidR="00AA0518" w:rsidRDefault="00000000" w:rsidP="00A77DE9">
      <w:pPr>
        <w:pStyle w:val="FootnoteText"/>
        <w:jc w:val="both"/>
        <w:rPr>
          <w:lang w:bidi="he-IL"/>
        </w:rPr>
      </w:pPr>
      <w:r>
        <w:rPr>
          <w:rStyle w:val="FootnoteCharacters"/>
        </w:rPr>
        <w:footnoteRef/>
      </w:r>
      <w:r>
        <w:rPr>
          <w:rtl/>
          <w:lang w:bidi="he-IL"/>
        </w:rPr>
        <w:tab/>
        <w:t>כתוב: “וערכו את הנתחים את הראש ואת הפדר… על המזבח."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864"/>
    <w:multiLevelType w:val="multilevel"/>
    <w:tmpl w:val="BCE40A1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20BA2F65"/>
    <w:multiLevelType w:val="multilevel"/>
    <w:tmpl w:val="078CE9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7955027B"/>
    <w:multiLevelType w:val="multilevel"/>
    <w:tmpl w:val="CE1E06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02237052">
    <w:abstractNumId w:val="2"/>
  </w:num>
  <w:num w:numId="2" w16cid:durableId="1476995953">
    <w:abstractNumId w:val="1"/>
  </w:num>
  <w:num w:numId="3" w16cid:durableId="19235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A0518"/>
    <w:rsid w:val="00052893"/>
    <w:rsid w:val="00175613"/>
    <w:rsid w:val="00504290"/>
    <w:rsid w:val="00525053"/>
    <w:rsid w:val="00635A0E"/>
    <w:rsid w:val="006B5A1E"/>
    <w:rsid w:val="007B6F4A"/>
    <w:rsid w:val="00925896"/>
    <w:rsid w:val="00A017BD"/>
    <w:rsid w:val="00A22CCF"/>
    <w:rsid w:val="00A77DE9"/>
    <w:rsid w:val="00AA0518"/>
    <w:rsid w:val="00AC4CF3"/>
    <w:rsid w:val="00AE3577"/>
    <w:rsid w:val="00B468AF"/>
    <w:rsid w:val="00E62435"/>
    <w:rsid w:val="00EF77C4"/>
    <w:rsid w:val="00F00B23"/>
    <w:rsid w:val="00FB7F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481B"/>
  <w15:docId w15:val="{F0CA1A06-C0F8-4E02-975A-1323FFD9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290"/>
    <w:pPr>
      <w:bidi/>
      <w:spacing w:before="120" w:after="120" w:line="276" w:lineRule="auto"/>
    </w:pPr>
  </w:style>
  <w:style w:type="paragraph" w:styleId="Heading2">
    <w:name w:val="heading 2"/>
    <w:basedOn w:val="Normal"/>
    <w:next w:val="Normal"/>
    <w:uiPriority w:val="9"/>
    <w:unhideWhenUsed/>
    <w:qFormat/>
    <w:rsid w:val="00175613"/>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504290"/>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Words>
  <Characters>193</Characters>
  <Application>Microsoft Office Word</Application>
  <DocSecurity>0</DocSecurity>
  <Lines>1</Lines>
  <Paragraphs>1</Paragraphs>
  <ScaleCrop>false</ScaleCrop>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10</cp:revision>
  <dcterms:created xsi:type="dcterms:W3CDTF">2025-11-06T17:13:00Z</dcterms:created>
  <dcterms:modified xsi:type="dcterms:W3CDTF">2025-11-10T18:34:00Z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2025-11-04T12:10:57Z</dcterms:created>
  <dc:creator/>
  <dc:description/>
  <dc:language>en-US</dc:language>
  <cp:lastModifiedBy/>
  <dcterms:modified xsi:type="dcterms:W3CDTF">2025-11-04T12:21:30Z</dcterms:modified>
  <cp:revision>2</cp:revision>
  <dc:subject/>
  <dc:title/>
</cp:coreProperties>
</file>