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C010" w14:textId="77777777" w:rsidR="00EE21F9" w:rsidRDefault="00000000" w:rsidP="00E565F8">
      <w:pPr>
        <w:pStyle w:val="Heading2"/>
        <w:jc w:val="both"/>
        <w:rPr>
          <w:rFonts w:cs="David"/>
        </w:rPr>
      </w:pPr>
      <w:r>
        <w:rPr>
          <w:rFonts w:ascii="David" w:hAnsi="David" w:cs="David"/>
          <w:rtl/>
        </w:rPr>
        <w:t>משנה ה.</w:t>
      </w:r>
      <w:r>
        <w:rPr>
          <w:rStyle w:val="FootnoteReference"/>
          <w:rFonts w:ascii="David" w:hAnsi="David" w:cs="David"/>
          <w:rtl/>
        </w:rPr>
        <w:footnoteReference w:id="1"/>
      </w:r>
    </w:p>
    <w:p w14:paraId="1B18FE28" w14:textId="497F3E35" w:rsidR="00EE21F9" w:rsidRDefault="00000000" w:rsidP="00E565F8">
      <w:pPr>
        <w:jc w:val="both"/>
        <w:rPr>
          <w:rFonts w:cs="David"/>
        </w:rPr>
      </w:pPr>
      <w:r>
        <w:rPr>
          <w:rStyle w:val="FootnoteReference"/>
          <w:rFonts w:ascii="David" w:hAnsi="David" w:cs="David"/>
          <w:rtl/>
        </w:rPr>
        <w:footnoteReference w:id="2"/>
      </w:r>
      <w:r>
        <w:rPr>
          <w:rFonts w:ascii="David" w:hAnsi="David" w:cs="David"/>
          <w:rtl/>
        </w:rPr>
        <w:t>זִבְחֵי שַׁלְמֵי צִבּוּר</w:t>
      </w:r>
      <w:r>
        <w:rPr>
          <w:rStyle w:val="FootnoteReference"/>
          <w:rFonts w:ascii="David" w:hAnsi="David" w:cs="David"/>
          <w:rtl/>
        </w:rPr>
        <w:footnoteReference w:id="3"/>
      </w:r>
      <w:r w:rsidR="00465139">
        <w:rPr>
          <w:rFonts w:ascii="David" w:hAnsi="David" w:cs="David" w:hint="cs"/>
          <w:rtl/>
          <w:lang w:bidi="he-IL"/>
        </w:rPr>
        <w:t xml:space="preserve"> </w:t>
      </w:r>
      <w:r>
        <w:rPr>
          <w:rFonts w:ascii="David" w:hAnsi="David" w:cs="David"/>
          <w:rtl/>
          <w:lang w:bidi="he-IL"/>
        </w:rPr>
        <w:t>[</w:t>
      </w:r>
      <w:r w:rsidR="00C22E11">
        <w:rPr>
          <w:rFonts w:ascii="David" w:hAnsi="David" w:cs="David" w:hint="cs"/>
          <w:rtl/>
          <w:lang w:bidi="he-IL"/>
        </w:rPr>
        <w:t>עה</w:t>
      </w:r>
      <w:r>
        <w:rPr>
          <w:rFonts w:ascii="David" w:hAnsi="David" w:cs="David"/>
          <w:rtl/>
          <w:lang w:bidi="he-IL"/>
        </w:rPr>
        <w:t xml:space="preserve">] </w:t>
      </w:r>
      <w:r>
        <w:rPr>
          <w:rFonts w:ascii="David" w:hAnsi="David" w:cs="David"/>
          <w:rtl/>
        </w:rPr>
        <w:t xml:space="preserve">וַאֲשָׁמוֹת </w:t>
      </w:r>
      <w:r>
        <w:rPr>
          <w:rFonts w:ascii="David" w:hAnsi="David" w:cs="David"/>
          <w:rtl/>
          <w:lang w:bidi="he-IL"/>
        </w:rPr>
        <w:t>[</w:t>
      </w:r>
      <w:r w:rsidR="00B41AA2">
        <w:rPr>
          <w:rFonts w:ascii="David" w:hAnsi="David" w:cs="David" w:hint="cs"/>
          <w:rtl/>
          <w:lang w:bidi="he-IL"/>
        </w:rPr>
        <w:t>עו</w:t>
      </w:r>
      <w:r>
        <w:rPr>
          <w:rFonts w:ascii="David" w:hAnsi="David" w:cs="David"/>
          <w:rtl/>
          <w:lang w:bidi="he-IL"/>
        </w:rPr>
        <w:t>]</w:t>
      </w:r>
      <w:r>
        <w:rPr>
          <w:rFonts w:ascii="David" w:hAnsi="David" w:cs="David"/>
          <w:rtl/>
        </w:rPr>
        <w:t>. אֵלּוּ הֵן אֲשָׁמוֹת</w:t>
      </w:r>
      <w:r>
        <w:rPr>
          <w:rStyle w:val="FootnoteReference"/>
          <w:rFonts w:ascii="David" w:hAnsi="David" w:cs="David"/>
          <w:rtl/>
        </w:rPr>
        <w:footnoteReference w:id="4"/>
      </w:r>
      <w:r>
        <w:rPr>
          <w:rStyle w:val="FootnoteReference"/>
          <w:rFonts w:ascii="David" w:hAnsi="David" w:cs="David"/>
          <w:rtl/>
        </w:rPr>
        <w:footnoteReference w:id="5"/>
      </w:r>
      <w:r>
        <w:rPr>
          <w:rFonts w:ascii="David" w:hAnsi="David" w:cs="David"/>
          <w:rtl/>
        </w:rPr>
        <w:t>, אֲשַׁם גְּזֵלוֹת</w:t>
      </w:r>
      <w:r>
        <w:rPr>
          <w:rStyle w:val="FootnoteReference"/>
          <w:rFonts w:ascii="David" w:hAnsi="David" w:cs="David"/>
          <w:rtl/>
        </w:rPr>
        <w:footnoteReference w:id="6"/>
      </w:r>
      <w:r>
        <w:rPr>
          <w:rFonts w:ascii="David" w:hAnsi="David" w:cs="David"/>
          <w:rtl/>
        </w:rPr>
        <w:t>, אֲשַׁם מְעִילוֹת</w:t>
      </w:r>
      <w:r>
        <w:rPr>
          <w:rStyle w:val="FootnoteReference"/>
          <w:rFonts w:ascii="David" w:hAnsi="David" w:cs="David"/>
          <w:rtl/>
        </w:rPr>
        <w:footnoteReference w:id="7"/>
      </w:r>
      <w:r>
        <w:rPr>
          <w:rFonts w:ascii="David" w:hAnsi="David" w:cs="David"/>
          <w:rtl/>
        </w:rPr>
        <w:t>, אֲשַׁם שִׁפְחָה חֲרוּפָה</w:t>
      </w:r>
      <w:r>
        <w:rPr>
          <w:rStyle w:val="FootnoteReference"/>
          <w:rFonts w:ascii="David" w:hAnsi="David" w:cs="David"/>
          <w:rtl/>
        </w:rPr>
        <w:footnoteReference w:id="8"/>
      </w:r>
      <w:r>
        <w:rPr>
          <w:rFonts w:ascii="David" w:hAnsi="David" w:cs="David"/>
          <w:rtl/>
        </w:rPr>
        <w:t>, אֲשַׁם נָזִיר</w:t>
      </w:r>
      <w:r>
        <w:rPr>
          <w:rStyle w:val="FootnoteReference"/>
          <w:rFonts w:ascii="David" w:hAnsi="David" w:cs="David"/>
          <w:rtl/>
        </w:rPr>
        <w:footnoteReference w:id="9"/>
      </w:r>
      <w:r>
        <w:rPr>
          <w:rFonts w:ascii="David" w:hAnsi="David" w:cs="David"/>
          <w:rtl/>
        </w:rPr>
        <w:t>, אֲשַׁם מְצֹרָע</w:t>
      </w:r>
      <w:r>
        <w:rPr>
          <w:rStyle w:val="FootnoteReference"/>
          <w:rFonts w:ascii="David" w:hAnsi="David" w:cs="David"/>
          <w:rtl/>
        </w:rPr>
        <w:footnoteReference w:id="10"/>
      </w:r>
      <w:r>
        <w:rPr>
          <w:rFonts w:ascii="David" w:hAnsi="David" w:cs="David"/>
          <w:rtl/>
        </w:rPr>
        <w:t xml:space="preserve">, אָשָׁם </w:t>
      </w:r>
      <w:r>
        <w:rPr>
          <w:rFonts w:ascii="David" w:hAnsi="David" w:cs="David"/>
          <w:rtl/>
        </w:rPr>
        <w:lastRenderedPageBreak/>
        <w:t>תָּלוּי</w:t>
      </w:r>
      <w:r>
        <w:rPr>
          <w:rStyle w:val="FootnoteReference"/>
          <w:rFonts w:ascii="David" w:hAnsi="David" w:cs="David"/>
          <w:rtl/>
        </w:rPr>
        <w:footnoteReference w:id="11"/>
      </w:r>
      <w:r>
        <w:rPr>
          <w:rFonts w:ascii="David" w:hAnsi="David" w:cs="David"/>
          <w:rtl/>
        </w:rPr>
        <w:t>, שְׁחִיטָתָן בַּצָּפוֹן</w:t>
      </w:r>
      <w:r>
        <w:rPr>
          <w:rStyle w:val="FootnoteReference"/>
          <w:rFonts w:ascii="David" w:hAnsi="David" w:cs="David"/>
          <w:rtl/>
        </w:rPr>
        <w:footnoteReference w:id="12"/>
      </w:r>
      <w:r>
        <w:rPr>
          <w:rFonts w:ascii="David" w:hAnsi="David" w:cs="David"/>
          <w:rtl/>
        </w:rPr>
        <w:t>, וְקִבּוּל דָּמָן בִּכְלִי שָׁרֵת בַּצָּפוֹן</w:t>
      </w:r>
      <w:r>
        <w:rPr>
          <w:rStyle w:val="FootnoteReference"/>
          <w:rFonts w:ascii="David" w:hAnsi="David" w:cs="David"/>
          <w:rtl/>
        </w:rPr>
        <w:footnoteReference w:id="13"/>
      </w:r>
      <w:r>
        <w:rPr>
          <w:rFonts w:ascii="David" w:hAnsi="David" w:cs="David"/>
          <w:rtl/>
        </w:rPr>
        <w:t>, וְדָמָן טָעוּן שְׁתֵּי מַתָּנוֹת שֶׁהֵן אַרְבַּע</w:t>
      </w:r>
      <w:r>
        <w:rPr>
          <w:rStyle w:val="FootnoteReference"/>
          <w:rFonts w:ascii="David" w:hAnsi="David" w:cs="David"/>
          <w:rtl/>
        </w:rPr>
        <w:footnoteReference w:id="14"/>
      </w:r>
      <w:r>
        <w:rPr>
          <w:rFonts w:ascii="David" w:hAnsi="David" w:cs="David"/>
          <w:rtl/>
        </w:rPr>
        <w:t>, וְנֶאֱכָלִין לִפְנִים מִן הַקְּלָעִים</w:t>
      </w:r>
      <w:r>
        <w:rPr>
          <w:rStyle w:val="FootnoteReference"/>
          <w:rFonts w:ascii="David" w:hAnsi="David" w:cs="David"/>
          <w:rtl/>
        </w:rPr>
        <w:footnoteReference w:id="15"/>
      </w:r>
      <w:r>
        <w:rPr>
          <w:rFonts w:ascii="David" w:hAnsi="David" w:cs="David"/>
          <w:rtl/>
        </w:rPr>
        <w:t xml:space="preserve"> לְזִכְרֵי כְהֻנָּה</w:t>
      </w:r>
      <w:r>
        <w:rPr>
          <w:rStyle w:val="FootnoteReference"/>
          <w:rFonts w:ascii="David" w:hAnsi="David" w:cs="David"/>
          <w:rtl/>
        </w:rPr>
        <w:footnoteReference w:id="16"/>
      </w:r>
      <w:r>
        <w:rPr>
          <w:rFonts w:ascii="David" w:hAnsi="David" w:cs="David"/>
          <w:rtl/>
        </w:rPr>
        <w:t xml:space="preserve"> בְּכָל מַאֲכָל לְיוֹם וָלַיְלָה</w:t>
      </w:r>
      <w:r>
        <w:rPr>
          <w:rStyle w:val="FootnoteReference"/>
          <w:rFonts w:ascii="David" w:hAnsi="David" w:cs="David"/>
          <w:rtl/>
        </w:rPr>
        <w:footnoteReference w:id="17"/>
      </w:r>
      <w:r>
        <w:rPr>
          <w:rFonts w:ascii="David" w:hAnsi="David" w:cs="David"/>
          <w:rtl/>
        </w:rPr>
        <w:t xml:space="preserve"> עַד חֲצוֹת: </w:t>
      </w:r>
    </w:p>
    <w:sectPr w:rsidR="00EE21F9" w:rsidSect="00E565F8">
      <w:pgSz w:w="7200" w:h="11520"/>
      <w:pgMar w:top="720" w:right="720" w:bottom="720" w:left="720" w:header="0" w:footer="0" w:gutter="0"/>
      <w:cols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85F3C" w14:textId="77777777" w:rsidR="00642BD8" w:rsidRDefault="00642BD8">
      <w:r>
        <w:separator/>
      </w:r>
    </w:p>
  </w:endnote>
  <w:endnote w:type="continuationSeparator" w:id="0">
    <w:p w14:paraId="17C4EFCC" w14:textId="77777777" w:rsidR="00642BD8" w:rsidRDefault="0064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29A9" w14:textId="77777777" w:rsidR="00642BD8" w:rsidRDefault="00642BD8">
      <w:r>
        <w:separator/>
      </w:r>
    </w:p>
  </w:footnote>
  <w:footnote w:type="continuationSeparator" w:id="0">
    <w:p w14:paraId="11D8D2B1" w14:textId="77777777" w:rsidR="00642BD8" w:rsidRDefault="00642BD8">
      <w:r>
        <w:continuationSeparator/>
      </w:r>
    </w:p>
  </w:footnote>
  <w:footnote w:id="1">
    <w:p w14:paraId="2E2BCB09" w14:textId="77777777" w:rsidR="00EE21F9" w:rsidRDefault="00000000" w:rsidP="00E565F8">
      <w:pPr>
        <w:pStyle w:val="FootnoteText"/>
        <w:jc w:val="both"/>
        <w:rPr>
          <w:b/>
          <w:bCs/>
          <w:lang w:bidi="he-IL"/>
        </w:rPr>
      </w:pPr>
      <w:r>
        <w:rPr>
          <w:rStyle w:val="FootnoteCharacters"/>
        </w:rPr>
        <w:footnoteRef/>
      </w:r>
      <w:r>
        <w:rPr>
          <w:b/>
          <w:bCs/>
          <w:rtl/>
          <w:lang w:bidi="he-IL"/>
        </w:rPr>
        <w:tab/>
        <w:t>משנה ה.</w:t>
      </w:r>
    </w:p>
  </w:footnote>
  <w:footnote w:id="2">
    <w:p w14:paraId="6118D9E8"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לכאו’, </w:t>
      </w:r>
      <w:r>
        <w:rPr>
          <w:rtl/>
          <w:lang w:bidi="he-IL"/>
        </w:rPr>
        <w:t>ממשיך מחטאת ועולה, שהם קדשי קדשים, לשלמי ציבור ואשם, שהם קדשי קדשים.</w:t>
      </w:r>
    </w:p>
  </w:footnote>
  <w:footnote w:id="3">
    <w:p w14:paraId="116C779E"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הם </w:t>
      </w:r>
      <w:r>
        <w:rPr>
          <w:rtl/>
          <w:lang w:bidi="he-IL"/>
        </w:rPr>
        <w:t>שלמים שמקריבים בשבועות עם קרבן העומר. הם כבשים זכרים.</w:t>
      </w:r>
    </w:p>
  </w:footnote>
  <w:footnote w:id="4">
    <w:p w14:paraId="0935B62D"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כמו </w:t>
      </w:r>
      <w:r>
        <w:rPr>
          <w:rtl/>
          <w:lang w:bidi="he-IL"/>
        </w:rPr>
        <w:t>שיבאר המשנה, יש שש מיני אשם. יש חמש אשמות שבאים על הוודאי:</w:t>
      </w:r>
    </w:p>
    <w:p w14:paraId="6C9AA4A7" w14:textId="77777777" w:rsidR="00EE21F9" w:rsidRDefault="00000000" w:rsidP="00E565F8">
      <w:pPr>
        <w:pStyle w:val="FootnoteText"/>
        <w:numPr>
          <w:ilvl w:val="0"/>
          <w:numId w:val="2"/>
        </w:numPr>
        <w:jc w:val="both"/>
        <w:rPr>
          <w:lang w:bidi="he-IL"/>
        </w:rPr>
      </w:pPr>
      <w:r>
        <w:rPr>
          <w:rtl/>
          <w:lang w:bidi="he-IL"/>
        </w:rPr>
        <w:t>אשם גזלות.</w:t>
      </w:r>
    </w:p>
    <w:p w14:paraId="03AB7F60" w14:textId="77777777" w:rsidR="00EE21F9" w:rsidRDefault="00000000" w:rsidP="00E565F8">
      <w:pPr>
        <w:pStyle w:val="FootnoteText"/>
        <w:numPr>
          <w:ilvl w:val="0"/>
          <w:numId w:val="2"/>
        </w:numPr>
        <w:jc w:val="both"/>
        <w:rPr>
          <w:lang w:bidi="he-IL"/>
        </w:rPr>
      </w:pPr>
      <w:r>
        <w:rPr>
          <w:rtl/>
          <w:lang w:bidi="he-IL"/>
        </w:rPr>
        <w:t>אשם מעילות.</w:t>
      </w:r>
    </w:p>
    <w:p w14:paraId="65423E25" w14:textId="77777777" w:rsidR="00EE21F9" w:rsidRDefault="00000000" w:rsidP="00E565F8">
      <w:pPr>
        <w:pStyle w:val="FootnoteText"/>
        <w:numPr>
          <w:ilvl w:val="0"/>
          <w:numId w:val="2"/>
        </w:numPr>
        <w:jc w:val="both"/>
        <w:rPr>
          <w:lang w:bidi="he-IL"/>
        </w:rPr>
      </w:pPr>
      <w:r>
        <w:rPr>
          <w:rtl/>
          <w:lang w:bidi="he-IL"/>
        </w:rPr>
        <w:t>אשם שפחה חרופה.</w:t>
      </w:r>
    </w:p>
    <w:p w14:paraId="3956FB17" w14:textId="77777777" w:rsidR="00EE21F9" w:rsidRDefault="00000000" w:rsidP="00E565F8">
      <w:pPr>
        <w:pStyle w:val="FootnoteText"/>
        <w:numPr>
          <w:ilvl w:val="0"/>
          <w:numId w:val="2"/>
        </w:numPr>
        <w:jc w:val="both"/>
        <w:rPr>
          <w:lang w:bidi="he-IL"/>
        </w:rPr>
      </w:pPr>
      <w:r>
        <w:rPr>
          <w:rtl/>
          <w:lang w:bidi="he-IL"/>
        </w:rPr>
        <w:t>אשם נזיר.</w:t>
      </w:r>
    </w:p>
    <w:p w14:paraId="58EB7F8A" w14:textId="77777777" w:rsidR="00EE21F9" w:rsidRDefault="00000000" w:rsidP="00E565F8">
      <w:pPr>
        <w:pStyle w:val="FootnoteText"/>
        <w:numPr>
          <w:ilvl w:val="0"/>
          <w:numId w:val="2"/>
        </w:numPr>
        <w:jc w:val="both"/>
        <w:rPr>
          <w:lang w:bidi="he-IL"/>
        </w:rPr>
      </w:pPr>
      <w:r>
        <w:rPr>
          <w:rtl/>
          <w:lang w:bidi="he-IL"/>
        </w:rPr>
        <w:t>אשם מצורע.</w:t>
      </w:r>
    </w:p>
    <w:p w14:paraId="5D88B755" w14:textId="77777777" w:rsidR="00EE21F9" w:rsidRDefault="00000000" w:rsidP="00E565F8">
      <w:pPr>
        <w:pStyle w:val="FootnoteText"/>
        <w:jc w:val="both"/>
        <w:rPr>
          <w:lang w:bidi="he-IL"/>
        </w:rPr>
      </w:pPr>
      <w:r>
        <w:rPr>
          <w:rtl/>
          <w:lang w:bidi="he-IL"/>
        </w:rPr>
        <w:tab/>
        <w:t>יש עוד מין אשם, והוא אשם תלוי, והוא בא על ספק חטא, כמו שנבאר.</w:t>
      </w:r>
    </w:p>
  </w:footnote>
  <w:footnote w:id="5">
    <w:p w14:paraId="60EE2ECA"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כל </w:t>
      </w:r>
      <w:r>
        <w:rPr>
          <w:rtl/>
          <w:lang w:bidi="he-IL"/>
        </w:rPr>
        <w:t>אשמות צריכות להיות אילים (איל הוא כבש זכר בן שנתים), חוץ מאשם נזיר, שצריך להיות כבש זכר בן שנה.</w:t>
      </w:r>
    </w:p>
  </w:footnote>
  <w:footnote w:id="6">
    <w:p w14:paraId="2C85DF57"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זה </w:t>
      </w:r>
      <w:r>
        <w:rPr>
          <w:rtl/>
          <w:lang w:bidi="he-IL"/>
        </w:rPr>
        <w:t>קרבן שאדם חייב להקריב אם גזל, כפר בשבועה, והודה.</w:t>
      </w:r>
    </w:p>
  </w:footnote>
  <w:footnote w:id="7">
    <w:p w14:paraId="26D5CBEC"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זה </w:t>
      </w:r>
      <w:r>
        <w:rPr>
          <w:rtl/>
          <w:lang w:bidi="he-IL"/>
        </w:rPr>
        <w:t>קרבן שאדם חייב להקריב אם מעל בשוגג. מעילה הוא כל זמן שאדם נהנה שו"פ (לפעמים, גם צריך לחסר שו"פ מהקדש) מחפץ של הקדש.</w:t>
      </w:r>
    </w:p>
  </w:footnote>
  <w:footnote w:id="8">
    <w:p w14:paraId="72FCE2DD"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זה </w:t>
      </w:r>
      <w:r>
        <w:rPr>
          <w:rtl/>
          <w:lang w:bidi="he-IL"/>
        </w:rPr>
        <w:t>קרבן שאדם חייב להקריב אם בא – בין במזיד בין בשוגג – על שפחה חרופה המקודשת לעבד עברי. חולקים אם שפחה חרופה היא חצי שפחה כנענית חצי בת חורין או שפחה כנענית. (רק האיש חייב בקרבן זו, ושפחה החרופה לא חייבת בו.)</w:t>
      </w:r>
    </w:p>
  </w:footnote>
  <w:footnote w:id="9">
    <w:p w14:paraId="6A983916"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זה </w:t>
      </w:r>
      <w:r>
        <w:rPr>
          <w:rtl/>
          <w:lang w:bidi="he-IL"/>
        </w:rPr>
        <w:t>קרבן שנזיר מביא כשמטהר מטומאתו, ומתחיל את נזירותו עוד.</w:t>
      </w:r>
    </w:p>
  </w:footnote>
  <w:footnote w:id="10">
    <w:p w14:paraId="6CD2E41F"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גמרא </w:t>
      </w:r>
      <w:r>
        <w:rPr>
          <w:b/>
          <w:bCs/>
          <w:u w:val="single"/>
          <w:rtl/>
          <w:lang w:bidi="he-IL"/>
        </w:rPr>
        <w:t>(מז:)</w:t>
      </w:r>
      <w:r>
        <w:rPr>
          <w:rtl/>
          <w:lang w:bidi="he-IL"/>
        </w:rPr>
        <w:t xml:space="preserve"> מבאר שלא כל הדברים הנמנים במשנה נוהגים בכל חלקי עבודת אשם מצורע. באשם מצורע, יש שתי קבלות דם:</w:t>
      </w:r>
    </w:p>
    <w:p w14:paraId="71865F03" w14:textId="77777777" w:rsidR="00EE21F9" w:rsidRDefault="00000000" w:rsidP="00E565F8">
      <w:pPr>
        <w:pStyle w:val="FootnoteText"/>
        <w:numPr>
          <w:ilvl w:val="0"/>
          <w:numId w:val="3"/>
        </w:numPr>
        <w:jc w:val="both"/>
        <w:rPr>
          <w:lang w:bidi="he-IL"/>
        </w:rPr>
      </w:pPr>
      <w:r>
        <w:rPr>
          <w:rtl/>
          <w:lang w:bidi="he-IL"/>
        </w:rPr>
        <w:t>הראשונה היא קבלה בכלי, שכ’, “כי כחטאת האשם,” שמלמד שצריכה קבלה בכלי, כמו שחטאת צריכה. כמו בחטאת, מקבלה זו זורקים על המזבח.</w:t>
      </w:r>
    </w:p>
    <w:p w14:paraId="4AF7E9B4" w14:textId="4133C893" w:rsidR="00EE21F9" w:rsidRDefault="00000000" w:rsidP="00E565F8">
      <w:pPr>
        <w:pStyle w:val="FootnoteText"/>
        <w:numPr>
          <w:ilvl w:val="0"/>
          <w:numId w:val="3"/>
        </w:numPr>
        <w:jc w:val="both"/>
        <w:rPr>
          <w:lang w:bidi="he-IL"/>
        </w:rPr>
      </w:pPr>
      <w:r>
        <w:rPr>
          <w:rtl/>
          <w:lang w:bidi="he-IL"/>
        </w:rPr>
        <w:t>השנית היא קבלה ביד, שכ’, “ולקח,” שהוא קבלת הדם, קרוב ל"ונתן,” שהוא נתינת הדם על המצורע. כיון שהם קרובים [</w:t>
      </w:r>
      <w:r w:rsidR="00465139">
        <w:rPr>
          <w:rFonts w:hint="cs"/>
          <w:rtl/>
          <w:lang w:bidi="he-IL"/>
        </w:rPr>
        <w:t>עז</w:t>
      </w:r>
      <w:r>
        <w:rPr>
          <w:rtl/>
          <w:lang w:bidi="he-IL"/>
        </w:rPr>
        <w:t>]</w:t>
      </w:r>
      <w:r>
        <w:rPr>
          <w:color w:val="000000"/>
          <w:rtl/>
          <w:lang w:bidi="he-IL"/>
        </w:rPr>
        <w:t>, דורשים היקש בין נתינת הדם על המצורע לקבלת הדם לצורך הנתינה. נתינת הדם צריך להיות ע"י גופו של הכהן (רש"י מפרש שזה נלמד [</w:t>
      </w:r>
      <w:r w:rsidR="00465139">
        <w:rPr>
          <w:rFonts w:hint="cs"/>
          <w:color w:val="000000"/>
          <w:rtl/>
          <w:lang w:bidi="he-IL"/>
        </w:rPr>
        <w:t>עח</w:t>
      </w:r>
      <w:r>
        <w:rPr>
          <w:color w:val="000000"/>
          <w:rtl/>
          <w:lang w:bidi="he-IL"/>
        </w:rPr>
        <w:t>] מנתינת שמן; שם, צ"ל ע"י גוף הכהן כיון שכ’, “אצבע"), ואז לומדים שגם קבלת הדם לאותו צורך צ"ל ע"י גוף הכהן.</w:t>
      </w:r>
    </w:p>
    <w:p w14:paraId="23CD82B9" w14:textId="1E4BC99A" w:rsidR="00EE21F9" w:rsidRDefault="00000000" w:rsidP="00E565F8">
      <w:pPr>
        <w:pStyle w:val="FootnoteText"/>
        <w:jc w:val="both"/>
        <w:rPr>
          <w:color w:val="000000"/>
          <w:lang w:bidi="he-IL"/>
        </w:rPr>
      </w:pPr>
      <w:r>
        <w:rPr>
          <w:color w:val="000000"/>
          <w:rtl/>
          <w:lang w:bidi="he-IL"/>
        </w:rPr>
        <w:tab/>
        <w:t>אז, כשהמשנה ממשיכה לומר ש"קיבול דמן בכלי שרת בצפון,” זה לא נוהג בכל קבלות אשם. רק מדבר על סוג ראשון של קבלת הדם, ואומר שזה צריך להיות בכלי בצפון. [</w:t>
      </w:r>
      <w:r w:rsidR="00DB7EF9">
        <w:rPr>
          <w:rFonts w:hint="cs"/>
          <w:color w:val="000000"/>
          <w:rtl/>
          <w:lang w:bidi="he-IL"/>
        </w:rPr>
        <w:t>עט</w:t>
      </w:r>
      <w:r>
        <w:rPr>
          <w:color w:val="000000"/>
          <w:rtl/>
          <w:lang w:bidi="he-IL"/>
        </w:rPr>
        <w:t>]</w:t>
      </w:r>
    </w:p>
  </w:footnote>
  <w:footnote w:id="11">
    <w:p w14:paraId="1E1CAF01" w14:textId="77777777" w:rsidR="00EE21F9" w:rsidRDefault="00000000" w:rsidP="00E565F8">
      <w:pPr>
        <w:pStyle w:val="FootnoteText"/>
        <w:spacing w:before="29" w:after="29"/>
        <w:jc w:val="both"/>
        <w:rPr>
          <w:lang w:bidi="he-IL"/>
        </w:rPr>
      </w:pPr>
      <w:r>
        <w:rPr>
          <w:rStyle w:val="FootnoteCharacters"/>
        </w:rPr>
        <w:footnoteRef/>
      </w:r>
      <w:r>
        <w:rPr>
          <w:rtl/>
          <w:lang w:bidi="he-IL"/>
        </w:rPr>
        <w:tab/>
      </w:r>
      <w:r>
        <w:rPr>
          <w:rtl/>
          <w:lang w:bidi="he-IL"/>
        </w:rPr>
        <w:t>כשאדם מסופק אם עבר על עבירה שאילו בוודאי עשה אותו היה חייב חטאת (דהיינו, עבירה שחייב בזדונה כרת), חייב להקריב אשם תלוי.</w:t>
      </w:r>
    </w:p>
    <w:p w14:paraId="4D726AE4" w14:textId="77777777" w:rsidR="00EE21F9" w:rsidRDefault="00000000" w:rsidP="00E565F8">
      <w:pPr>
        <w:pStyle w:val="FootnoteText"/>
        <w:jc w:val="both"/>
        <w:rPr>
          <w:lang w:bidi="he-IL"/>
        </w:rPr>
      </w:pPr>
      <w:r>
        <w:rPr>
          <w:rtl/>
          <w:lang w:bidi="he-IL"/>
        </w:rPr>
        <w:tab/>
        <w:t>חולקים איזה מין ספק מחייב. יש שני מיני ספק – הראשון הוא כשידוע שלפניו יש חפץ של איסור (כמו חלב) וחפץ של היתר (כמו שומן), ואכל אחד, ושכח איזה אכל, והשני הוא כשאכל חפץ שאולי הוא של איסור (כמו חלב) ואולי הוא של היתר (כמו שומן). יש שסוברים שרק מביא אשם תלוי בציור ראשון. גמ’ נותן שלש מקורות לזה – אולי מפני שכ’, “מצוות,” שמשמע שצריך ריבוי, ומפרשים שהוא שצריך ריבוי חתיכות שגרם לו לעבור, אולי מפני שבשני חתיכות אפשר לברר אם עבר (אם נבדוק חתיכה האחרת), ואולי מפני שידוע שהיה שם חפץ של האיסור. (כריתות יז)</w:t>
      </w:r>
    </w:p>
    <w:p w14:paraId="397B8924" w14:textId="77777777" w:rsidR="00EE21F9" w:rsidRDefault="00000000" w:rsidP="00E565F8">
      <w:pPr>
        <w:pStyle w:val="FootnoteText"/>
        <w:jc w:val="both"/>
        <w:rPr>
          <w:lang w:bidi="he-IL"/>
        </w:rPr>
      </w:pPr>
      <w:r>
        <w:rPr>
          <w:rtl/>
          <w:lang w:bidi="he-IL"/>
        </w:rPr>
        <w:tab/>
        <w:t>בארנו חיוב אשם תלוי. אבל, רבי אליעזר סובר שיש גם יכולת להקריב אשם תלוי בנדבה. סובר שכל זמן שאפשר שאדם עבר על עבירה – ואף עבירה שלא חייב בו כרת – יכול לנדוב ולהקריב אשם תלוי. (עיין בלשון גמ’, שקצת משמע שחולקים בשיטת רבי אליעזר, ויש שיטה שסוברת שאף אם ידע שלא חטא, יכול להקריב אשם תלוי.) רבנן חולקים על זה, לכאו’ משלש טעמים. טעם ראשון הוא שסוברים שרק בא על ספק ממש, ולא אם אין דבר לעורר את הספק. טעם שני הוא שסוברים שלא מקריב אלא על עבירות שיש בהן חטאת; לא מסתבר שבלי התעוררות ספק אדם יכול להסתפק אם עבר על חמורות אלו. טעם שלישי הוא שסוברים, לפי שיטה אחת שהבאנו לעיל, שאשם תלוי רק בא על ספק שתי חתיכות; אי אפשר שבלי התעוררות ספק אדם יכול לחוש בזה. (כריתות כה:)</w:t>
      </w:r>
    </w:p>
  </w:footnote>
  <w:footnote w:id="12">
    <w:p w14:paraId="5348FB86"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נבאר </w:t>
      </w:r>
      <w:r>
        <w:rPr>
          <w:rtl/>
          <w:lang w:bidi="he-IL"/>
        </w:rPr>
        <w:t>מקור ששחיטת שלמי ציבור צריכה להיות בצפון:</w:t>
      </w:r>
    </w:p>
    <w:p w14:paraId="31E62E87" w14:textId="77777777" w:rsidR="00EE21F9" w:rsidRDefault="00000000" w:rsidP="00E565F8">
      <w:pPr>
        <w:pStyle w:val="FootnoteText"/>
        <w:jc w:val="both"/>
        <w:rPr>
          <w:lang w:bidi="he-IL"/>
        </w:rPr>
      </w:pPr>
      <w:r>
        <w:rPr>
          <w:rtl/>
          <w:lang w:bidi="he-IL"/>
        </w:rPr>
        <w:tab/>
        <w:t xml:space="preserve">גמרא </w:t>
      </w:r>
      <w:r>
        <w:rPr>
          <w:b/>
          <w:bCs/>
          <w:u w:val="single"/>
          <w:rtl/>
          <w:lang w:bidi="he-IL"/>
        </w:rPr>
        <w:t>(נה.)</w:t>
      </w:r>
      <w:r>
        <w:rPr>
          <w:rtl/>
          <w:lang w:bidi="he-IL"/>
        </w:rPr>
        <w:t xml:space="preserve"> נותן לזה שני מקורות, ודוחה אחד:</w:t>
      </w:r>
    </w:p>
    <w:p w14:paraId="6693CBA1" w14:textId="77777777" w:rsidR="00EE21F9" w:rsidRDefault="00000000" w:rsidP="00E565F8">
      <w:pPr>
        <w:pStyle w:val="FootnoteText"/>
        <w:numPr>
          <w:ilvl w:val="0"/>
          <w:numId w:val="4"/>
        </w:numPr>
        <w:jc w:val="both"/>
        <w:rPr>
          <w:lang w:bidi="he-IL"/>
        </w:rPr>
      </w:pPr>
      <w:r>
        <w:rPr>
          <w:rtl/>
          <w:lang w:bidi="he-IL"/>
        </w:rPr>
        <w:t>כתיב, “ועשיתם שעיר עזים אחד לחטאת ושני כבשים… לזבח שלמים.” מקיש שלמי ציבור לחטאת, לומר שכמו שחטאת נשחט בצפון, כך שלמי ציבור נשחט בצפון.</w:t>
      </w:r>
    </w:p>
    <w:p w14:paraId="4EF7D07B" w14:textId="77777777" w:rsidR="00EE21F9" w:rsidRDefault="00000000" w:rsidP="00E565F8">
      <w:pPr>
        <w:pStyle w:val="FootnoteText"/>
        <w:ind w:left="720"/>
        <w:jc w:val="both"/>
        <w:rPr>
          <w:lang w:bidi="he-IL"/>
        </w:rPr>
      </w:pPr>
      <w:r>
        <w:rPr>
          <w:rtl/>
          <w:lang w:bidi="he-IL"/>
        </w:rPr>
        <w:t>דוחה גמ’ שאי אפשר ללמוד שחיטת צפון מחטאת לשלמי ציבור. הרי, המקור שחטאת נשחט בצפון הוא היקש מעולה. כיון שהוא דבר הנלמד בהיקש, לא יכול ללמד בהיקש, שבקדשים אין דבר הנלמד בהיקש מלמד בהיקש.</w:t>
      </w:r>
    </w:p>
    <w:p w14:paraId="1405D53B" w14:textId="77777777" w:rsidR="00EE21F9" w:rsidRDefault="00000000" w:rsidP="00E565F8">
      <w:pPr>
        <w:pStyle w:val="FootnoteText"/>
        <w:numPr>
          <w:ilvl w:val="0"/>
          <w:numId w:val="4"/>
        </w:numPr>
        <w:jc w:val="both"/>
        <w:rPr>
          <w:lang w:bidi="he-IL"/>
        </w:rPr>
      </w:pPr>
      <w:r>
        <w:rPr>
          <w:rtl/>
          <w:lang w:bidi="he-IL"/>
        </w:rPr>
        <w:t>כתיב, “על עולותיכם ועל זבחי שלמיכם.” מקיש עולה לשלמים, לומר ששחיטתו בצפון.</w:t>
      </w:r>
    </w:p>
    <w:p w14:paraId="3ED1E40B" w14:textId="56B98019" w:rsidR="00EE21F9" w:rsidRDefault="00000000" w:rsidP="00E565F8">
      <w:pPr>
        <w:pStyle w:val="FootnoteText"/>
        <w:jc w:val="both"/>
        <w:rPr>
          <w:lang w:bidi="he-IL"/>
        </w:rPr>
      </w:pPr>
      <w:r>
        <w:rPr>
          <w:rtl/>
          <w:lang w:bidi="he-IL"/>
        </w:rPr>
        <w:tab/>
        <w:t>[</w:t>
      </w:r>
      <w:r w:rsidR="003A6A82">
        <w:rPr>
          <w:rFonts w:hint="cs"/>
          <w:rtl/>
          <w:lang w:bidi="he-IL"/>
        </w:rPr>
        <w:t>פ]</w:t>
      </w:r>
    </w:p>
    <w:p w14:paraId="152648E6" w14:textId="77777777" w:rsidR="00EE21F9" w:rsidRDefault="00000000" w:rsidP="00E565F8">
      <w:pPr>
        <w:pStyle w:val="FootnoteText"/>
        <w:jc w:val="both"/>
        <w:rPr>
          <w:lang w:bidi="he-IL"/>
        </w:rPr>
      </w:pPr>
      <w:r>
        <w:rPr>
          <w:rtl/>
          <w:lang w:bidi="he-IL"/>
        </w:rPr>
        <w:tab/>
        <w:t>נבאר מקור שאשם צריכה להיות בצפון:</w:t>
      </w:r>
    </w:p>
    <w:p w14:paraId="78C75D4B" w14:textId="77777777" w:rsidR="00EE21F9" w:rsidRDefault="00000000" w:rsidP="00E565F8">
      <w:pPr>
        <w:pStyle w:val="FootnoteText"/>
        <w:jc w:val="both"/>
        <w:rPr>
          <w:lang w:bidi="he-IL"/>
        </w:rPr>
      </w:pPr>
      <w:r>
        <w:rPr>
          <w:rtl/>
          <w:lang w:bidi="he-IL"/>
        </w:rPr>
        <w:tab/>
        <w:t xml:space="preserve">יש בזה שני דינים: </w:t>
      </w:r>
    </w:p>
    <w:p w14:paraId="1352F9DD" w14:textId="77777777" w:rsidR="00EE21F9" w:rsidRDefault="00000000" w:rsidP="00E565F8">
      <w:pPr>
        <w:pStyle w:val="FootnoteText"/>
        <w:numPr>
          <w:ilvl w:val="0"/>
          <w:numId w:val="5"/>
        </w:numPr>
        <w:jc w:val="both"/>
      </w:pPr>
      <w:r>
        <w:rPr>
          <w:rtl/>
          <w:lang w:bidi="he-IL"/>
        </w:rPr>
        <w:t xml:space="preserve">שהשחיטה צריכה להיות בצפון. לומדים את זה ממש"כ, “במקום אשר ישחטו את העולה ישחטו את האשם.” כמו שעולה נשחטה בצפון, כך אשם נשחט בצפון. </w:t>
      </w:r>
      <w:r>
        <w:rPr>
          <w:b/>
          <w:bCs/>
          <w:u w:val="single"/>
          <w:rtl/>
          <w:lang w:bidi="he-IL"/>
        </w:rPr>
        <w:t>(מט.)</w:t>
      </w:r>
    </w:p>
    <w:p w14:paraId="71485140" w14:textId="77777777" w:rsidR="00EE21F9" w:rsidRDefault="00000000" w:rsidP="00E565F8">
      <w:pPr>
        <w:pStyle w:val="FootnoteText"/>
        <w:numPr>
          <w:ilvl w:val="0"/>
          <w:numId w:val="5"/>
        </w:numPr>
        <w:jc w:val="both"/>
      </w:pPr>
      <w:r>
        <w:rPr>
          <w:rtl/>
          <w:lang w:bidi="he-IL"/>
        </w:rPr>
        <w:t xml:space="preserve">שאם השחיטה אינה בצפון, הקרבן פסול. לומדים את זה ממש”כ, “ושחט את הכבש במקום אשר ישחט את החטאת ואת העולה.” (עיין שם בגמ’, שנראה שהמקור הוא ששינה עליו הכתוב לעכב. אבל, אין זה מוכרח, שלא צריך לזה, שכיון שמעכב בחטאת ועולה, יש לומר שלומדים דין אחר, שלא לומדים שצריך, אלא שלומדים שמעכב. אין נפק"מ בין צדדים אלו, אבל יש לדון בסברה שני, שיש לדון אם עיכוב חטאת ועולה נחשב דבר הכתוב בפירוש או דבר הנלמד בהיקש. (לפי צד שני בדרשת עיכוב עולה, בוודאי אינו נלמד בהיקש. אבל, לצד ראשון, יש לדון. ותחשב.) </w:t>
      </w:r>
      <w:r>
        <w:rPr>
          <w:b/>
          <w:bCs/>
          <w:u w:val="single"/>
          <w:rtl/>
          <w:lang w:bidi="he-IL"/>
        </w:rPr>
        <w:t>(מט.)</w:t>
      </w:r>
    </w:p>
    <w:p w14:paraId="7E61E667" w14:textId="47362BC1" w:rsidR="00EE21F9" w:rsidRDefault="00000000" w:rsidP="00E565F8">
      <w:pPr>
        <w:pStyle w:val="FootnoteText"/>
        <w:jc w:val="both"/>
        <w:rPr>
          <w:color w:val="000000"/>
          <w:lang w:bidi="he-IL"/>
        </w:rPr>
      </w:pPr>
      <w:r>
        <w:rPr>
          <w:color w:val="000000"/>
          <w:rtl/>
          <w:lang w:bidi="he-IL"/>
        </w:rPr>
        <w:tab/>
        <w:t>[</w:t>
      </w:r>
      <w:r w:rsidR="00FF677A">
        <w:rPr>
          <w:rFonts w:hint="cs"/>
          <w:color w:val="000000"/>
          <w:rtl/>
          <w:lang w:bidi="he-IL"/>
        </w:rPr>
        <w:t>פא</w:t>
      </w:r>
      <w:r>
        <w:rPr>
          <w:color w:val="000000"/>
          <w:rtl/>
          <w:lang w:bidi="he-IL"/>
        </w:rPr>
        <w:t>]</w:t>
      </w:r>
    </w:p>
  </w:footnote>
  <w:footnote w:id="13">
    <w:p w14:paraId="0CD0FBD3" w14:textId="357B4723" w:rsidR="00EE21F9" w:rsidRDefault="00000000" w:rsidP="00E565F8">
      <w:pPr>
        <w:pStyle w:val="FootnoteText"/>
        <w:jc w:val="both"/>
        <w:rPr>
          <w:lang w:bidi="he-IL"/>
        </w:rPr>
      </w:pPr>
      <w:r>
        <w:rPr>
          <w:rStyle w:val="FootnoteCharacters"/>
        </w:rPr>
        <w:footnoteRef/>
      </w:r>
      <w:r>
        <w:rPr>
          <w:rtl/>
          <w:lang w:bidi="he-IL"/>
        </w:rPr>
        <w:tab/>
      </w:r>
      <w:r w:rsidR="00886BB2">
        <w:rPr>
          <w:rFonts w:hint="cs"/>
          <w:rtl/>
          <w:lang w:bidi="he-IL"/>
        </w:rPr>
        <w:t xml:space="preserve">גמרא לא מביא מקור לזה. </w:t>
      </w:r>
      <w:r>
        <w:rPr>
          <w:rtl/>
          <w:lang w:bidi="he-IL"/>
        </w:rPr>
        <w:t>עיין בהערות</w:t>
      </w:r>
      <w:r w:rsidR="00886BB2">
        <w:rPr>
          <w:rFonts w:hint="cs"/>
          <w:rtl/>
          <w:lang w:bidi="he-IL"/>
        </w:rPr>
        <w:t xml:space="preserve"> [פב].</w:t>
      </w:r>
    </w:p>
  </w:footnote>
  <w:footnote w:id="14">
    <w:p w14:paraId="4859919D" w14:textId="0A6ACCF3" w:rsidR="00EE21F9" w:rsidRDefault="00000000" w:rsidP="00E565F8">
      <w:pPr>
        <w:pStyle w:val="FootnoteText"/>
        <w:jc w:val="both"/>
        <w:rPr>
          <w:rtl/>
          <w:lang w:bidi="he-IL"/>
        </w:rPr>
      </w:pPr>
      <w:r>
        <w:rPr>
          <w:rStyle w:val="FootnoteCharacters"/>
        </w:rPr>
        <w:footnoteRef/>
      </w:r>
      <w:r>
        <w:rPr>
          <w:rtl/>
          <w:lang w:bidi="he-IL"/>
        </w:rPr>
        <w:tab/>
      </w:r>
      <w:r>
        <w:rPr>
          <w:rtl/>
          <w:lang w:bidi="he-IL"/>
        </w:rPr>
        <w:t>עיין לעיל, שבארנו איך עושים זריקה זו.</w:t>
      </w:r>
      <w:r w:rsidR="001B30B5">
        <w:rPr>
          <w:rFonts w:hint="cs"/>
          <w:rtl/>
          <w:lang w:bidi="he-IL"/>
        </w:rPr>
        <w:t xml:space="preserve"> המקור שגם באלו זורקים כן הוא</w:t>
      </w:r>
      <w:r w:rsidR="002760F8">
        <w:rPr>
          <w:rFonts w:hint="cs"/>
          <w:rtl/>
          <w:lang w:bidi="he-IL"/>
        </w:rPr>
        <w:t xml:space="preserve"> ובשאר הקרבנות שזורקים כן הוא שבכולם כתיב, "סביב." [פג]</w:t>
      </w:r>
    </w:p>
  </w:footnote>
  <w:footnote w:id="15">
    <w:p w14:paraId="2F340436"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המקור </w:t>
      </w:r>
      <w:r>
        <w:rPr>
          <w:rtl/>
          <w:lang w:bidi="he-IL"/>
        </w:rPr>
        <w:t>שאשם נאכל רק לפנים מן הקלעים הוא שכ’, “בקדש הקדשים תאכלנו."</w:t>
      </w:r>
    </w:p>
    <w:p w14:paraId="79924CBA" w14:textId="51FDDD12" w:rsidR="00EE21F9" w:rsidRDefault="00000000" w:rsidP="00E565F8">
      <w:pPr>
        <w:pStyle w:val="FootnoteText"/>
        <w:jc w:val="both"/>
        <w:rPr>
          <w:lang w:bidi="he-IL"/>
        </w:rPr>
      </w:pPr>
      <w:r>
        <w:rPr>
          <w:rtl/>
          <w:lang w:bidi="he-IL"/>
        </w:rPr>
        <w:tab/>
        <w:t xml:space="preserve">המקור ששלמ"צ נאכלים רק לפנים מן הקלעים הוא שהוקש לחטאת, שכ’, "ועשיתם שעיר עזים אחד לחטאת ושני כבשים… לזבח שלמים.” </w:t>
      </w:r>
      <w:r w:rsidR="00E752FB">
        <w:rPr>
          <w:rFonts w:hint="cs"/>
          <w:rtl/>
          <w:lang w:bidi="he-IL"/>
        </w:rPr>
        <w:t>[</w:t>
      </w:r>
      <w:r w:rsidR="00A17953">
        <w:rPr>
          <w:rFonts w:hint="cs"/>
          <w:rtl/>
          <w:lang w:bidi="he-IL"/>
        </w:rPr>
        <w:t>פ</w:t>
      </w:r>
      <w:r w:rsidR="00356717">
        <w:rPr>
          <w:rFonts w:hint="cs"/>
          <w:rtl/>
          <w:lang w:bidi="he-IL"/>
        </w:rPr>
        <w:t>ד</w:t>
      </w:r>
      <w:r w:rsidR="00A17953">
        <w:rPr>
          <w:rFonts w:hint="cs"/>
          <w:rtl/>
          <w:lang w:bidi="he-IL"/>
        </w:rPr>
        <w:t>]</w:t>
      </w:r>
    </w:p>
  </w:footnote>
  <w:footnote w:id="16">
    <w:p w14:paraId="7C9675DA"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המקור שאשם נאכל רק לזכרי כהונה הוא שכתיב, “כל זכר יאכל אותו.”</w:t>
      </w:r>
    </w:p>
    <w:p w14:paraId="333416D2" w14:textId="77777777" w:rsidR="00EE21F9" w:rsidRDefault="00000000" w:rsidP="00E565F8">
      <w:pPr>
        <w:pStyle w:val="FootnoteText"/>
        <w:jc w:val="both"/>
        <w:rPr>
          <w:lang w:bidi="he-IL"/>
        </w:rPr>
      </w:pPr>
      <w:r>
        <w:rPr>
          <w:rtl/>
          <w:lang w:bidi="he-IL"/>
        </w:rPr>
        <w:tab/>
        <w:t>המקור ששלמ"צ נאכל רק לזכרי כהונה הוא שהוקש לחטאת, שכ’, “ועשיתם שעיר עזים אחד לחטאת ושני כבשים… לזבח שלמים.”</w:t>
      </w:r>
    </w:p>
  </w:footnote>
  <w:footnote w:id="17">
    <w:p w14:paraId="705C3C0B" w14:textId="77777777" w:rsidR="00EE21F9" w:rsidRDefault="00000000" w:rsidP="00E565F8">
      <w:pPr>
        <w:pStyle w:val="FootnoteText"/>
        <w:jc w:val="both"/>
        <w:rPr>
          <w:lang w:bidi="he-IL"/>
        </w:rPr>
      </w:pPr>
      <w:r>
        <w:rPr>
          <w:rStyle w:val="FootnoteCharacters"/>
        </w:rPr>
        <w:footnoteRef/>
      </w:r>
      <w:r>
        <w:rPr>
          <w:rtl/>
          <w:lang w:bidi="he-IL"/>
        </w:rPr>
        <w:tab/>
      </w:r>
      <w:r>
        <w:rPr>
          <w:rtl/>
          <w:lang w:bidi="he-IL"/>
        </w:rPr>
        <w:t xml:space="preserve">המקור </w:t>
      </w:r>
      <w:r>
        <w:rPr>
          <w:rtl/>
          <w:lang w:bidi="he-IL"/>
        </w:rPr>
        <w:t>שאשם ושלמ"צ נאכלים רק ליום אחד הוא שבתודה כתיב מילת "זבח" מיותר כשאומר שנאכל רק ליום אחד.</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397"/>
    <w:multiLevelType w:val="multilevel"/>
    <w:tmpl w:val="6B5AD90A"/>
    <w:lvl w:ilvl="0">
      <w:start w:val="1"/>
      <w:numFmt w:val="decimal"/>
      <w:lvlText w:val="%1."/>
      <w:lvlJc w:val="right"/>
      <w:pPr>
        <w:tabs>
          <w:tab w:val="num" w:pos="764"/>
        </w:tabs>
        <w:ind w:left="764" w:hanging="360"/>
      </w:pPr>
    </w:lvl>
    <w:lvl w:ilvl="1">
      <w:start w:val="1"/>
      <w:numFmt w:val="decimal"/>
      <w:lvlText w:val="%2."/>
      <w:lvlJc w:val="right"/>
      <w:pPr>
        <w:tabs>
          <w:tab w:val="num" w:pos="1124"/>
        </w:tabs>
        <w:ind w:left="1124" w:hanging="360"/>
      </w:pPr>
    </w:lvl>
    <w:lvl w:ilvl="2">
      <w:start w:val="1"/>
      <w:numFmt w:val="decimal"/>
      <w:lvlText w:val="%3."/>
      <w:lvlJc w:val="right"/>
      <w:pPr>
        <w:tabs>
          <w:tab w:val="num" w:pos="1484"/>
        </w:tabs>
        <w:ind w:left="1484" w:hanging="360"/>
      </w:pPr>
    </w:lvl>
    <w:lvl w:ilvl="3">
      <w:start w:val="1"/>
      <w:numFmt w:val="decimal"/>
      <w:lvlText w:val="%4."/>
      <w:lvlJc w:val="right"/>
      <w:pPr>
        <w:tabs>
          <w:tab w:val="num" w:pos="1844"/>
        </w:tabs>
        <w:ind w:left="1844" w:hanging="360"/>
      </w:pPr>
    </w:lvl>
    <w:lvl w:ilvl="4">
      <w:start w:val="1"/>
      <w:numFmt w:val="decimal"/>
      <w:lvlText w:val="%5."/>
      <w:lvlJc w:val="right"/>
      <w:pPr>
        <w:tabs>
          <w:tab w:val="num" w:pos="2204"/>
        </w:tabs>
        <w:ind w:left="2204" w:hanging="360"/>
      </w:pPr>
    </w:lvl>
    <w:lvl w:ilvl="5">
      <w:start w:val="1"/>
      <w:numFmt w:val="decimal"/>
      <w:lvlText w:val="%6."/>
      <w:lvlJc w:val="right"/>
      <w:pPr>
        <w:tabs>
          <w:tab w:val="num" w:pos="2564"/>
        </w:tabs>
        <w:ind w:left="2564" w:hanging="360"/>
      </w:pPr>
    </w:lvl>
    <w:lvl w:ilvl="6">
      <w:start w:val="1"/>
      <w:numFmt w:val="decimal"/>
      <w:lvlText w:val="%7."/>
      <w:lvlJc w:val="right"/>
      <w:pPr>
        <w:tabs>
          <w:tab w:val="num" w:pos="2924"/>
        </w:tabs>
        <w:ind w:left="2924" w:hanging="360"/>
      </w:pPr>
    </w:lvl>
    <w:lvl w:ilvl="7">
      <w:start w:val="1"/>
      <w:numFmt w:val="decimal"/>
      <w:lvlText w:val="%8."/>
      <w:lvlJc w:val="right"/>
      <w:pPr>
        <w:tabs>
          <w:tab w:val="num" w:pos="3284"/>
        </w:tabs>
        <w:ind w:left="3284" w:hanging="360"/>
      </w:pPr>
    </w:lvl>
    <w:lvl w:ilvl="8">
      <w:start w:val="1"/>
      <w:numFmt w:val="decimal"/>
      <w:lvlText w:val="%9."/>
      <w:lvlJc w:val="right"/>
      <w:pPr>
        <w:tabs>
          <w:tab w:val="num" w:pos="3644"/>
        </w:tabs>
        <w:ind w:left="3644" w:hanging="360"/>
      </w:pPr>
    </w:lvl>
  </w:abstractNum>
  <w:abstractNum w:abstractNumId="1" w15:restartNumberingAfterBreak="0">
    <w:nsid w:val="360806C8"/>
    <w:multiLevelType w:val="multilevel"/>
    <w:tmpl w:val="981C126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3D202A2D"/>
    <w:multiLevelType w:val="multilevel"/>
    <w:tmpl w:val="824AC17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5A983001"/>
    <w:multiLevelType w:val="multilevel"/>
    <w:tmpl w:val="C346FDB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727C4B86"/>
    <w:multiLevelType w:val="multilevel"/>
    <w:tmpl w:val="0EC2A0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97383918">
    <w:abstractNumId w:val="4"/>
  </w:num>
  <w:num w:numId="2" w16cid:durableId="989751810">
    <w:abstractNumId w:val="3"/>
  </w:num>
  <w:num w:numId="3" w16cid:durableId="612979938">
    <w:abstractNumId w:val="0"/>
  </w:num>
  <w:num w:numId="4" w16cid:durableId="1119104687">
    <w:abstractNumId w:val="1"/>
  </w:num>
  <w:num w:numId="5" w16cid:durableId="985162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E21F9"/>
    <w:rsid w:val="000F3F4A"/>
    <w:rsid w:val="001B30B5"/>
    <w:rsid w:val="002760F8"/>
    <w:rsid w:val="00356717"/>
    <w:rsid w:val="003A6A82"/>
    <w:rsid w:val="00465139"/>
    <w:rsid w:val="005C020B"/>
    <w:rsid w:val="00635A0E"/>
    <w:rsid w:val="00642BD8"/>
    <w:rsid w:val="006E2C96"/>
    <w:rsid w:val="00886BB2"/>
    <w:rsid w:val="009B1262"/>
    <w:rsid w:val="009D3D10"/>
    <w:rsid w:val="00A17953"/>
    <w:rsid w:val="00A65923"/>
    <w:rsid w:val="00B41AA2"/>
    <w:rsid w:val="00C22E11"/>
    <w:rsid w:val="00C7663A"/>
    <w:rsid w:val="00D12F2C"/>
    <w:rsid w:val="00D60A64"/>
    <w:rsid w:val="00DA234F"/>
    <w:rsid w:val="00DB7EF9"/>
    <w:rsid w:val="00E565F8"/>
    <w:rsid w:val="00E752FB"/>
    <w:rsid w:val="00EE21F9"/>
    <w:rsid w:val="00FB7F9F"/>
    <w:rsid w:val="00FF677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5DA5"/>
  <w15:docId w15:val="{EB12E291-6B01-4540-97FF-F6FA1A09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D10"/>
    <w:pPr>
      <w:bidi/>
      <w:spacing w:before="120" w:after="120" w:line="276" w:lineRule="auto"/>
    </w:pPr>
  </w:style>
  <w:style w:type="paragraph" w:styleId="Heading2">
    <w:name w:val="heading 2"/>
    <w:basedOn w:val="Normal"/>
    <w:next w:val="Normal"/>
    <w:uiPriority w:val="9"/>
    <w:unhideWhenUsed/>
    <w:qFormat/>
    <w:rsid w:val="009D3D10"/>
    <w:pPr>
      <w:keepNext/>
      <w:keepLines/>
      <w:spacing w:before="0"/>
      <w:outlineLvl w:val="1"/>
    </w:pPr>
    <w:rPr>
      <w:rFonts w:ascii="Calibri Light" w:hAnsi="Calibri Light"/>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FootnoteCharactersuser">
    <w:name w:val="Footnote Characters (use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Charactersuser">
    <w:name w:val="Endnote Characters (user)"/>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FootnoteText">
    <w:name w:val="footnote text"/>
    <w:basedOn w:val="Normal"/>
    <w:rsid w:val="009D3D10"/>
    <w:pPr>
      <w:suppressLineNumbers/>
      <w:spacing w:before="40" w:after="40"/>
      <w:ind w:left="346" w:hanging="346"/>
    </w:pPr>
    <w:rPr>
      <w:rFonts w:cs="Davi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18</cp:revision>
  <dcterms:created xsi:type="dcterms:W3CDTF">2025-11-05T18:21:00Z</dcterms:created>
  <dcterms:modified xsi:type="dcterms:W3CDTF">2025-11-10T18:34:00Z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2025-11-04T12:12:29Z</dcterms:created>
  <dc:creator/>
  <dc:description/>
  <dc:language>en-US</dc:language>
  <cp:lastModifiedBy/>
  <dcterms:modified xsi:type="dcterms:W3CDTF">2025-11-04T12:23:05Z</dcterms:modified>
  <cp:revision>2</cp:revision>
  <dc:subject/>
  <dc:title/>
</cp:coreProperties>
</file>