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C4D6" w14:textId="77777777" w:rsidR="00526C69" w:rsidRDefault="00000000" w:rsidP="00454C4F">
      <w:pPr>
        <w:pStyle w:val="Heading2"/>
        <w:jc w:val="both"/>
        <w:rPr>
          <w:rFonts w:cs="David"/>
        </w:rPr>
      </w:pPr>
      <w:r>
        <w:rPr>
          <w:rFonts w:ascii="David" w:hAnsi="David" w:cs="David"/>
          <w:rtl/>
        </w:rPr>
        <w:t>משנה ו.</w:t>
      </w:r>
      <w:r>
        <w:rPr>
          <w:rStyle w:val="FootnoteReference"/>
          <w:rFonts w:ascii="David" w:hAnsi="David" w:cs="David"/>
          <w:rtl/>
        </w:rPr>
        <w:footnoteReference w:id="1"/>
      </w:r>
    </w:p>
    <w:p w14:paraId="2CB4F446" w14:textId="77777777" w:rsidR="00526C69" w:rsidRDefault="00000000" w:rsidP="00454C4F">
      <w:pPr>
        <w:jc w:val="both"/>
        <w:rPr>
          <w:rFonts w:cs="David"/>
        </w:rPr>
      </w:pPr>
      <w:r>
        <w:rPr>
          <w:rStyle w:val="FootnoteReference"/>
          <w:rFonts w:ascii="David" w:hAnsi="David" w:cs="David"/>
          <w:rtl/>
        </w:rPr>
        <w:footnoteReference w:id="2"/>
      </w:r>
      <w:r>
        <w:rPr>
          <w:rFonts w:ascii="David" w:hAnsi="David" w:cs="David"/>
          <w:rtl/>
        </w:rPr>
        <w:t>הַתּוֹדָה</w:t>
      </w:r>
      <w:r>
        <w:rPr>
          <w:rStyle w:val="FootnoteReference"/>
          <w:rFonts w:ascii="David" w:hAnsi="David" w:cs="David"/>
          <w:rtl/>
        </w:rPr>
        <w:footnoteReference w:id="3"/>
      </w:r>
      <w:r>
        <w:rPr>
          <w:rStyle w:val="FootnoteReference"/>
          <w:rFonts w:ascii="David" w:hAnsi="David" w:cs="David"/>
          <w:rtl/>
        </w:rPr>
        <w:footnoteReference w:id="4"/>
      </w:r>
      <w:r>
        <w:rPr>
          <w:rFonts w:ascii="David" w:hAnsi="David" w:cs="David"/>
          <w:rtl/>
        </w:rPr>
        <w:t xml:space="preserve"> וְאֵיל נָזִיר</w:t>
      </w:r>
      <w:r>
        <w:rPr>
          <w:rStyle w:val="FootnoteReference"/>
          <w:rFonts w:ascii="David" w:hAnsi="David" w:cs="David"/>
          <w:rtl/>
        </w:rPr>
        <w:footnoteReference w:id="5"/>
      </w:r>
      <w:r>
        <w:rPr>
          <w:rFonts w:ascii="David" w:hAnsi="David" w:cs="David"/>
          <w:rtl/>
        </w:rPr>
        <w:t>, קָדָשִׁים קַלִּים, שְׁחִיטָתָן בְּכָל מָקוֹם בָּעֲזָרָה</w:t>
      </w:r>
      <w:r>
        <w:rPr>
          <w:rStyle w:val="FootnoteReference"/>
          <w:rFonts w:ascii="David" w:hAnsi="David" w:cs="David"/>
          <w:rtl/>
        </w:rPr>
        <w:footnoteReference w:id="6"/>
      </w:r>
      <w:r>
        <w:rPr>
          <w:rFonts w:ascii="David" w:hAnsi="David" w:cs="David"/>
          <w:rtl/>
        </w:rPr>
        <w:t>, וְדָמָן טָעוּן שְׁתֵּי מַתָּנוֹת שֶׁהֵן אַרְבַּע, וְנֶאֱכָלִים בְּכָל הָעִיר</w:t>
      </w:r>
      <w:r>
        <w:rPr>
          <w:rStyle w:val="FootnoteReference"/>
          <w:rFonts w:ascii="David" w:hAnsi="David" w:cs="David"/>
          <w:rtl/>
        </w:rPr>
        <w:footnoteReference w:id="7"/>
      </w:r>
      <w:r>
        <w:rPr>
          <w:rFonts w:ascii="David" w:hAnsi="David" w:cs="David"/>
          <w:rtl/>
        </w:rPr>
        <w:t xml:space="preserve"> לְכָל אָדָם</w:t>
      </w:r>
      <w:r>
        <w:rPr>
          <w:rStyle w:val="FootnoteReference"/>
          <w:rFonts w:ascii="David" w:hAnsi="David" w:cs="David"/>
          <w:rtl/>
        </w:rPr>
        <w:footnoteReference w:id="8"/>
      </w:r>
      <w:r>
        <w:rPr>
          <w:rFonts w:ascii="David" w:hAnsi="David" w:cs="David"/>
          <w:rtl/>
        </w:rPr>
        <w:t xml:space="preserve">, </w:t>
      </w:r>
      <w:r>
        <w:rPr>
          <w:rFonts w:ascii="David" w:hAnsi="David" w:cs="David"/>
          <w:rtl/>
        </w:rPr>
        <w:lastRenderedPageBreak/>
        <w:t>בְּכָל מַאֲכָל, לְיוֹם וָלַיְלָה</w:t>
      </w:r>
      <w:r>
        <w:rPr>
          <w:rStyle w:val="FootnoteReference"/>
          <w:rFonts w:ascii="David" w:hAnsi="David" w:cs="David"/>
          <w:rtl/>
        </w:rPr>
        <w:footnoteReference w:id="9"/>
      </w:r>
      <w:r>
        <w:rPr>
          <w:rStyle w:val="FootnoteReference"/>
          <w:rFonts w:ascii="David" w:hAnsi="David" w:cs="David"/>
          <w:rtl/>
        </w:rPr>
        <w:footnoteReference w:id="10"/>
      </w:r>
      <w:r>
        <w:rPr>
          <w:rFonts w:ascii="David" w:hAnsi="David" w:cs="David"/>
          <w:rtl/>
        </w:rPr>
        <w:t xml:space="preserve"> עַד חֲצוֹת. הַמּוּרָם מֵהֶם כַּיּוֹצֵא בָהֶם</w:t>
      </w:r>
      <w:r>
        <w:rPr>
          <w:rStyle w:val="FootnoteReference"/>
          <w:rFonts w:ascii="David" w:hAnsi="David" w:cs="David"/>
          <w:rtl/>
        </w:rPr>
        <w:footnoteReference w:id="11"/>
      </w:r>
      <w:r>
        <w:rPr>
          <w:rFonts w:ascii="David" w:hAnsi="David" w:cs="David"/>
          <w:rtl/>
        </w:rPr>
        <w:t>, אֶלָּא שֶׁהַמּוּרָם נֶאֱכָל לַכֹּהֲנִים, לִנְשֵׁיהֶם וְלִבְנֵיהֶם וּלְעַבְדֵיהֶם</w:t>
      </w:r>
      <w:r>
        <w:rPr>
          <w:rStyle w:val="FootnoteReference"/>
          <w:rFonts w:ascii="David" w:hAnsi="David" w:cs="David"/>
          <w:rtl/>
        </w:rPr>
        <w:footnoteReference w:id="12"/>
      </w:r>
      <w:r>
        <w:rPr>
          <w:rFonts w:ascii="David" w:hAnsi="David" w:cs="David"/>
          <w:rtl/>
        </w:rPr>
        <w:t xml:space="preserve">: </w:t>
      </w:r>
    </w:p>
    <w:sectPr w:rsidR="00526C69" w:rsidSect="00454C4F">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6D44" w14:textId="77777777" w:rsidR="00F8532C" w:rsidRDefault="00F8532C">
      <w:r>
        <w:separator/>
      </w:r>
    </w:p>
  </w:endnote>
  <w:endnote w:type="continuationSeparator" w:id="0">
    <w:p w14:paraId="016E5366" w14:textId="77777777" w:rsidR="00F8532C" w:rsidRDefault="00F85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E46E" w14:textId="77777777" w:rsidR="00F8532C" w:rsidRDefault="00F8532C">
      <w:r>
        <w:separator/>
      </w:r>
    </w:p>
  </w:footnote>
  <w:footnote w:type="continuationSeparator" w:id="0">
    <w:p w14:paraId="7E0C7119" w14:textId="77777777" w:rsidR="00F8532C" w:rsidRDefault="00F8532C">
      <w:r>
        <w:continuationSeparator/>
      </w:r>
    </w:p>
  </w:footnote>
  <w:footnote w:id="1">
    <w:p w14:paraId="42F7A9E9" w14:textId="77777777" w:rsidR="00526C69" w:rsidRDefault="00000000" w:rsidP="00454C4F">
      <w:pPr>
        <w:pStyle w:val="FootnoteText"/>
        <w:jc w:val="both"/>
        <w:rPr>
          <w:b/>
          <w:bCs/>
          <w:lang w:bidi="he-IL"/>
        </w:rPr>
      </w:pPr>
      <w:r>
        <w:rPr>
          <w:rStyle w:val="FootnoteCharacters"/>
        </w:rPr>
        <w:footnoteRef/>
      </w:r>
      <w:r>
        <w:rPr>
          <w:b/>
          <w:bCs/>
          <w:rtl/>
          <w:lang w:bidi="he-IL"/>
        </w:rPr>
        <w:tab/>
        <w:t>משנה ו.</w:t>
      </w:r>
    </w:p>
  </w:footnote>
  <w:footnote w:id="2">
    <w:p w14:paraId="323E2A62" w14:textId="77777777" w:rsidR="00526C69" w:rsidRDefault="00000000" w:rsidP="00454C4F">
      <w:pPr>
        <w:pStyle w:val="FootnoteText"/>
        <w:jc w:val="both"/>
        <w:rPr>
          <w:lang w:bidi="he-IL"/>
        </w:rPr>
      </w:pPr>
      <w:r>
        <w:rPr>
          <w:rStyle w:val="FootnoteCharacters"/>
        </w:rPr>
        <w:footnoteRef/>
      </w:r>
      <w:r>
        <w:rPr>
          <w:rtl/>
          <w:lang w:bidi="he-IL"/>
        </w:rPr>
        <w:tab/>
        <w:t>לכאו’, ממשיך מקדשי קדשים לתודה, שאף שהוא קדשים קלים, יש בו דין של קדשי קדשים, שנאכל רק ליום אחד.</w:t>
      </w:r>
    </w:p>
  </w:footnote>
  <w:footnote w:id="3">
    <w:p w14:paraId="15ECCA2B" w14:textId="078BE4AC" w:rsidR="00526C69" w:rsidRDefault="00000000" w:rsidP="00454C4F">
      <w:pPr>
        <w:pStyle w:val="FootnoteText"/>
        <w:jc w:val="both"/>
      </w:pPr>
      <w:r>
        <w:rPr>
          <w:rStyle w:val="FootnoteCharacters"/>
        </w:rPr>
        <w:footnoteRef/>
      </w:r>
      <w:r>
        <w:rPr>
          <w:rtl/>
          <w:lang w:bidi="he-IL"/>
        </w:rPr>
        <w:tab/>
        <w:t>תודה היא מין מיוחד של קרבן שלמים (כן דורשים ממש"א, “תודת שלמיו" (ד.)). יש שני מיני קרבן תודה – יש קרבן תודת חובה, ויש קרבן תודת נדבה. קרבן תודת חובה נקרב על ארבע דברים – על הליכה במדבר, על ירידה לים, על חולי, על יציאה מבית האסורים. אף אם לא עשה אחד מאלו, יכול להקריב קרבן תודה בנדבה. אין חילוק דין בין שני מיני התודות.</w:t>
      </w:r>
      <w:r w:rsidR="00CF2DF7">
        <w:rPr>
          <w:rFonts w:hint="cs"/>
          <w:rtl/>
          <w:lang w:bidi="he-IL"/>
        </w:rPr>
        <w:t xml:space="preserve"> [</w:t>
      </w:r>
      <w:r w:rsidR="00F30B68">
        <w:rPr>
          <w:rFonts w:hint="cs"/>
          <w:rtl/>
          <w:lang w:bidi="he-IL"/>
        </w:rPr>
        <w:t>פ</w:t>
      </w:r>
      <w:r w:rsidR="00954653">
        <w:rPr>
          <w:rFonts w:hint="cs"/>
          <w:rtl/>
          <w:lang w:bidi="he-IL"/>
        </w:rPr>
        <w:t>ה</w:t>
      </w:r>
      <w:r w:rsidR="00551BC0">
        <w:rPr>
          <w:rFonts w:hint="cs"/>
          <w:rtl/>
          <w:lang w:bidi="he-IL"/>
        </w:rPr>
        <w:t>]</w:t>
      </w:r>
    </w:p>
  </w:footnote>
  <w:footnote w:id="4">
    <w:p w14:paraId="3814A1EC" w14:textId="77777777" w:rsidR="00526C69" w:rsidRDefault="00000000" w:rsidP="00454C4F">
      <w:pPr>
        <w:pStyle w:val="FootnoteText"/>
        <w:jc w:val="both"/>
        <w:rPr>
          <w:lang w:bidi="he-IL"/>
        </w:rPr>
      </w:pPr>
      <w:r>
        <w:rPr>
          <w:rStyle w:val="FootnoteCharacters"/>
        </w:rPr>
        <w:footnoteRef/>
      </w:r>
      <w:r>
        <w:rPr>
          <w:rtl/>
          <w:lang w:bidi="he-IL"/>
        </w:rPr>
        <w:tab/>
        <w:t>קרבן תודה באה מכל מין בהמה טהורה, בין זכר בין נקבה. עם תודה, אדם צריך להקריב ארבעים ככרות לחם, עשר מהם חמץ, ושלשים מהם מצה.</w:t>
      </w:r>
    </w:p>
  </w:footnote>
  <w:footnote w:id="5">
    <w:p w14:paraId="0A94AD75" w14:textId="77777777" w:rsidR="00526C69" w:rsidRDefault="00000000" w:rsidP="00454C4F">
      <w:pPr>
        <w:pStyle w:val="FootnoteText"/>
        <w:jc w:val="both"/>
        <w:rPr>
          <w:lang w:bidi="he-IL"/>
        </w:rPr>
      </w:pPr>
      <w:r>
        <w:rPr>
          <w:rStyle w:val="FootnoteCharacters"/>
        </w:rPr>
        <w:footnoteRef/>
      </w:r>
      <w:r>
        <w:rPr>
          <w:rtl/>
          <w:lang w:bidi="he-IL"/>
        </w:rPr>
        <w:tab/>
        <w:t>איל נזיר הוא מין שלמים שמביא נזיר כשגומר את נזירותו. צריך להיות איל, שהוא כבש בן שני שנים. מביא עמו עשרים ככרות לחם, עשר של חמץ, ועשר של מצה.</w:t>
      </w:r>
    </w:p>
  </w:footnote>
  <w:footnote w:id="6">
    <w:p w14:paraId="04CF295D" w14:textId="5EABF83B" w:rsidR="00526C69" w:rsidRDefault="00000000" w:rsidP="00454C4F">
      <w:pPr>
        <w:pStyle w:val="FootnoteText"/>
        <w:jc w:val="both"/>
        <w:rPr>
          <w:lang w:bidi="he-IL"/>
        </w:rPr>
      </w:pPr>
      <w:r>
        <w:rPr>
          <w:rStyle w:val="FootnoteCharacters"/>
        </w:rPr>
        <w:footnoteRef/>
      </w:r>
      <w:r>
        <w:rPr>
          <w:rtl/>
          <w:lang w:bidi="he-IL"/>
        </w:rPr>
        <w:tab/>
        <w:t xml:space="preserve">גמרא </w:t>
      </w:r>
      <w:r>
        <w:rPr>
          <w:b/>
          <w:bCs/>
          <w:u w:val="single"/>
          <w:rtl/>
          <w:lang w:bidi="he-IL"/>
        </w:rPr>
        <w:t>(נה)</w:t>
      </w:r>
      <w:r>
        <w:rPr>
          <w:rtl/>
          <w:lang w:bidi="he-IL"/>
        </w:rPr>
        <w:t xml:space="preserve"> מפרש שבשלמים [</w:t>
      </w:r>
      <w:r w:rsidR="00BD7A84">
        <w:rPr>
          <w:rFonts w:hint="cs"/>
          <w:rtl/>
          <w:lang w:bidi="he-IL"/>
        </w:rPr>
        <w:t>פ</w:t>
      </w:r>
      <w:r w:rsidR="00954653">
        <w:rPr>
          <w:rFonts w:hint="cs"/>
          <w:rtl/>
          <w:lang w:bidi="he-IL"/>
        </w:rPr>
        <w:t>ו</w:t>
      </w:r>
      <w:r>
        <w:rPr>
          <w:rtl/>
          <w:lang w:bidi="he-IL"/>
        </w:rPr>
        <w:t>]</w:t>
      </w:r>
      <w:r>
        <w:rPr>
          <w:color w:val="000000"/>
          <w:rtl/>
          <w:lang w:bidi="he-IL"/>
        </w:rPr>
        <w:t xml:space="preserve"> שלשה פסוקים כתובים שמדברים על מקום השחיטה:</w:t>
      </w:r>
    </w:p>
    <w:p w14:paraId="1A728FAE" w14:textId="77777777" w:rsidR="00526C69" w:rsidRDefault="00000000" w:rsidP="00454C4F">
      <w:pPr>
        <w:pStyle w:val="FootnoteText"/>
        <w:numPr>
          <w:ilvl w:val="0"/>
          <w:numId w:val="2"/>
        </w:numPr>
        <w:jc w:val="both"/>
        <w:rPr>
          <w:color w:val="000000"/>
          <w:lang w:bidi="he-IL"/>
        </w:rPr>
      </w:pPr>
      <w:r>
        <w:rPr>
          <w:color w:val="000000"/>
          <w:rtl/>
          <w:lang w:bidi="he-IL"/>
        </w:rPr>
        <w:t>ושחט אותו לפני אוהל מועד.</w:t>
      </w:r>
    </w:p>
    <w:p w14:paraId="37FED736" w14:textId="77777777" w:rsidR="00526C69" w:rsidRDefault="00000000" w:rsidP="00454C4F">
      <w:pPr>
        <w:pStyle w:val="FootnoteText"/>
        <w:numPr>
          <w:ilvl w:val="0"/>
          <w:numId w:val="2"/>
        </w:numPr>
        <w:jc w:val="both"/>
        <w:rPr>
          <w:color w:val="000000"/>
          <w:lang w:bidi="he-IL"/>
        </w:rPr>
      </w:pPr>
      <w:r>
        <w:rPr>
          <w:color w:val="000000"/>
          <w:rtl/>
          <w:lang w:bidi="he-IL"/>
        </w:rPr>
        <w:t>ושחט אותו לפני אוהל מועד.</w:t>
      </w:r>
    </w:p>
    <w:p w14:paraId="4692F3A8" w14:textId="77777777" w:rsidR="00526C69" w:rsidRDefault="00000000" w:rsidP="00454C4F">
      <w:pPr>
        <w:pStyle w:val="FootnoteText"/>
        <w:numPr>
          <w:ilvl w:val="0"/>
          <w:numId w:val="2"/>
        </w:numPr>
        <w:jc w:val="both"/>
        <w:rPr>
          <w:color w:val="000000"/>
          <w:lang w:bidi="he-IL"/>
        </w:rPr>
      </w:pPr>
      <w:r>
        <w:rPr>
          <w:color w:val="000000"/>
          <w:rtl/>
          <w:lang w:bidi="he-IL"/>
        </w:rPr>
        <w:t>ושחטו פתח אהל מועד.</w:t>
      </w:r>
    </w:p>
    <w:p w14:paraId="0E9A40FC" w14:textId="12489555" w:rsidR="00526C69" w:rsidRDefault="00000000" w:rsidP="00454C4F">
      <w:pPr>
        <w:pStyle w:val="FootnoteText"/>
        <w:jc w:val="both"/>
        <w:rPr>
          <w:color w:val="000000"/>
          <w:lang w:bidi="he-IL"/>
        </w:rPr>
      </w:pPr>
      <w:r>
        <w:rPr>
          <w:color w:val="000000"/>
          <w:rtl/>
          <w:lang w:bidi="he-IL"/>
        </w:rPr>
        <w:tab/>
        <w:t>חולקים תנאים איך לבאר הפסוקים. אחד בא להכשיר צדדים (כל מקום בעזרה), אחד (השלישי) בא לומר שצריך להיות שאהל מועד (ההיכל [</w:t>
      </w:r>
      <w:r w:rsidR="00F66278">
        <w:rPr>
          <w:rFonts w:hint="cs"/>
          <w:color w:val="000000"/>
          <w:rtl/>
          <w:lang w:bidi="he-IL"/>
        </w:rPr>
        <w:t>פ</w:t>
      </w:r>
      <w:r w:rsidR="00954653">
        <w:rPr>
          <w:rFonts w:hint="cs"/>
          <w:color w:val="000000"/>
          <w:rtl/>
          <w:lang w:bidi="he-IL"/>
        </w:rPr>
        <w:t>ז</w:t>
      </w:r>
      <w:r w:rsidR="00F66278">
        <w:rPr>
          <w:rFonts w:hint="cs"/>
          <w:color w:val="000000"/>
          <w:rtl/>
          <w:lang w:bidi="he-IL"/>
        </w:rPr>
        <w:t>]</w:t>
      </w:r>
      <w:r>
        <w:rPr>
          <w:color w:val="000000"/>
          <w:rtl/>
          <w:lang w:bidi="he-IL"/>
        </w:rPr>
        <w:t>) פתוח בשעת שחיטה, וחולקים בביאור פסוק הנותר. ת"ק סובר שהפסוק בא לפסול צדי צדדים [</w:t>
      </w:r>
      <w:r w:rsidR="00903023">
        <w:rPr>
          <w:rFonts w:hint="cs"/>
          <w:color w:val="000000"/>
          <w:rtl/>
          <w:lang w:bidi="he-IL"/>
        </w:rPr>
        <w:t>פ</w:t>
      </w:r>
      <w:r w:rsidR="00954653">
        <w:rPr>
          <w:rFonts w:hint="cs"/>
          <w:color w:val="000000"/>
          <w:rtl/>
          <w:lang w:bidi="he-IL"/>
        </w:rPr>
        <w:t>ח]</w:t>
      </w:r>
      <w:r>
        <w:rPr>
          <w:color w:val="000000"/>
          <w:rtl/>
          <w:lang w:bidi="he-IL"/>
        </w:rPr>
        <w:t>, ור’ אליעזר סובר שהפסוק בא להכשיר שחיטה בצפון. [</w:t>
      </w:r>
      <w:r w:rsidR="00903023">
        <w:rPr>
          <w:rFonts w:hint="cs"/>
          <w:color w:val="000000"/>
          <w:rtl/>
          <w:lang w:bidi="he-IL"/>
        </w:rPr>
        <w:t>פ</w:t>
      </w:r>
      <w:r w:rsidR="00954653">
        <w:rPr>
          <w:rFonts w:hint="cs"/>
          <w:color w:val="000000"/>
          <w:rtl/>
          <w:lang w:bidi="he-IL"/>
        </w:rPr>
        <w:t>ט</w:t>
      </w:r>
      <w:r>
        <w:rPr>
          <w:color w:val="000000"/>
          <w:rtl/>
          <w:lang w:bidi="he-IL"/>
        </w:rPr>
        <w:t>]</w:t>
      </w:r>
    </w:p>
  </w:footnote>
  <w:footnote w:id="7">
    <w:p w14:paraId="4EBBCBED" w14:textId="77777777" w:rsidR="00526C69" w:rsidRDefault="00000000" w:rsidP="00454C4F">
      <w:pPr>
        <w:pStyle w:val="FootnoteText"/>
        <w:jc w:val="both"/>
        <w:rPr>
          <w:lang w:bidi="he-IL"/>
        </w:rPr>
      </w:pPr>
      <w:r>
        <w:rPr>
          <w:rStyle w:val="FootnoteCharacters"/>
        </w:rPr>
        <w:footnoteRef/>
      </w:r>
      <w:r>
        <w:rPr>
          <w:rtl/>
          <w:lang w:bidi="he-IL"/>
        </w:rPr>
        <w:tab/>
        <w:t>צריכים להקדים בביאור מקומות לענין אכילה. בין הכל, יש ארבע מקומות:</w:t>
      </w:r>
    </w:p>
    <w:p w14:paraId="158B2EC6" w14:textId="77777777" w:rsidR="00526C69" w:rsidRDefault="00000000" w:rsidP="00454C4F">
      <w:pPr>
        <w:pStyle w:val="FootnoteText"/>
        <w:numPr>
          <w:ilvl w:val="0"/>
          <w:numId w:val="3"/>
        </w:numPr>
        <w:jc w:val="both"/>
        <w:rPr>
          <w:lang w:bidi="he-IL"/>
        </w:rPr>
      </w:pPr>
      <w:r>
        <w:rPr>
          <w:rtl/>
          <w:lang w:bidi="he-IL"/>
        </w:rPr>
        <w:t>מחנה שכינה.</w:t>
      </w:r>
    </w:p>
    <w:p w14:paraId="178E1615" w14:textId="77777777" w:rsidR="00526C69" w:rsidRDefault="00000000" w:rsidP="00454C4F">
      <w:pPr>
        <w:pStyle w:val="FootnoteText"/>
        <w:numPr>
          <w:ilvl w:val="0"/>
          <w:numId w:val="3"/>
        </w:numPr>
        <w:jc w:val="both"/>
        <w:rPr>
          <w:lang w:bidi="he-IL"/>
        </w:rPr>
      </w:pPr>
      <w:r>
        <w:rPr>
          <w:rtl/>
          <w:lang w:bidi="he-IL"/>
        </w:rPr>
        <w:t>מחנה לוייה.</w:t>
      </w:r>
    </w:p>
    <w:p w14:paraId="40F1E74A" w14:textId="77777777" w:rsidR="00526C69" w:rsidRDefault="00000000" w:rsidP="00454C4F">
      <w:pPr>
        <w:pStyle w:val="FootnoteText"/>
        <w:numPr>
          <w:ilvl w:val="0"/>
          <w:numId w:val="3"/>
        </w:numPr>
        <w:jc w:val="both"/>
        <w:rPr>
          <w:lang w:bidi="he-IL"/>
        </w:rPr>
      </w:pPr>
      <w:r>
        <w:rPr>
          <w:rtl/>
          <w:lang w:bidi="he-IL"/>
        </w:rPr>
        <w:t>מחנה ישראל.</w:t>
      </w:r>
    </w:p>
    <w:p w14:paraId="1B42DC8C" w14:textId="77777777" w:rsidR="00526C69" w:rsidRDefault="00000000" w:rsidP="00454C4F">
      <w:pPr>
        <w:pStyle w:val="FootnoteText"/>
        <w:numPr>
          <w:ilvl w:val="0"/>
          <w:numId w:val="3"/>
        </w:numPr>
        <w:jc w:val="both"/>
        <w:rPr>
          <w:lang w:bidi="he-IL"/>
        </w:rPr>
      </w:pPr>
      <w:r>
        <w:rPr>
          <w:rtl/>
          <w:lang w:bidi="he-IL"/>
        </w:rPr>
        <w:t>חוץ למחנות.</w:t>
      </w:r>
    </w:p>
    <w:p w14:paraId="6F13B874" w14:textId="77777777" w:rsidR="00526C69" w:rsidRDefault="00000000" w:rsidP="00454C4F">
      <w:pPr>
        <w:pStyle w:val="FootnoteText"/>
        <w:jc w:val="both"/>
        <w:rPr>
          <w:lang w:bidi="he-IL"/>
        </w:rPr>
      </w:pPr>
      <w:r>
        <w:rPr>
          <w:rtl/>
          <w:lang w:bidi="he-IL"/>
        </w:rPr>
        <w:tab/>
        <w:t>קרבנות אלו נאכלים במחנה ישראל.</w:t>
      </w:r>
    </w:p>
    <w:p w14:paraId="629832EC" w14:textId="7770AB5D" w:rsidR="00526C69" w:rsidRDefault="00000000" w:rsidP="00454C4F">
      <w:pPr>
        <w:pStyle w:val="FootnoteText"/>
        <w:jc w:val="both"/>
        <w:rPr>
          <w:lang w:bidi="he-IL"/>
        </w:rPr>
      </w:pPr>
      <w:r>
        <w:rPr>
          <w:rtl/>
          <w:lang w:bidi="he-IL"/>
        </w:rPr>
        <w:tab/>
        <w:t>לומדים את זה מדרשת שני פסוקים, ויש שני צדדים בגמ’ איך, בדיוק, דורשים אותם. פסוק ראשון הוא במנחה, ואומר: “ואכלתם אותה במקום קודש.” מ"אותה" דורשים למעט שאלו לא צריכים להיות במקום קודש. פסוק השני הוא: “ואת חזה התנופה ואת שוק התרומה תאכלו במקום טהור.” [</w:t>
      </w:r>
      <w:r w:rsidR="00954653">
        <w:rPr>
          <w:rFonts w:hint="cs"/>
          <w:rtl/>
          <w:lang w:bidi="he-IL"/>
        </w:rPr>
        <w:t>צ</w:t>
      </w:r>
      <w:r w:rsidR="004572FA">
        <w:rPr>
          <w:rFonts w:hint="cs"/>
          <w:rtl/>
          <w:lang w:bidi="he-IL"/>
        </w:rPr>
        <w:t>]</w:t>
      </w:r>
    </w:p>
    <w:p w14:paraId="03E68073" w14:textId="77777777" w:rsidR="00526C69" w:rsidRDefault="00000000" w:rsidP="00454C4F">
      <w:pPr>
        <w:pStyle w:val="FootnoteText"/>
        <w:jc w:val="both"/>
        <w:rPr>
          <w:lang w:bidi="he-IL"/>
        </w:rPr>
      </w:pPr>
      <w:r>
        <w:rPr>
          <w:rtl/>
          <w:lang w:bidi="he-IL"/>
        </w:rPr>
        <w:tab/>
        <w:t>יש שני מהלכים לדרוש, ואחד נדחה:</w:t>
      </w:r>
    </w:p>
    <w:p w14:paraId="3CDA60CB" w14:textId="386B0EEA" w:rsidR="00526C69" w:rsidRDefault="00000000" w:rsidP="00454C4F">
      <w:pPr>
        <w:pStyle w:val="FootnoteText"/>
        <w:numPr>
          <w:ilvl w:val="0"/>
          <w:numId w:val="4"/>
        </w:numPr>
        <w:jc w:val="both"/>
        <w:rPr>
          <w:lang w:bidi="he-IL"/>
        </w:rPr>
      </w:pPr>
      <w:r>
        <w:rPr>
          <w:rtl/>
          <w:lang w:bidi="he-IL"/>
        </w:rPr>
        <w:t>אביי אומר שמן הראשון דורשים שלא צריך להיות במחנה שכינה. אבל, עדיין יצטרך להיות במחנה לויה. כיון שכתיב פסוק שני, דורשים שלא צריך להיות במחנה לויה, ויכול להיות גם במחנה ישראל, שהוא מקום שהוא קצת טהור, שהוא טהור מן המצורעים, אבל לא טהור מן הזבים ומן טמאי מת. [</w:t>
      </w:r>
      <w:r w:rsidR="00A07A88">
        <w:rPr>
          <w:rFonts w:hint="cs"/>
          <w:rtl/>
          <w:lang w:bidi="he-IL"/>
        </w:rPr>
        <w:t>צ</w:t>
      </w:r>
      <w:r w:rsidR="00954653">
        <w:rPr>
          <w:rFonts w:hint="cs"/>
          <w:rtl/>
          <w:lang w:bidi="he-IL"/>
        </w:rPr>
        <w:t>א</w:t>
      </w:r>
      <w:r w:rsidR="00A07A88">
        <w:rPr>
          <w:rFonts w:hint="cs"/>
          <w:rtl/>
          <w:lang w:bidi="he-IL"/>
        </w:rPr>
        <w:t>]</w:t>
      </w:r>
    </w:p>
    <w:p w14:paraId="20C01B3F" w14:textId="77777777" w:rsidR="00526C69" w:rsidRDefault="00000000" w:rsidP="00454C4F">
      <w:pPr>
        <w:pStyle w:val="FootnoteText"/>
        <w:numPr>
          <w:ilvl w:val="0"/>
          <w:numId w:val="4"/>
        </w:numPr>
        <w:jc w:val="both"/>
        <w:rPr>
          <w:color w:val="000000"/>
          <w:lang w:bidi="he-IL"/>
        </w:rPr>
      </w:pPr>
      <w:r>
        <w:rPr>
          <w:color w:val="000000"/>
          <w:rtl/>
          <w:lang w:bidi="he-IL"/>
        </w:rPr>
        <w:t>רבא אומר שמן הראשון היינו דורשים שלא צריך להיות בשום מקום, ויכול להיות גם חוץ למחנות. מפסוק שני דורשים שצריך להיות מחנה טהורה, ואז צריך להיות עכ"פ במחנה ישראל.</w:t>
      </w:r>
    </w:p>
    <w:p w14:paraId="04E20F04" w14:textId="77777777" w:rsidR="00526C69" w:rsidRDefault="00000000" w:rsidP="00454C4F">
      <w:pPr>
        <w:pStyle w:val="FootnoteText"/>
        <w:ind w:left="720"/>
        <w:jc w:val="both"/>
        <w:rPr>
          <w:color w:val="000000"/>
          <w:lang w:bidi="he-IL"/>
        </w:rPr>
      </w:pPr>
      <w:r>
        <w:rPr>
          <w:color w:val="000000"/>
          <w:rtl/>
          <w:lang w:bidi="he-IL"/>
        </w:rPr>
        <w:t>גמרא מקשה על זה שני קושיות, ומפני זה דוחה אותו:</w:t>
      </w:r>
    </w:p>
    <w:p w14:paraId="6F66B8BC" w14:textId="5D76705E" w:rsidR="00526C69" w:rsidRDefault="00000000" w:rsidP="00454C4F">
      <w:pPr>
        <w:pStyle w:val="FootnoteText"/>
        <w:numPr>
          <w:ilvl w:val="1"/>
          <w:numId w:val="4"/>
        </w:numPr>
        <w:jc w:val="both"/>
        <w:rPr>
          <w:color w:val="000000"/>
          <w:lang w:bidi="he-IL"/>
        </w:rPr>
      </w:pPr>
      <w:r>
        <w:rPr>
          <w:color w:val="000000"/>
          <w:rtl/>
          <w:lang w:bidi="he-IL"/>
        </w:rPr>
        <w:t>מקשה למה, בדרשת פסוק ראשון, מוציאים אותו מכל המחנות, ומדרשת פסוק שני רק מכניסים אותו מחנה אחת. [</w:t>
      </w:r>
      <w:r w:rsidR="00F747E5">
        <w:rPr>
          <w:rFonts w:hint="cs"/>
          <w:color w:val="000000"/>
          <w:rtl/>
          <w:lang w:bidi="he-IL"/>
        </w:rPr>
        <w:t>צ</w:t>
      </w:r>
      <w:r w:rsidR="00954653">
        <w:rPr>
          <w:rFonts w:hint="cs"/>
          <w:color w:val="000000"/>
          <w:rtl/>
          <w:lang w:bidi="he-IL"/>
        </w:rPr>
        <w:t>ב</w:t>
      </w:r>
      <w:r w:rsidR="00F747E5">
        <w:rPr>
          <w:rFonts w:hint="cs"/>
          <w:color w:val="000000"/>
          <w:rtl/>
          <w:lang w:bidi="he-IL"/>
        </w:rPr>
        <w:t>]</w:t>
      </w:r>
    </w:p>
    <w:p w14:paraId="52C9EB8C" w14:textId="77777777" w:rsidR="00526C69" w:rsidRDefault="00000000" w:rsidP="00454C4F">
      <w:pPr>
        <w:pStyle w:val="FootnoteText"/>
        <w:numPr>
          <w:ilvl w:val="1"/>
          <w:numId w:val="4"/>
        </w:numPr>
        <w:jc w:val="both"/>
        <w:rPr>
          <w:color w:val="000000"/>
          <w:lang w:bidi="he-IL"/>
        </w:rPr>
      </w:pPr>
      <w:r>
        <w:rPr>
          <w:color w:val="000000"/>
          <w:rtl/>
          <w:lang w:bidi="he-IL"/>
        </w:rPr>
        <w:t xml:space="preserve">מקשה איך יש הו"א שיכול לאכול אותו מחוץ למחנות, אחרי שאומר, “לא תוכל לאכול בשעריך… כל נדריך ונדבותיך,” שאוסר לאכול חוץ למחנות. </w:t>
      </w:r>
      <w:r>
        <w:rPr>
          <w:b/>
          <w:bCs/>
          <w:color w:val="000000"/>
          <w:u w:val="single"/>
          <w:rtl/>
          <w:lang w:bidi="he-IL"/>
        </w:rPr>
        <w:t>(נה.)</w:t>
      </w:r>
    </w:p>
  </w:footnote>
  <w:footnote w:id="8">
    <w:p w14:paraId="275E3F64" w14:textId="77777777" w:rsidR="00526C69" w:rsidRDefault="00000000" w:rsidP="00454C4F">
      <w:pPr>
        <w:pStyle w:val="FootnoteText"/>
        <w:jc w:val="both"/>
        <w:rPr>
          <w:lang w:bidi="he-IL"/>
        </w:rPr>
      </w:pPr>
      <w:r>
        <w:rPr>
          <w:rStyle w:val="FootnoteCharacters"/>
        </w:rPr>
        <w:footnoteRef/>
      </w:r>
      <w:r>
        <w:rPr>
          <w:rtl/>
          <w:lang w:bidi="he-IL"/>
        </w:rPr>
        <w:tab/>
        <w:t>אין מקור שרק זכרי כהונה יכולים לאכול קדשים קלים. אז, אפילו זר יכול לאכול אותם, ואפילו אשה יכולה לאכול אותם.</w:t>
      </w:r>
    </w:p>
  </w:footnote>
  <w:footnote w:id="9">
    <w:p w14:paraId="65B29786" w14:textId="77777777" w:rsidR="00526C69" w:rsidRDefault="00000000" w:rsidP="00454C4F">
      <w:pPr>
        <w:pStyle w:val="FootnoteText"/>
        <w:jc w:val="both"/>
        <w:rPr>
          <w:lang w:bidi="he-IL"/>
        </w:rPr>
      </w:pPr>
      <w:r>
        <w:rPr>
          <w:rStyle w:val="FootnoteCharacters"/>
        </w:rPr>
        <w:footnoteRef/>
      </w:r>
      <w:r>
        <w:rPr>
          <w:rtl/>
          <w:lang w:bidi="he-IL"/>
        </w:rPr>
        <w:tab/>
        <w:t>המקור שתודה נאכל ליום אחד הוא שכ’ בפירוש, “ביום קרבנו יאכל.”</w:t>
      </w:r>
    </w:p>
    <w:p w14:paraId="0F6BD25D" w14:textId="58E0DF06" w:rsidR="00526C69" w:rsidRDefault="00000000" w:rsidP="00454C4F">
      <w:pPr>
        <w:pStyle w:val="FootnoteText"/>
        <w:jc w:val="both"/>
        <w:rPr>
          <w:lang w:bidi="he-IL"/>
        </w:rPr>
      </w:pPr>
      <w:r>
        <w:rPr>
          <w:rtl/>
          <w:lang w:bidi="he-IL"/>
        </w:rPr>
        <w:tab/>
        <w:t>המקור שאיל נזיר נאכל ליום אחד הוא שכ’, באותו פסוק, “תודת שלמיו.” זה מרבה איל נזיר, שהוא קרבן שלמים.</w:t>
      </w:r>
      <w:r w:rsidR="00CF2DF7">
        <w:rPr>
          <w:rFonts w:hint="cs"/>
          <w:rtl/>
          <w:lang w:bidi="he-IL"/>
        </w:rPr>
        <w:t xml:space="preserve"> [</w:t>
      </w:r>
      <w:r w:rsidR="005E67DB">
        <w:rPr>
          <w:rFonts w:hint="cs"/>
          <w:rtl/>
          <w:lang w:bidi="he-IL"/>
        </w:rPr>
        <w:t>צ</w:t>
      </w:r>
      <w:r w:rsidR="00954653">
        <w:rPr>
          <w:rFonts w:hint="cs"/>
          <w:rtl/>
          <w:lang w:bidi="he-IL"/>
        </w:rPr>
        <w:t>ג</w:t>
      </w:r>
      <w:r w:rsidR="00CF2DF7">
        <w:rPr>
          <w:rFonts w:hint="cs"/>
          <w:rtl/>
          <w:lang w:bidi="he-IL"/>
        </w:rPr>
        <w:t>]</w:t>
      </w:r>
      <w:r>
        <w:rPr>
          <w:rtl/>
          <w:lang w:bidi="he-IL"/>
        </w:rPr>
        <w:t xml:space="preserve"> </w:t>
      </w:r>
    </w:p>
  </w:footnote>
  <w:footnote w:id="10">
    <w:p w14:paraId="3671F5BB" w14:textId="2C367505" w:rsidR="00526C69" w:rsidRDefault="00000000" w:rsidP="00454C4F">
      <w:pPr>
        <w:pStyle w:val="FootnoteText"/>
        <w:jc w:val="both"/>
        <w:rPr>
          <w:lang w:bidi="he-IL"/>
        </w:rPr>
      </w:pPr>
      <w:r>
        <w:rPr>
          <w:rStyle w:val="FootnoteCharacters"/>
        </w:rPr>
        <w:footnoteRef/>
      </w:r>
      <w:r>
        <w:rPr>
          <w:rtl/>
          <w:lang w:bidi="he-IL"/>
        </w:rPr>
        <w:tab/>
        <w:t xml:space="preserve">יש עוד קרבן שהוא קדשים קלים ונאכל רק ליום אחד, והוא שלמי פסח. בערב פסח, יש להקריב את קרבן שלמים. בפסחים (ע), חולקים אם זה חיוב (יש שדורשים כן מ" וזבחת פסח לה'… צאן ובקר") או רשות (שנקרב רק כדי לאכול קרבן פסח על השבע). דורשים מ"שלמיו" שגם אותו קרבן שלמים נאכל רק ליום אחד. </w:t>
      </w:r>
      <w:r w:rsidR="00F02FDD">
        <w:rPr>
          <w:rFonts w:hint="cs"/>
          <w:rtl/>
          <w:lang w:bidi="he-IL"/>
        </w:rPr>
        <w:t>[צ</w:t>
      </w:r>
      <w:r w:rsidR="00954653">
        <w:rPr>
          <w:rFonts w:hint="cs"/>
          <w:rtl/>
          <w:lang w:bidi="he-IL"/>
        </w:rPr>
        <w:t>ד</w:t>
      </w:r>
      <w:r w:rsidR="00CF2DF7">
        <w:rPr>
          <w:rFonts w:hint="cs"/>
          <w:rtl/>
          <w:lang w:bidi="he-IL"/>
        </w:rPr>
        <w:t>]</w:t>
      </w:r>
    </w:p>
  </w:footnote>
  <w:footnote w:id="11">
    <w:p w14:paraId="4CECC666" w14:textId="77777777" w:rsidR="00526C69" w:rsidRDefault="00000000" w:rsidP="00454C4F">
      <w:pPr>
        <w:pStyle w:val="FootnoteText"/>
        <w:jc w:val="both"/>
        <w:rPr>
          <w:lang w:bidi="he-IL"/>
        </w:rPr>
      </w:pPr>
      <w:r>
        <w:rPr>
          <w:rStyle w:val="FootnoteCharacters"/>
        </w:rPr>
        <w:footnoteRef/>
      </w:r>
      <w:r>
        <w:rPr>
          <w:rtl/>
          <w:lang w:bidi="he-IL"/>
        </w:rPr>
        <w:tab/>
        <w:t>מכל קרבן שלמים מרימים חזה ושוק (ואחד מעשרה ככרות לחם) ונותנים אותם לכהנים. זה נקרא "מורם מהם.”</w:t>
      </w:r>
    </w:p>
  </w:footnote>
  <w:footnote w:id="12">
    <w:p w14:paraId="32840B20" w14:textId="77777777" w:rsidR="00526C69" w:rsidRDefault="00000000" w:rsidP="00454C4F">
      <w:pPr>
        <w:pStyle w:val="FootnoteText"/>
        <w:jc w:val="both"/>
        <w:rPr>
          <w:lang w:bidi="he-IL"/>
        </w:rPr>
      </w:pPr>
      <w:r>
        <w:rPr>
          <w:rStyle w:val="FootnoteCharacters"/>
        </w:rPr>
        <w:footnoteRef/>
      </w:r>
      <w:r>
        <w:rPr>
          <w:rtl/>
          <w:lang w:bidi="he-IL"/>
        </w:rPr>
        <w:tab/>
        <w:t>המקור לזה הוא שכ’, “ואת חזה התנופה… תאכלו… אתה ובניך ובנותיך."</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68D1"/>
    <w:multiLevelType w:val="multilevel"/>
    <w:tmpl w:val="DE10B2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1657D7A"/>
    <w:multiLevelType w:val="multilevel"/>
    <w:tmpl w:val="E41C82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F9F0A51"/>
    <w:multiLevelType w:val="multilevel"/>
    <w:tmpl w:val="E368A7C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78551E08"/>
    <w:multiLevelType w:val="multilevel"/>
    <w:tmpl w:val="9BD6D9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976524170">
    <w:abstractNumId w:val="1"/>
  </w:num>
  <w:num w:numId="2" w16cid:durableId="1464730294">
    <w:abstractNumId w:val="2"/>
  </w:num>
  <w:num w:numId="3" w16cid:durableId="1916623906">
    <w:abstractNumId w:val="3"/>
  </w:num>
  <w:num w:numId="4" w16cid:durableId="207704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26C69"/>
    <w:rsid w:val="00081CB7"/>
    <w:rsid w:val="00085281"/>
    <w:rsid w:val="000F3F4A"/>
    <w:rsid w:val="00280944"/>
    <w:rsid w:val="004440F5"/>
    <w:rsid w:val="00454C4F"/>
    <w:rsid w:val="004572FA"/>
    <w:rsid w:val="004C37F9"/>
    <w:rsid w:val="00526C69"/>
    <w:rsid w:val="00551BC0"/>
    <w:rsid w:val="005E67DB"/>
    <w:rsid w:val="00635A0E"/>
    <w:rsid w:val="00903023"/>
    <w:rsid w:val="00954653"/>
    <w:rsid w:val="00A07A88"/>
    <w:rsid w:val="00B60D49"/>
    <w:rsid w:val="00BD7A84"/>
    <w:rsid w:val="00C7663A"/>
    <w:rsid w:val="00CF2DF7"/>
    <w:rsid w:val="00F02FDD"/>
    <w:rsid w:val="00F30B68"/>
    <w:rsid w:val="00F66278"/>
    <w:rsid w:val="00F747E5"/>
    <w:rsid w:val="00F8532C"/>
    <w:rsid w:val="00FB7F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5876"/>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F5"/>
    <w:pPr>
      <w:bidi/>
      <w:spacing w:before="120" w:after="120" w:line="276" w:lineRule="auto"/>
    </w:pPr>
  </w:style>
  <w:style w:type="paragraph" w:styleId="Heading2">
    <w:name w:val="heading 2"/>
    <w:basedOn w:val="Normal"/>
    <w:next w:val="Normal"/>
    <w:uiPriority w:val="9"/>
    <w:unhideWhenUsed/>
    <w:qFormat/>
    <w:rsid w:val="004440F5"/>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4440F5"/>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16</cp:revision>
  <dcterms:created xsi:type="dcterms:W3CDTF">2025-11-05T18:22:00Z</dcterms:created>
  <dcterms:modified xsi:type="dcterms:W3CDTF">2025-11-10T18:33:00Z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2025-11-04T12:13:19Z</dcterms:created>
  <dc:creator/>
  <dc:description/>
  <dc:language>en-US</dc:language>
  <cp:lastModifiedBy/>
  <dcterms:modified xsi:type="dcterms:W3CDTF">2025-11-04T12:22:34Z</dcterms:modified>
  <cp:revision>2</cp:revision>
  <dc:subject/>
  <dc:title/>
</cp:coreProperties>
</file>