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43EBB" w14:textId="77777777" w:rsidR="00434B14" w:rsidRDefault="00000000" w:rsidP="00E96F71">
      <w:pPr>
        <w:pStyle w:val="Heading2"/>
        <w:jc w:val="both"/>
        <w:rPr>
          <w:rFonts w:cs="David"/>
        </w:rPr>
      </w:pPr>
      <w:r>
        <w:rPr>
          <w:rFonts w:ascii="David" w:hAnsi="David" w:cs="David"/>
          <w:rtl/>
        </w:rPr>
        <w:t>משנה ז.</w:t>
      </w:r>
      <w:r>
        <w:rPr>
          <w:rStyle w:val="FootnoteReference"/>
          <w:rFonts w:ascii="David" w:hAnsi="David" w:cs="David"/>
          <w:rtl/>
        </w:rPr>
        <w:footnoteReference w:id="1"/>
      </w:r>
    </w:p>
    <w:p w14:paraId="30574A0D" w14:textId="77777777" w:rsidR="00434B14" w:rsidRDefault="00000000" w:rsidP="00E96F71">
      <w:pPr>
        <w:jc w:val="both"/>
        <w:rPr>
          <w:rFonts w:cs="David"/>
        </w:rPr>
      </w:pPr>
      <w:r>
        <w:rPr>
          <w:rStyle w:val="FootnoteReference"/>
          <w:rFonts w:ascii="David" w:hAnsi="David" w:cs="David"/>
          <w:rtl/>
        </w:rPr>
        <w:footnoteReference w:id="2"/>
      </w:r>
      <w:r>
        <w:rPr>
          <w:rFonts w:ascii="David" w:hAnsi="David" w:cs="David"/>
          <w:rtl/>
        </w:rPr>
        <w:t>שְׁלָמִים</w:t>
      </w:r>
      <w:r>
        <w:rPr>
          <w:rStyle w:val="FootnoteReference"/>
          <w:rFonts w:ascii="David" w:hAnsi="David" w:cs="David"/>
          <w:rtl/>
        </w:rPr>
        <w:footnoteReference w:id="3"/>
      </w:r>
      <w:r>
        <w:rPr>
          <w:rFonts w:ascii="David" w:hAnsi="David" w:cs="David"/>
          <w:rtl/>
        </w:rPr>
        <w:t>, קָדָשִׁים קַלִּים</w:t>
      </w:r>
      <w:r>
        <w:rPr>
          <w:rStyle w:val="FootnoteReference"/>
          <w:rFonts w:ascii="David" w:hAnsi="David" w:cs="David"/>
          <w:rtl/>
        </w:rPr>
        <w:footnoteReference w:id="4"/>
      </w:r>
      <w:r>
        <w:rPr>
          <w:rFonts w:ascii="David" w:hAnsi="David" w:cs="David"/>
          <w:rtl/>
        </w:rPr>
        <w:t>, שְׁחִיטָתָן בְּכָל מָקוֹם בָּעֲזָרָה, וְדָמָן טָעוּן שְׁתֵּי מַתָּנוֹת שֶׁהֵן אַרְבַּע, וְנֶאֱכָלִין בְּכָל הָעִיר לְכָל אָדָם, בְּכָל מַאֲכָל, לִשְׁנֵי יָמִים וְלַיְלָה אֶחָד</w:t>
      </w:r>
      <w:r>
        <w:rPr>
          <w:rStyle w:val="FootnoteReference"/>
          <w:rFonts w:ascii="David" w:hAnsi="David" w:cs="David"/>
          <w:rtl/>
        </w:rPr>
        <w:footnoteReference w:id="5"/>
      </w:r>
      <w:r>
        <w:rPr>
          <w:rFonts w:ascii="David" w:hAnsi="David" w:cs="David"/>
          <w:rtl/>
        </w:rPr>
        <w:t xml:space="preserve">. הַמּוּרָם מֵהֶם כַּיּוֹצֵא בָהֶן, אֶלָּא שֶׁהַמּוּרָם נֶאֱכָל לַכֹּהֲנִים, לִנְשֵׁיהֶם וְלִבְנֵיהֶם וּלְעַבְדֵיהֶם: </w:t>
      </w:r>
    </w:p>
    <w:sectPr w:rsidR="00434B14" w:rsidSect="00E96F71">
      <w:pgSz w:w="7200" w:h="11520"/>
      <w:pgMar w:top="720" w:right="720" w:bottom="720" w:left="720" w:header="0" w:footer="0" w:gutter="0"/>
      <w:cols w:space="720"/>
      <w:formProt w:val="0"/>
      <w:bidi/>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4B948" w14:textId="77777777" w:rsidR="00976F25" w:rsidRDefault="00976F25">
      <w:r>
        <w:separator/>
      </w:r>
    </w:p>
  </w:endnote>
  <w:endnote w:type="continuationSeparator" w:id="0">
    <w:p w14:paraId="206F0E47" w14:textId="77777777" w:rsidR="00976F25" w:rsidRDefault="00976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0"/>
    <w:family w:val="roman"/>
    <w:pitch w:val="variable"/>
    <w:sig w:usb0="A00002AF" w:usb1="500078FB" w:usb2="00000000" w:usb3="00000000" w:csb0="0000009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A00002AF" w:usb1="500078FB" w:usb2="00000000" w:usb3="00000000" w:csb0="0000009F" w:csb1="00000000"/>
  </w:font>
  <w:font w:name="Microsoft YaHei">
    <w:panose1 w:val="020B0503020204020204"/>
    <w:charset w:val="00"/>
    <w:family w:val="roman"/>
    <w:notTrueType/>
    <w:pitch w:val="default"/>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287EA" w14:textId="77777777" w:rsidR="00976F25" w:rsidRDefault="00976F25">
      <w:r>
        <w:separator/>
      </w:r>
    </w:p>
  </w:footnote>
  <w:footnote w:type="continuationSeparator" w:id="0">
    <w:p w14:paraId="0524BAF1" w14:textId="77777777" w:rsidR="00976F25" w:rsidRDefault="00976F25">
      <w:r>
        <w:continuationSeparator/>
      </w:r>
    </w:p>
  </w:footnote>
  <w:footnote w:id="1">
    <w:p w14:paraId="6CD293BB" w14:textId="77777777" w:rsidR="00434B14" w:rsidRDefault="00000000" w:rsidP="00E96F71">
      <w:pPr>
        <w:pStyle w:val="FootnoteText"/>
        <w:jc w:val="both"/>
        <w:rPr>
          <w:b/>
          <w:bCs/>
          <w:lang w:bidi="he-IL"/>
        </w:rPr>
      </w:pPr>
      <w:r>
        <w:rPr>
          <w:rStyle w:val="FootnoteCharacters"/>
        </w:rPr>
        <w:footnoteRef/>
      </w:r>
      <w:r>
        <w:rPr>
          <w:b/>
          <w:bCs/>
          <w:rtl/>
          <w:lang w:bidi="he-IL"/>
        </w:rPr>
        <w:tab/>
        <w:t>משנה ז.</w:t>
      </w:r>
    </w:p>
  </w:footnote>
  <w:footnote w:id="2">
    <w:p w14:paraId="657A5FDF" w14:textId="1CD7984A" w:rsidR="00434B14" w:rsidRDefault="00000000" w:rsidP="00E96F71">
      <w:pPr>
        <w:pStyle w:val="FootnoteText"/>
        <w:jc w:val="both"/>
        <w:rPr>
          <w:lang w:bidi="he-IL"/>
        </w:rPr>
      </w:pPr>
      <w:r>
        <w:rPr>
          <w:rStyle w:val="FootnoteCharacters"/>
        </w:rPr>
        <w:footnoteRef/>
      </w:r>
      <w:r>
        <w:rPr>
          <w:rtl/>
          <w:lang w:bidi="he-IL"/>
        </w:rPr>
        <w:tab/>
      </w:r>
      <w:r>
        <w:rPr>
          <w:rtl/>
          <w:lang w:bidi="he-IL"/>
        </w:rPr>
        <w:t xml:space="preserve">לכאו’, </w:t>
      </w:r>
      <w:r>
        <w:rPr>
          <w:rtl/>
          <w:lang w:bidi="he-IL"/>
        </w:rPr>
        <w:t xml:space="preserve">ממשיך מתודה לשלמים, כיון שתודה מין שלמים (ד.). </w:t>
      </w:r>
      <w:r w:rsidR="00D2486D">
        <w:rPr>
          <w:rFonts w:hint="cs"/>
          <w:rtl/>
          <w:lang w:bidi="he-IL"/>
        </w:rPr>
        <w:t>[</w:t>
      </w:r>
      <w:r w:rsidR="00FC4709">
        <w:rPr>
          <w:rFonts w:hint="cs"/>
          <w:rtl/>
          <w:lang w:bidi="he-IL"/>
        </w:rPr>
        <w:t>צ</w:t>
      </w:r>
      <w:r w:rsidR="00BC5288">
        <w:rPr>
          <w:rFonts w:hint="cs"/>
          <w:rtl/>
          <w:lang w:bidi="he-IL"/>
        </w:rPr>
        <w:t>ה</w:t>
      </w:r>
      <w:r w:rsidR="00D2486D">
        <w:rPr>
          <w:rFonts w:hint="cs"/>
          <w:rtl/>
          <w:lang w:bidi="he-IL"/>
        </w:rPr>
        <w:t>]</w:t>
      </w:r>
      <w:r>
        <w:rPr>
          <w:rtl/>
          <w:lang w:bidi="he-IL"/>
        </w:rPr>
        <w:t xml:space="preserve"> </w:t>
      </w:r>
    </w:p>
  </w:footnote>
  <w:footnote w:id="3">
    <w:p w14:paraId="22BCE06E" w14:textId="77777777" w:rsidR="00434B14" w:rsidRDefault="00000000" w:rsidP="00E96F71">
      <w:pPr>
        <w:pStyle w:val="FootnoteText"/>
        <w:jc w:val="both"/>
        <w:rPr>
          <w:lang w:bidi="he-IL"/>
        </w:rPr>
      </w:pPr>
      <w:r>
        <w:rPr>
          <w:rStyle w:val="FootnoteCharacters"/>
        </w:rPr>
        <w:footnoteRef/>
      </w:r>
      <w:r>
        <w:rPr>
          <w:rtl/>
          <w:lang w:bidi="he-IL"/>
        </w:rPr>
        <w:tab/>
      </w:r>
      <w:r>
        <w:rPr>
          <w:rtl/>
          <w:lang w:bidi="he-IL"/>
        </w:rPr>
        <w:t>קרבן שלמים הוא קרבן שבדר"כ בא בנדבה. יכול לבוא מכל מין בהמה טהורה, בין זכר בין נקבה.</w:t>
      </w:r>
    </w:p>
  </w:footnote>
  <w:footnote w:id="4">
    <w:p w14:paraId="42FA9D73" w14:textId="77777777" w:rsidR="00434B14" w:rsidRDefault="00000000" w:rsidP="00E96F71">
      <w:pPr>
        <w:pStyle w:val="FootnoteText"/>
        <w:jc w:val="both"/>
        <w:rPr>
          <w:lang w:bidi="he-IL"/>
        </w:rPr>
      </w:pPr>
      <w:r>
        <w:rPr>
          <w:rStyle w:val="FootnoteCharacters"/>
        </w:rPr>
        <w:footnoteRef/>
      </w:r>
      <w:r>
        <w:rPr>
          <w:rtl/>
          <w:lang w:bidi="he-IL"/>
        </w:rPr>
        <w:tab/>
      </w:r>
      <w:r>
        <w:rPr>
          <w:rtl/>
          <w:lang w:bidi="he-IL"/>
        </w:rPr>
        <w:t xml:space="preserve">לרוב </w:t>
      </w:r>
      <w:r>
        <w:rPr>
          <w:rtl/>
          <w:lang w:bidi="he-IL"/>
        </w:rPr>
        <w:t>דינים שלו, המקור שווה למקור שכתבנו במשנה הקודמת, ואז לא נזכיר אותו כאן.</w:t>
      </w:r>
    </w:p>
  </w:footnote>
  <w:footnote w:id="5">
    <w:p w14:paraId="2377152D" w14:textId="77777777" w:rsidR="00434B14" w:rsidRDefault="00000000" w:rsidP="00E96F71">
      <w:pPr>
        <w:pStyle w:val="FootnoteText"/>
        <w:jc w:val="both"/>
        <w:rPr>
          <w:lang w:bidi="he-IL"/>
        </w:rPr>
      </w:pPr>
      <w:r>
        <w:rPr>
          <w:rStyle w:val="FootnoteCharacters"/>
        </w:rPr>
        <w:footnoteRef/>
      </w:r>
      <w:r>
        <w:rPr>
          <w:rtl/>
          <w:lang w:bidi="he-IL"/>
        </w:rPr>
        <w:tab/>
      </w:r>
      <w:r>
        <w:rPr>
          <w:rtl/>
          <w:lang w:bidi="he-IL"/>
        </w:rPr>
        <w:t xml:space="preserve">הפסוק </w:t>
      </w:r>
      <w:r>
        <w:rPr>
          <w:rtl/>
          <w:lang w:bidi="he-IL"/>
        </w:rPr>
        <w:t xml:space="preserve">אומר בשלמים: "ביום זבחכם יאכל וממחרת." זה מלמד שאוכלים קרבן שלמים ביום שנקרב וביום שלאחריו. אבל, ביום שלאחריו, רק יכולים לאכול עד גמר היום והתחלת הלילה, אבל לא יכולים לאכול בלילה. (נמצא שלא יכול לאכול אותו יותר משלושים ושש שעות.) זה נלמד ממש”א, בסוף הפסוק, “והנותר עד יום השלישי באש ישרף.” דורשים מ”עד יום” לומר שיש דין שנוהג רק כשהוא עוד יום, והוא אכילת הקרבן, שרק יכולים לאכול אותו כשהוא עוד יום השני, ולא כשהגיע לילה של אותו היום. </w:t>
      </w:r>
    </w:p>
    <w:p w14:paraId="2A74355E" w14:textId="77777777" w:rsidR="00434B14" w:rsidRDefault="00000000" w:rsidP="00E96F71">
      <w:pPr>
        <w:pStyle w:val="FootnoteText"/>
        <w:jc w:val="both"/>
      </w:pPr>
      <w:r>
        <w:rPr>
          <w:rtl/>
          <w:lang w:bidi="he-IL"/>
        </w:rPr>
        <w:tab/>
        <w:t xml:space="preserve">אף שאסור לאכול אותו בלילה של יום שני, לא שורפים אותו עד הבוקר של יום שלישי, כיון שכ’, “ביום השלישי באש ישרף,” שאומר שנשרף ביום, ולא בלילה. </w:t>
      </w:r>
      <w:r>
        <w:rPr>
          <w:b/>
          <w:bCs/>
          <w:u w:val="single"/>
          <w:rtl/>
          <w:lang w:bidi="he-IL"/>
        </w:rPr>
        <w:t>(נו:)</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434B14"/>
    <w:rsid w:val="000F3F4A"/>
    <w:rsid w:val="002A45D2"/>
    <w:rsid w:val="003863DD"/>
    <w:rsid w:val="00434B14"/>
    <w:rsid w:val="00547C6E"/>
    <w:rsid w:val="00635A0E"/>
    <w:rsid w:val="00785637"/>
    <w:rsid w:val="00976F25"/>
    <w:rsid w:val="00B9282D"/>
    <w:rsid w:val="00BC5288"/>
    <w:rsid w:val="00C7663A"/>
    <w:rsid w:val="00CB5E6D"/>
    <w:rsid w:val="00D2486D"/>
    <w:rsid w:val="00E96F71"/>
    <w:rsid w:val="00FB7F9F"/>
    <w:rsid w:val="00FC470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BDF33"/>
  <w15:docId w15:val="{EB12E291-6B01-4540-97FF-F6FA1A093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3DD"/>
    <w:pPr>
      <w:bidi/>
      <w:spacing w:before="120" w:after="120" w:line="276" w:lineRule="auto"/>
    </w:pPr>
  </w:style>
  <w:style w:type="paragraph" w:styleId="Heading2">
    <w:name w:val="heading 2"/>
    <w:basedOn w:val="Normal"/>
    <w:next w:val="Normal"/>
    <w:uiPriority w:val="9"/>
    <w:unhideWhenUsed/>
    <w:qFormat/>
    <w:rsid w:val="003863DD"/>
    <w:pPr>
      <w:keepNext/>
      <w:keepLines/>
      <w:spacing w:before="0"/>
      <w:outlineLvl w:val="1"/>
    </w:pPr>
    <w:rPr>
      <w:rFonts w:ascii="Calibri Light" w:hAnsi="Calibri Light"/>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user">
    <w:name w:val="Footnote Characters (user)"/>
    <w:qFormat/>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Charactersuser">
    <w:name w:val="Endnote Characters (user)"/>
    <w:qFormat/>
  </w:style>
  <w:style w:type="paragraph" w:customStyle="1" w:styleId="Heading">
    <w:name w:val="Heading"/>
    <w:basedOn w:val="Normal"/>
    <w:next w:val="BodyText"/>
    <w:qFormat/>
    <w:pPr>
      <w:keepNext/>
      <w:spacing w:before="240"/>
    </w:pPr>
    <w:rPr>
      <w:rFonts w:ascii="Liberation Sans" w:eastAsia="Microsoft YaHei" w:hAnsi="Liberation Sans"/>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pPr>
    <w:rPr>
      <w:i/>
      <w:iCs/>
    </w:rPr>
  </w:style>
  <w:style w:type="paragraph" w:customStyle="1" w:styleId="Index">
    <w:name w:val="Index"/>
    <w:basedOn w:val="Normal"/>
    <w:qFormat/>
    <w:pPr>
      <w:suppressLineNumbers/>
    </w:pPr>
  </w:style>
  <w:style w:type="paragraph" w:styleId="FootnoteText">
    <w:name w:val="footnote text"/>
    <w:basedOn w:val="Normal"/>
    <w:rsid w:val="003863DD"/>
    <w:pPr>
      <w:suppressLineNumbers/>
      <w:spacing w:before="40" w:after="40"/>
      <w:ind w:left="346" w:hanging="346"/>
    </w:pPr>
    <w:rPr>
      <w:rFonts w:cs="David"/>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50</Words>
  <Characters>287</Characters>
  <Application>Microsoft Office Word</Application>
  <DocSecurity>0</DocSecurity>
  <Lines>2</Lines>
  <Paragraphs>1</Paragraphs>
  <ScaleCrop>false</ScaleCrop>
  <Company/>
  <LinksUpToDate>false</LinksUpToDate>
  <CharactersWithSpaces>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Shaul Y Khayyat</cp:lastModifiedBy>
  <cp:revision>6</cp:revision>
  <dcterms:created xsi:type="dcterms:W3CDTF">2025-11-05T18:24:00Z</dcterms:created>
  <dcterms:modified xsi:type="dcterms:W3CDTF">2025-11-10T18:33:00Z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2025-11-04T12:14:19Z</dcterms:created>
  <dc:creator/>
  <dc:description/>
  <dc:language>en-US</dc:language>
  <cp:lastModifiedBy/>
  <dcterms:modified xsi:type="dcterms:W3CDTF">2025-11-04T12:22:08Z</dcterms:modified>
  <cp:revision>2</cp:revision>
  <dc:subject/>
  <dc:title/>
</cp:coreProperties>
</file>