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D8B5" w14:textId="77777777" w:rsidR="007A3564" w:rsidRDefault="00000000" w:rsidP="0015339A">
      <w:pPr>
        <w:pStyle w:val="Heading2"/>
        <w:jc w:val="both"/>
        <w:rPr>
          <w:rFonts w:cs="David"/>
        </w:rPr>
      </w:pPr>
      <w:r>
        <w:rPr>
          <w:rFonts w:ascii="David" w:hAnsi="David" w:cs="David"/>
          <w:rtl/>
        </w:rPr>
        <w:t>משנה ח.</w:t>
      </w:r>
      <w:r>
        <w:rPr>
          <w:rStyle w:val="FootnoteReference"/>
          <w:rFonts w:ascii="David" w:hAnsi="David" w:cs="David"/>
          <w:rtl/>
        </w:rPr>
        <w:footnoteReference w:id="1"/>
      </w:r>
    </w:p>
    <w:p w14:paraId="4DF05019" w14:textId="769E5DE0" w:rsidR="007A3564" w:rsidRDefault="00000000" w:rsidP="0015339A">
      <w:pPr>
        <w:jc w:val="both"/>
        <w:rPr>
          <w:rFonts w:cs="David"/>
        </w:rPr>
      </w:pPr>
      <w:r>
        <w:rPr>
          <w:rStyle w:val="FootnoteReference"/>
          <w:rFonts w:ascii="David" w:hAnsi="David" w:cs="David"/>
          <w:rtl/>
        </w:rPr>
        <w:footnoteReference w:id="2"/>
      </w:r>
      <w:r>
        <w:rPr>
          <w:rFonts w:ascii="David" w:hAnsi="David" w:cs="David"/>
          <w:rtl/>
        </w:rPr>
        <w:t>הַבְּכוֹר</w:t>
      </w:r>
      <w:r>
        <w:rPr>
          <w:rStyle w:val="FootnoteReference"/>
          <w:rFonts w:ascii="David" w:hAnsi="David" w:cs="David"/>
          <w:rtl/>
        </w:rPr>
        <w:footnoteReference w:id="3"/>
      </w:r>
      <w:r>
        <w:rPr>
          <w:rFonts w:ascii="David" w:hAnsi="David" w:cs="David"/>
          <w:rtl/>
        </w:rPr>
        <w:t xml:space="preserve"> וְהַמַּעֲשֵׂר</w:t>
      </w:r>
      <w:r>
        <w:rPr>
          <w:rStyle w:val="FootnoteReference"/>
          <w:rFonts w:ascii="David" w:hAnsi="David" w:cs="David"/>
          <w:rtl/>
        </w:rPr>
        <w:footnoteReference w:id="4"/>
      </w:r>
      <w:r>
        <w:rPr>
          <w:rFonts w:ascii="David" w:hAnsi="David" w:cs="David"/>
          <w:rtl/>
        </w:rPr>
        <w:t xml:space="preserve"> וְהַפֶּסַח</w:t>
      </w:r>
      <w:r>
        <w:rPr>
          <w:rStyle w:val="FootnoteReference"/>
          <w:rFonts w:ascii="David" w:hAnsi="David" w:cs="David"/>
          <w:rtl/>
        </w:rPr>
        <w:footnoteReference w:id="5"/>
      </w:r>
      <w:r>
        <w:rPr>
          <w:rFonts w:ascii="David" w:hAnsi="David" w:cs="David"/>
          <w:rtl/>
        </w:rPr>
        <w:t>, קָדָשִׁים קַלִּים, שְׁחִיטָתָן בְּכָל מָקוֹם בָּעֲזָרָה, וְדָמָן טָעוּן מַתָּנָה אַחַת</w:t>
      </w:r>
      <w:r>
        <w:rPr>
          <w:rStyle w:val="FootnoteReference"/>
          <w:rFonts w:ascii="David" w:hAnsi="David" w:cs="David"/>
          <w:rtl/>
        </w:rPr>
        <w:footnoteReference w:id="6"/>
      </w:r>
      <w:r>
        <w:rPr>
          <w:rFonts w:ascii="David" w:hAnsi="David" w:cs="David"/>
          <w:rtl/>
        </w:rPr>
        <w:t>, וּבִלְבָד שֶׁיִּתֵּן כְּנֶגֶד הַיְסוֹד</w:t>
      </w:r>
      <w:r>
        <w:rPr>
          <w:rStyle w:val="FootnoteReference"/>
          <w:rFonts w:ascii="David" w:hAnsi="David" w:cs="David"/>
          <w:rtl/>
        </w:rPr>
        <w:footnoteReference w:id="7"/>
      </w:r>
      <w:r>
        <w:rPr>
          <w:rFonts w:ascii="David" w:hAnsi="David" w:cs="David"/>
          <w:rtl/>
        </w:rPr>
        <w:t>. שִׁנָּה בַאֲכִילָתָן</w:t>
      </w:r>
      <w:r>
        <w:rPr>
          <w:rStyle w:val="FootnoteReference"/>
          <w:rFonts w:ascii="David" w:hAnsi="David" w:cs="David"/>
          <w:rtl/>
        </w:rPr>
        <w:footnoteReference w:id="8"/>
      </w:r>
      <w:r>
        <w:rPr>
          <w:rFonts w:ascii="David" w:hAnsi="David" w:cs="David"/>
          <w:rtl/>
        </w:rPr>
        <w:t xml:space="preserve">, </w:t>
      </w:r>
      <w:r>
        <w:rPr>
          <w:rFonts w:ascii="David" w:hAnsi="David" w:cs="David"/>
          <w:rtl/>
        </w:rPr>
        <w:lastRenderedPageBreak/>
        <w:t>הַבְּכוֹר נֶאֱכָל לַכֹּהֲנִים</w:t>
      </w:r>
      <w:r>
        <w:rPr>
          <w:rStyle w:val="FootnoteReference"/>
          <w:rFonts w:ascii="David" w:hAnsi="David" w:cs="David"/>
          <w:rtl/>
        </w:rPr>
        <w:footnoteReference w:id="9"/>
      </w:r>
      <w:r>
        <w:rPr>
          <w:rFonts w:ascii="David" w:hAnsi="David" w:cs="David"/>
          <w:rtl/>
        </w:rPr>
        <w:t>, וְהַמַּעֲשֵׂר לְכָל אָדָם, וְנֶאֱכָלִין בְּכָל הָעִיר</w:t>
      </w:r>
      <w:r>
        <w:rPr>
          <w:rStyle w:val="FootnoteReference"/>
          <w:rFonts w:ascii="David" w:hAnsi="David" w:cs="David"/>
          <w:rtl/>
        </w:rPr>
        <w:footnoteReference w:id="10"/>
      </w:r>
      <w:r>
        <w:rPr>
          <w:rFonts w:ascii="David" w:hAnsi="David" w:cs="David"/>
          <w:rtl/>
        </w:rPr>
        <w:t>, לְכָל אָדָם</w:t>
      </w:r>
      <w:r w:rsidR="00EE1AF2">
        <w:rPr>
          <w:rFonts w:ascii="David" w:hAnsi="David" w:cs="David" w:hint="cs"/>
          <w:rtl/>
          <w:lang w:bidi="he-IL"/>
        </w:rPr>
        <w:t xml:space="preserve"> </w:t>
      </w:r>
      <w:r w:rsidR="00986A0B">
        <w:rPr>
          <w:rFonts w:ascii="David" w:hAnsi="David" w:cs="David" w:hint="cs"/>
          <w:rtl/>
          <w:lang w:bidi="he-IL"/>
        </w:rPr>
        <w:t>[</w:t>
      </w:r>
      <w:r w:rsidR="0067165B">
        <w:rPr>
          <w:rFonts w:ascii="David" w:hAnsi="David" w:cs="David" w:hint="cs"/>
          <w:rtl/>
          <w:lang w:bidi="he-IL"/>
        </w:rPr>
        <w:t>ק</w:t>
      </w:r>
      <w:r w:rsidR="008529E9">
        <w:rPr>
          <w:rFonts w:ascii="David" w:hAnsi="David" w:cs="David" w:hint="cs"/>
          <w:rtl/>
          <w:lang w:bidi="he-IL"/>
        </w:rPr>
        <w:t>א</w:t>
      </w:r>
      <w:r w:rsidR="00986A0B">
        <w:rPr>
          <w:rFonts w:ascii="David" w:hAnsi="David" w:cs="David" w:hint="cs"/>
          <w:rtl/>
          <w:lang w:bidi="he-IL"/>
        </w:rPr>
        <w:t>]</w:t>
      </w:r>
      <w:r>
        <w:rPr>
          <w:rFonts w:ascii="David" w:hAnsi="David" w:cs="David"/>
          <w:rtl/>
        </w:rPr>
        <w:t>, בְּכָל מַאֲכָל, לִשְׁנֵי יָמִים וְלַיְלָה אֶחָד</w:t>
      </w:r>
      <w:r>
        <w:rPr>
          <w:rStyle w:val="FootnoteReference"/>
          <w:rFonts w:ascii="David" w:hAnsi="David" w:cs="David"/>
          <w:rtl/>
        </w:rPr>
        <w:footnoteReference w:id="11"/>
      </w:r>
      <w:r>
        <w:rPr>
          <w:rFonts w:ascii="David" w:hAnsi="David" w:cs="David"/>
          <w:rtl/>
        </w:rPr>
        <w:t xml:space="preserve">. הַפֶּסַח אֵינוֹ נֶאֱכָל </w:t>
      </w:r>
      <w:r>
        <w:rPr>
          <w:rFonts w:ascii="David" w:hAnsi="David" w:cs="David"/>
          <w:rtl/>
        </w:rPr>
        <w:lastRenderedPageBreak/>
        <w:t>אֶלָּא בַלַּיְלָה</w:t>
      </w:r>
      <w:r>
        <w:rPr>
          <w:rStyle w:val="FootnoteReference"/>
          <w:rFonts w:ascii="David" w:hAnsi="David" w:cs="David"/>
          <w:rtl/>
        </w:rPr>
        <w:footnoteReference w:id="12"/>
      </w:r>
      <w:r>
        <w:rPr>
          <w:rFonts w:ascii="David" w:hAnsi="David" w:cs="David"/>
          <w:rtl/>
        </w:rPr>
        <w:t>, וְאֵינוֹ נֶאֱכָל אֶלָּא עַד חֲצוֹת</w:t>
      </w:r>
      <w:r>
        <w:rPr>
          <w:rStyle w:val="FootnoteReference"/>
          <w:rFonts w:ascii="David" w:hAnsi="David" w:cs="David"/>
          <w:rtl/>
        </w:rPr>
        <w:footnoteReference w:id="13"/>
      </w:r>
      <w:r>
        <w:rPr>
          <w:rFonts w:ascii="David" w:hAnsi="David" w:cs="David"/>
          <w:rtl/>
        </w:rPr>
        <w:t>, וְאֵינוֹ נֶאֱכָל אֶלָּא לִמְנוּיָו</w:t>
      </w:r>
      <w:r>
        <w:rPr>
          <w:rStyle w:val="FootnoteReference"/>
          <w:rFonts w:ascii="David" w:hAnsi="David" w:cs="David"/>
          <w:rtl/>
        </w:rPr>
        <w:footnoteReference w:id="14"/>
      </w:r>
      <w:r>
        <w:rPr>
          <w:rFonts w:ascii="David" w:hAnsi="David" w:cs="David"/>
          <w:rtl/>
        </w:rPr>
        <w:t>, וְאֵינוֹ נֶאֱכָל אֶלָּא צָלִי</w:t>
      </w:r>
      <w:r>
        <w:rPr>
          <w:rStyle w:val="FootnoteReference"/>
          <w:rFonts w:ascii="David" w:hAnsi="David" w:cs="David"/>
          <w:rtl/>
        </w:rPr>
        <w:footnoteReference w:id="15"/>
      </w:r>
      <w:r>
        <w:rPr>
          <w:rFonts w:ascii="David" w:hAnsi="David" w:cs="David"/>
          <w:rtl/>
        </w:rPr>
        <w:t xml:space="preserve">: </w:t>
      </w:r>
    </w:p>
    <w:sectPr w:rsidR="007A3564" w:rsidSect="0015339A">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855B" w14:textId="77777777" w:rsidR="00270D80" w:rsidRDefault="00270D80">
      <w:r>
        <w:separator/>
      </w:r>
    </w:p>
  </w:endnote>
  <w:endnote w:type="continuationSeparator" w:id="0">
    <w:p w14:paraId="7C37C325" w14:textId="77777777" w:rsidR="00270D80" w:rsidRDefault="0027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8EBB" w14:textId="77777777" w:rsidR="00270D80" w:rsidRDefault="00270D80">
      <w:r>
        <w:separator/>
      </w:r>
    </w:p>
  </w:footnote>
  <w:footnote w:type="continuationSeparator" w:id="0">
    <w:p w14:paraId="091E8969" w14:textId="77777777" w:rsidR="00270D80" w:rsidRDefault="00270D80">
      <w:r>
        <w:continuationSeparator/>
      </w:r>
    </w:p>
  </w:footnote>
  <w:footnote w:id="1">
    <w:p w14:paraId="06A0F83E" w14:textId="77777777" w:rsidR="007A3564" w:rsidRDefault="00000000" w:rsidP="0015339A">
      <w:pPr>
        <w:pStyle w:val="FootnoteText"/>
        <w:jc w:val="both"/>
        <w:rPr>
          <w:b/>
          <w:bCs/>
          <w:lang w:bidi="he-IL"/>
        </w:rPr>
      </w:pPr>
      <w:r>
        <w:rPr>
          <w:rStyle w:val="FootnoteCharacters"/>
        </w:rPr>
        <w:footnoteRef/>
      </w:r>
      <w:r>
        <w:rPr>
          <w:b/>
          <w:bCs/>
          <w:rtl/>
          <w:lang w:bidi="he-IL"/>
        </w:rPr>
        <w:tab/>
        <w:t>משנה ח.</w:t>
      </w:r>
    </w:p>
  </w:footnote>
  <w:footnote w:id="2">
    <w:p w14:paraId="686017B8" w14:textId="3F60A2B9" w:rsidR="007A3564" w:rsidRDefault="00000000" w:rsidP="0015339A">
      <w:pPr>
        <w:pStyle w:val="FootnoteText"/>
        <w:jc w:val="both"/>
        <w:rPr>
          <w:lang w:bidi="he-IL"/>
        </w:rPr>
      </w:pPr>
      <w:r>
        <w:rPr>
          <w:rStyle w:val="FootnoteCharacters"/>
        </w:rPr>
        <w:footnoteRef/>
      </w:r>
      <w:r>
        <w:rPr>
          <w:rtl/>
          <w:lang w:bidi="he-IL"/>
        </w:rPr>
        <w:tab/>
        <w:t xml:space="preserve">ממשיך מקדשים קלים לאלו, שהם הקרבנות הנשארים. </w:t>
      </w:r>
      <w:r w:rsidR="00DD11F5">
        <w:rPr>
          <w:rFonts w:hint="cs"/>
          <w:rtl/>
          <w:lang w:bidi="he-IL"/>
        </w:rPr>
        <w:t>[צ</w:t>
      </w:r>
      <w:r w:rsidR="008529E9">
        <w:rPr>
          <w:rFonts w:hint="cs"/>
          <w:rtl/>
          <w:lang w:bidi="he-IL"/>
        </w:rPr>
        <w:t>ו</w:t>
      </w:r>
      <w:r w:rsidR="00DD11F5">
        <w:rPr>
          <w:rFonts w:hint="cs"/>
          <w:rtl/>
          <w:lang w:bidi="he-IL"/>
        </w:rPr>
        <w:t>]</w:t>
      </w:r>
    </w:p>
  </w:footnote>
  <w:footnote w:id="3">
    <w:p w14:paraId="497AECB2" w14:textId="77777777" w:rsidR="007A3564" w:rsidRDefault="00000000" w:rsidP="0015339A">
      <w:pPr>
        <w:pStyle w:val="FootnoteText"/>
        <w:jc w:val="both"/>
        <w:rPr>
          <w:lang w:bidi="he-IL"/>
        </w:rPr>
      </w:pPr>
      <w:r>
        <w:rPr>
          <w:rStyle w:val="FootnoteCharacters"/>
        </w:rPr>
        <w:footnoteRef/>
      </w:r>
      <w:r>
        <w:rPr>
          <w:rtl/>
          <w:lang w:bidi="he-IL"/>
        </w:rPr>
        <w:tab/>
        <w:t>בכור (שהוא הבן הזכר הנולד ראשון) של כל בהמה טהורה ניתן לכהן. אם אין בו מום, הכהן מקריב אותו לקרבן בכור.</w:t>
      </w:r>
    </w:p>
  </w:footnote>
  <w:footnote w:id="4">
    <w:p w14:paraId="0BD7565D" w14:textId="77777777" w:rsidR="007A3564" w:rsidRDefault="00000000" w:rsidP="0015339A">
      <w:pPr>
        <w:pStyle w:val="FootnoteText"/>
        <w:jc w:val="both"/>
        <w:rPr>
          <w:lang w:bidi="he-IL"/>
        </w:rPr>
      </w:pPr>
      <w:r>
        <w:rPr>
          <w:rStyle w:val="FootnoteCharacters"/>
        </w:rPr>
        <w:footnoteRef/>
      </w:r>
      <w:r>
        <w:rPr>
          <w:rtl/>
          <w:lang w:bidi="he-IL"/>
        </w:rPr>
        <w:tab/>
        <w:t>אדם חייב לעשר את בהמות הטהורות שלו. כונס אותם לדיר, ומונה אותם כשיוצאים. כשיוצא העשירי, קורא לו "עשירי קדוש,” וצריך להקריב אותו לקרבן מעשר בהמה. קרבן זה יכול להיות מכל בהמה טהורה, בין זכר בין נקבה.</w:t>
      </w:r>
    </w:p>
  </w:footnote>
  <w:footnote w:id="5">
    <w:p w14:paraId="5F18DE43" w14:textId="77777777" w:rsidR="007A3564" w:rsidRDefault="00000000" w:rsidP="0015339A">
      <w:pPr>
        <w:pStyle w:val="FootnoteText"/>
        <w:jc w:val="both"/>
        <w:rPr>
          <w:lang w:bidi="he-IL"/>
        </w:rPr>
      </w:pPr>
      <w:r>
        <w:rPr>
          <w:rStyle w:val="FootnoteCharacters"/>
        </w:rPr>
        <w:footnoteRef/>
      </w:r>
      <w:r>
        <w:rPr>
          <w:rtl/>
          <w:lang w:bidi="he-IL"/>
        </w:rPr>
        <w:tab/>
        <w:t>יש שני פעמים שאדם חייב להביא קרבן פסח:</w:t>
      </w:r>
    </w:p>
    <w:p w14:paraId="58139E2F" w14:textId="77777777" w:rsidR="007A3564" w:rsidRDefault="00000000" w:rsidP="0015339A">
      <w:pPr>
        <w:pStyle w:val="FootnoteText"/>
        <w:jc w:val="both"/>
        <w:rPr>
          <w:lang w:bidi="he-IL"/>
        </w:rPr>
      </w:pPr>
      <w:r>
        <w:rPr>
          <w:rtl/>
          <w:lang w:bidi="he-IL"/>
        </w:rPr>
        <w:tab/>
        <w:t>בערב פסח (ביד’ ניסן), מחצות עד הלילה, כל איש (חולקים תנאים אם נשים חייבות) חייב להקריב (או להשתתף בהקרבת) קרבן הפסח. קרבן זה בא מכבש או עז, זכר בן שנה.</w:t>
      </w:r>
    </w:p>
    <w:p w14:paraId="03A855DB" w14:textId="77777777" w:rsidR="007A3564" w:rsidRDefault="00000000" w:rsidP="0015339A">
      <w:pPr>
        <w:pStyle w:val="FootnoteText"/>
        <w:jc w:val="both"/>
        <w:rPr>
          <w:lang w:bidi="he-IL"/>
        </w:rPr>
      </w:pPr>
      <w:r>
        <w:rPr>
          <w:rtl/>
          <w:lang w:bidi="he-IL"/>
        </w:rPr>
        <w:tab/>
        <w:t>בערב פסח שני (ביד’ באייר), מחצות עד הלילה, כל איש (חולקים תנאים אם נשים חייבות) שלא הקריב פסח בזמנו חייב להקריב (או להשתתף בהקרבת) קרבן הפסח. קרבן זה בא מכבש או עז, זכר בן שנה.</w:t>
      </w:r>
    </w:p>
  </w:footnote>
  <w:footnote w:id="6">
    <w:p w14:paraId="6BF271CC" w14:textId="77777777" w:rsidR="007A3564" w:rsidRDefault="00000000" w:rsidP="0015339A">
      <w:pPr>
        <w:pStyle w:val="FootnoteText"/>
        <w:jc w:val="both"/>
        <w:rPr>
          <w:lang w:bidi="he-IL"/>
        </w:rPr>
      </w:pPr>
      <w:r>
        <w:rPr>
          <w:rStyle w:val="FootnoteCharacters"/>
        </w:rPr>
        <w:footnoteRef/>
      </w:r>
      <w:r>
        <w:rPr>
          <w:rtl/>
          <w:lang w:bidi="he-IL"/>
        </w:rPr>
        <w:tab/>
        <w:t>חולקים תנאים במתן דם שלש אלו, ואז נבאר את הדין של כל אחד מהם, והמקור:</w:t>
      </w:r>
    </w:p>
    <w:p w14:paraId="4F0484A3" w14:textId="74BB9230" w:rsidR="007A3564" w:rsidRDefault="00000000" w:rsidP="0015339A">
      <w:pPr>
        <w:pStyle w:val="FootnoteText"/>
        <w:numPr>
          <w:ilvl w:val="0"/>
          <w:numId w:val="2"/>
        </w:numPr>
        <w:jc w:val="both"/>
        <w:rPr>
          <w:lang w:bidi="he-IL"/>
        </w:rPr>
      </w:pPr>
      <w:r>
        <w:rPr>
          <w:rtl/>
          <w:lang w:bidi="he-IL"/>
        </w:rPr>
        <w:t xml:space="preserve">בכור – דמו ניתן בזריקה, שכ’, “בכור… את דמם תזרוק.” רק נותן במתנה אחת, שלא כ’ בו "סביב.” (לקמן, נראה שיש מי שדורש ג"ש מעולה לבכור, כיון שבשניהם כ’ זריקה. א"ת ל"ל לומדים שנותן שתי מתנות שהן ארבע. גמ’ מת’ שכיון שכ’, “סביב" בחטאת, באשם, ובעולה, לא יכולים לדרוש ממנו, שהוא שלשה כתובים הבאים כאחד. </w:t>
      </w:r>
      <w:r w:rsidR="00CE3A60">
        <w:rPr>
          <w:rFonts w:hint="cs"/>
          <w:rtl/>
          <w:lang w:bidi="he-IL"/>
        </w:rPr>
        <w:t>[</w:t>
      </w:r>
      <w:r w:rsidR="00B45B4E">
        <w:rPr>
          <w:rFonts w:hint="cs"/>
          <w:rtl/>
          <w:lang w:bidi="he-IL"/>
        </w:rPr>
        <w:t>צ</w:t>
      </w:r>
      <w:r w:rsidR="008529E9">
        <w:rPr>
          <w:rFonts w:hint="cs"/>
          <w:rtl/>
          <w:lang w:bidi="he-IL"/>
        </w:rPr>
        <w:t>ז</w:t>
      </w:r>
      <w:r w:rsidR="00CE3A60">
        <w:rPr>
          <w:rFonts w:hint="cs"/>
          <w:rtl/>
          <w:lang w:bidi="he-IL"/>
        </w:rPr>
        <w:t xml:space="preserve">] </w:t>
      </w:r>
    </w:p>
    <w:p w14:paraId="7B613FD9" w14:textId="77777777" w:rsidR="007A3564" w:rsidRDefault="00000000" w:rsidP="0015339A">
      <w:pPr>
        <w:pStyle w:val="FootnoteText"/>
        <w:numPr>
          <w:ilvl w:val="0"/>
          <w:numId w:val="2"/>
        </w:numPr>
        <w:jc w:val="both"/>
        <w:rPr>
          <w:lang w:bidi="he-IL"/>
        </w:rPr>
      </w:pPr>
      <w:r>
        <w:rPr>
          <w:rtl/>
          <w:lang w:bidi="he-IL"/>
        </w:rPr>
        <w:t>מעשר ופסח – בשנים אלו, לא כתוב שום מתן דם. חולקים תנאים במקור שדמם ניתן על המזבח:</w:t>
      </w:r>
    </w:p>
    <w:p w14:paraId="2EACFC4E" w14:textId="7E35F253" w:rsidR="00CE3A60" w:rsidRDefault="00000000" w:rsidP="0015339A">
      <w:pPr>
        <w:pStyle w:val="FootnoteText"/>
        <w:numPr>
          <w:ilvl w:val="1"/>
          <w:numId w:val="2"/>
        </w:numPr>
        <w:jc w:val="both"/>
        <w:rPr>
          <w:lang w:bidi="he-IL"/>
        </w:rPr>
      </w:pPr>
      <w:r>
        <w:rPr>
          <w:rtl/>
          <w:lang w:bidi="he-IL"/>
        </w:rPr>
        <w:t>רבי יוסי הגלילי – נלמד מבכור. כיון שבבכור כתיב, “את דמם תזרוק,” מרבים גם מעשר ופסח.</w:t>
      </w:r>
      <w:r w:rsidR="00230D5C">
        <w:rPr>
          <w:rFonts w:hint="cs"/>
          <w:rtl/>
          <w:lang w:bidi="he-IL"/>
        </w:rPr>
        <w:t xml:space="preserve"> [צ</w:t>
      </w:r>
      <w:r w:rsidR="008529E9">
        <w:rPr>
          <w:rFonts w:hint="cs"/>
          <w:rtl/>
          <w:lang w:bidi="he-IL"/>
        </w:rPr>
        <w:t>ח</w:t>
      </w:r>
      <w:r w:rsidR="00CE3A60">
        <w:rPr>
          <w:rFonts w:hint="cs"/>
          <w:rtl/>
          <w:lang w:bidi="he-IL"/>
        </w:rPr>
        <w:t xml:space="preserve">] </w:t>
      </w:r>
    </w:p>
    <w:p w14:paraId="64D1BA04" w14:textId="6141A6E8" w:rsidR="007A3564" w:rsidRDefault="00000000" w:rsidP="0015339A">
      <w:pPr>
        <w:pStyle w:val="FootnoteText"/>
        <w:ind w:left="1080" w:firstLine="0"/>
        <w:jc w:val="both"/>
        <w:rPr>
          <w:lang w:bidi="he-IL"/>
        </w:rPr>
      </w:pPr>
      <w:r>
        <w:rPr>
          <w:rtl/>
          <w:lang w:bidi="he-IL"/>
        </w:rPr>
        <w:t>לפי רבי יוסי הגלילי, דם מעשר ופסח ניתן בזריקה, כמו דם בכור, שנלמד ממנו. כמו"כ, ניתן במתנה אחת, כמו שבארנו בדם בכור.</w:t>
      </w:r>
    </w:p>
    <w:p w14:paraId="5CDA1F97" w14:textId="77777777" w:rsidR="007A3564" w:rsidRDefault="00000000" w:rsidP="0015339A">
      <w:pPr>
        <w:pStyle w:val="FootnoteText"/>
        <w:numPr>
          <w:ilvl w:val="1"/>
          <w:numId w:val="2"/>
        </w:numPr>
        <w:jc w:val="both"/>
        <w:rPr>
          <w:lang w:bidi="he-IL"/>
        </w:rPr>
      </w:pPr>
      <w:r>
        <w:rPr>
          <w:rtl/>
          <w:lang w:bidi="he-IL"/>
        </w:rPr>
        <w:t>רבי ישמעאל – כתיב, “ודם זבחיך ישפך.” דורשים מכאן לזבחים שלא כ’ מתן דם בפירוש שדמם ניתן על המזבח. אז, זה המקור שדם מעשר ופסח ניתן על מזבח.</w:t>
      </w:r>
    </w:p>
    <w:p w14:paraId="36FAD287" w14:textId="77777777" w:rsidR="007A3564" w:rsidRDefault="00000000" w:rsidP="0015339A">
      <w:pPr>
        <w:pStyle w:val="FootnoteText"/>
        <w:ind w:left="1080" w:firstLine="0"/>
        <w:jc w:val="both"/>
        <w:rPr>
          <w:lang w:bidi="he-IL"/>
        </w:rPr>
      </w:pPr>
      <w:r>
        <w:rPr>
          <w:rtl/>
          <w:lang w:bidi="he-IL"/>
        </w:rPr>
        <w:t>לפי רבי ישמעאל, דם מעשר ופסח ניתן בשפיכה (כלשון הפסוק), ולא בזריקה. ניתן במתנה אחת, שרק כ’ שנשפך, ואין מקור שינתן יותר מפעם אחת.</w:t>
      </w:r>
    </w:p>
    <w:p w14:paraId="4F6B4362" w14:textId="77777777" w:rsidR="007A3564" w:rsidRDefault="00000000" w:rsidP="0015339A">
      <w:pPr>
        <w:pStyle w:val="FootnoteText"/>
        <w:jc w:val="both"/>
        <w:rPr>
          <w:lang w:bidi="he-IL"/>
        </w:rPr>
      </w:pPr>
      <w:r>
        <w:rPr>
          <w:rtl/>
          <w:lang w:bidi="he-IL"/>
        </w:rPr>
        <w:tab/>
        <w:t xml:space="preserve">נמצא שמשנה שלנו, שאומר שדם בכור, מעשר, ופסח צריכים זריקה הולך כשיטת רבי יוסי הגלילי. </w:t>
      </w:r>
      <w:r>
        <w:rPr>
          <w:b/>
          <w:bCs/>
          <w:u w:val="single"/>
          <w:rtl/>
          <w:lang w:bidi="he-IL"/>
        </w:rPr>
        <w:t>(נו:)</w:t>
      </w:r>
    </w:p>
  </w:footnote>
  <w:footnote w:id="7">
    <w:p w14:paraId="6104E53C" w14:textId="77777777" w:rsidR="007A3564" w:rsidRDefault="00000000" w:rsidP="0015339A">
      <w:pPr>
        <w:pStyle w:val="FootnoteText"/>
        <w:jc w:val="both"/>
        <w:rPr>
          <w:lang w:bidi="he-IL"/>
        </w:rPr>
      </w:pPr>
      <w:r>
        <w:rPr>
          <w:rStyle w:val="FootnoteCharacters"/>
        </w:rPr>
        <w:footnoteRef/>
      </w:r>
      <w:r>
        <w:rPr>
          <w:rtl/>
          <w:lang w:bidi="he-IL"/>
        </w:rPr>
        <w:tab/>
        <w:t xml:space="preserve">גמ’ </w:t>
      </w:r>
      <w:r>
        <w:rPr>
          <w:b/>
          <w:bCs/>
          <w:u w:val="single"/>
          <w:rtl/>
          <w:lang w:bidi="he-IL"/>
        </w:rPr>
        <w:t>(נז.)</w:t>
      </w:r>
      <w:r>
        <w:rPr>
          <w:rtl/>
          <w:lang w:bidi="he-IL"/>
        </w:rPr>
        <w:t xml:space="preserve"> דורש את זה מג"ש מזריקה הכתובה בבכור וזריקה הכתובה בעולה. בעולה, כבר יודעים דין זה, כמו שבארנו לעיל. כיון שהפסוק של בכור מרבה גם דם מעשט ופסח, דין זה נוהג גם בפסח ומעשר.</w:t>
      </w:r>
    </w:p>
    <w:p w14:paraId="13DB1873" w14:textId="77777777" w:rsidR="007A3564" w:rsidRDefault="00000000" w:rsidP="0015339A">
      <w:pPr>
        <w:pStyle w:val="FootnoteText"/>
        <w:jc w:val="both"/>
        <w:rPr>
          <w:lang w:bidi="he-IL"/>
        </w:rPr>
      </w:pPr>
      <w:r>
        <w:rPr>
          <w:rtl/>
          <w:lang w:bidi="he-IL"/>
        </w:rPr>
        <w:tab/>
        <w:t>לעיל, בארנו שלא כל התנאים דורשים נתינת דם פסח ומעשר מבכור; רבי ישמעאל דורש אותו מפסוק אחר. כיון שלא כ’ שם זביחה, אין מקור שצריך לינתן כנגד היסוד. אם כן, לא יודה לפרט זה, ויסבור שדם מעשר ופסח ניתן שלא כנגד היסוד.</w:t>
      </w:r>
    </w:p>
  </w:footnote>
  <w:footnote w:id="8">
    <w:p w14:paraId="5745AB99" w14:textId="77777777" w:rsidR="007A3564" w:rsidRDefault="00000000" w:rsidP="0015339A">
      <w:pPr>
        <w:pStyle w:val="FootnoteText"/>
        <w:jc w:val="both"/>
        <w:rPr>
          <w:lang w:bidi="he-IL"/>
        </w:rPr>
      </w:pPr>
      <w:r>
        <w:rPr>
          <w:rStyle w:val="FootnoteCharacters"/>
        </w:rPr>
        <w:footnoteRef/>
      </w:r>
      <w:r>
        <w:rPr>
          <w:rtl/>
          <w:lang w:bidi="he-IL"/>
        </w:rPr>
        <w:tab/>
        <w:t>רצה לומר, שלש אלו שונים באכילתם; אף שיש דמיונות ביניהם, אינם שווים באכילתם.</w:t>
      </w:r>
    </w:p>
  </w:footnote>
  <w:footnote w:id="9">
    <w:p w14:paraId="26D4F2C9" w14:textId="77777777" w:rsidR="007A3564" w:rsidRDefault="00000000" w:rsidP="0015339A">
      <w:pPr>
        <w:pStyle w:val="FootnoteText"/>
        <w:jc w:val="both"/>
        <w:rPr>
          <w:lang w:bidi="he-IL"/>
        </w:rPr>
      </w:pPr>
      <w:r>
        <w:rPr>
          <w:rStyle w:val="FootnoteCharacters"/>
        </w:rPr>
        <w:footnoteRef/>
      </w:r>
      <w:r>
        <w:rPr>
          <w:rtl/>
          <w:lang w:bidi="he-IL"/>
        </w:rPr>
        <w:tab/>
        <w:t>זה נלמד ממש"כ, “ובשרם יהיה לך כחזה התנופה" שמדמה את בשר הבכור לחזה ושוק של שלמים. כמו שחזה ושוק של שלמים נאכל רק לכהן, כך בכור נאכל רק לכהן. (בכורות לב:)</w:t>
      </w:r>
    </w:p>
  </w:footnote>
  <w:footnote w:id="10">
    <w:p w14:paraId="5272D991" w14:textId="587EB6CB" w:rsidR="007A3564" w:rsidRDefault="00000000" w:rsidP="0015339A">
      <w:pPr>
        <w:pStyle w:val="FootnoteText"/>
        <w:jc w:val="both"/>
        <w:rPr>
          <w:lang w:bidi="he-IL"/>
        </w:rPr>
      </w:pPr>
      <w:r>
        <w:rPr>
          <w:rStyle w:val="FootnoteCharacters"/>
        </w:rPr>
        <w:footnoteRef/>
      </w:r>
      <w:r>
        <w:rPr>
          <w:rtl/>
          <w:lang w:bidi="he-IL"/>
        </w:rPr>
        <w:tab/>
        <w:t xml:space="preserve">חולקים ראשונים מהו המקור. רש"י כ’ שהמקור לזה הוא שכתיב, “והבאתם שמה עולותיכם וזבחיכם ואת מעשרותיכם [ולשון רבים מרבה מעשר בהמה] ובקורות בקרכם וצאנכם.” אז, לומדים שנאכלים בכל ירושלים. </w:t>
      </w:r>
      <w:r w:rsidR="00986A0B">
        <w:rPr>
          <w:rFonts w:hint="cs"/>
          <w:rtl/>
          <w:lang w:bidi="he-IL"/>
        </w:rPr>
        <w:t>[</w:t>
      </w:r>
      <w:r w:rsidR="00260577">
        <w:rPr>
          <w:rFonts w:hint="cs"/>
          <w:rtl/>
          <w:lang w:bidi="he-IL"/>
        </w:rPr>
        <w:t>צ</w:t>
      </w:r>
      <w:r w:rsidR="008529E9">
        <w:rPr>
          <w:rFonts w:hint="cs"/>
          <w:rtl/>
          <w:lang w:bidi="he-IL"/>
        </w:rPr>
        <w:t>ט</w:t>
      </w:r>
      <w:r w:rsidR="00986A0B">
        <w:rPr>
          <w:rFonts w:hint="cs"/>
          <w:rtl/>
          <w:lang w:bidi="he-IL"/>
        </w:rPr>
        <w:t xml:space="preserve">] </w:t>
      </w:r>
      <w:r>
        <w:rPr>
          <w:rtl/>
          <w:lang w:bidi="he-IL"/>
        </w:rPr>
        <w:t>אבל, תוס’ כ’ שהמקור הוא ממה שהוקש בכור לחזה ושוק של שלמים (שנאכל בכל העיר, ככל שלמים).</w:t>
      </w:r>
      <w:r w:rsidR="00986A0B">
        <w:rPr>
          <w:rFonts w:hint="cs"/>
          <w:rtl/>
          <w:lang w:bidi="he-IL"/>
        </w:rPr>
        <w:t xml:space="preserve"> [</w:t>
      </w:r>
      <w:r w:rsidR="008529E9">
        <w:rPr>
          <w:rFonts w:hint="cs"/>
          <w:rtl/>
          <w:lang w:bidi="he-IL"/>
        </w:rPr>
        <w:t>ק</w:t>
      </w:r>
      <w:r w:rsidR="00986A0B">
        <w:rPr>
          <w:rFonts w:hint="cs"/>
          <w:rtl/>
          <w:lang w:bidi="he-IL"/>
        </w:rPr>
        <w:t>]</w:t>
      </w:r>
    </w:p>
  </w:footnote>
  <w:footnote w:id="11">
    <w:p w14:paraId="078DCD2B" w14:textId="77777777" w:rsidR="007A3564" w:rsidRDefault="00000000" w:rsidP="0015339A">
      <w:pPr>
        <w:pStyle w:val="FootnoteText"/>
        <w:jc w:val="both"/>
        <w:rPr>
          <w:lang w:bidi="he-IL"/>
        </w:rPr>
      </w:pPr>
      <w:r>
        <w:rPr>
          <w:rStyle w:val="FootnoteCharacters"/>
        </w:rPr>
        <w:footnoteRef/>
      </w:r>
      <w:r>
        <w:rPr>
          <w:rtl/>
          <w:lang w:bidi="he-IL"/>
        </w:rPr>
        <w:tab/>
        <w:t xml:space="preserve">גמרא </w:t>
      </w:r>
      <w:r>
        <w:rPr>
          <w:b/>
          <w:bCs/>
          <w:u w:val="single"/>
          <w:rtl/>
          <w:lang w:bidi="he-IL"/>
        </w:rPr>
        <w:t>(נז.)</w:t>
      </w:r>
      <w:r>
        <w:rPr>
          <w:rtl/>
          <w:lang w:bidi="he-IL"/>
        </w:rPr>
        <w:t xml:space="preserve"> נותן שלש מקורות לזה:</w:t>
      </w:r>
    </w:p>
    <w:p w14:paraId="6604B0C1" w14:textId="77777777" w:rsidR="007A3564" w:rsidRDefault="00000000" w:rsidP="0015339A">
      <w:pPr>
        <w:pStyle w:val="FootnoteText"/>
        <w:numPr>
          <w:ilvl w:val="0"/>
          <w:numId w:val="3"/>
        </w:numPr>
        <w:jc w:val="both"/>
        <w:rPr>
          <w:lang w:bidi="he-IL"/>
        </w:rPr>
      </w:pPr>
      <w:r>
        <w:rPr>
          <w:rtl/>
          <w:lang w:bidi="he-IL"/>
        </w:rPr>
        <w:t>נלמד משלמים, כיון שהוא דומה לו. גמ’ אומר שני דמיונות שמצאנו בין אלו לשלמים:</w:t>
      </w:r>
    </w:p>
    <w:p w14:paraId="05C93EDA" w14:textId="39C02E79" w:rsidR="000C4F21" w:rsidRDefault="00000000" w:rsidP="0015339A">
      <w:pPr>
        <w:pStyle w:val="FootnoteText"/>
        <w:numPr>
          <w:ilvl w:val="1"/>
          <w:numId w:val="3"/>
        </w:numPr>
        <w:jc w:val="both"/>
        <w:rPr>
          <w:lang w:bidi="he-IL"/>
        </w:rPr>
      </w:pPr>
      <w:r>
        <w:rPr>
          <w:rtl/>
          <w:lang w:bidi="he-IL"/>
        </w:rPr>
        <w:t>הם קדשים קלים, ושלמים קדשים קלים, ואז מסתבר שגם זמן אכילתם שווה לזמן אכילת שלמים</w:t>
      </w:r>
      <w:r w:rsidR="007665CF">
        <w:rPr>
          <w:rFonts w:hint="cs"/>
          <w:rtl/>
          <w:lang w:bidi="he-IL"/>
        </w:rPr>
        <w:t>. [</w:t>
      </w:r>
      <w:r w:rsidR="004E71A6">
        <w:rPr>
          <w:rFonts w:hint="cs"/>
          <w:rtl/>
          <w:lang w:bidi="he-IL"/>
        </w:rPr>
        <w:t>ק</w:t>
      </w:r>
      <w:r w:rsidR="008529E9">
        <w:rPr>
          <w:rFonts w:hint="cs"/>
          <w:rtl/>
          <w:lang w:bidi="he-IL"/>
        </w:rPr>
        <w:t>ב</w:t>
      </w:r>
      <w:r w:rsidR="007665CF">
        <w:rPr>
          <w:rFonts w:hint="cs"/>
          <w:rtl/>
          <w:lang w:bidi="he-IL"/>
        </w:rPr>
        <w:t>]</w:t>
      </w:r>
    </w:p>
    <w:p w14:paraId="04F34756" w14:textId="19637DFA" w:rsidR="000C4F21" w:rsidRDefault="00000000" w:rsidP="0015339A">
      <w:pPr>
        <w:pStyle w:val="FootnoteText"/>
        <w:numPr>
          <w:ilvl w:val="1"/>
          <w:numId w:val="3"/>
        </w:numPr>
        <w:jc w:val="both"/>
        <w:rPr>
          <w:lang w:bidi="he-IL"/>
        </w:rPr>
      </w:pPr>
      <w:r>
        <w:rPr>
          <w:rtl/>
          <w:lang w:bidi="he-IL"/>
        </w:rPr>
        <w:t>הם לא באים על חטא, ושלמים לא בא על חטא, ואז מסתבר שגם זמן אכילתם שווה לזמן אכילת שלמים.</w:t>
      </w:r>
      <w:r w:rsidR="000C4F21">
        <w:rPr>
          <w:rFonts w:hint="cs"/>
          <w:rtl/>
          <w:lang w:bidi="he-IL"/>
        </w:rPr>
        <w:t xml:space="preserve"> </w:t>
      </w:r>
      <w:r w:rsidR="004E71A6">
        <w:rPr>
          <w:rFonts w:hint="cs"/>
          <w:rtl/>
          <w:lang w:bidi="he-IL"/>
        </w:rPr>
        <w:t>[ק</w:t>
      </w:r>
      <w:r w:rsidR="008529E9">
        <w:rPr>
          <w:rFonts w:hint="cs"/>
          <w:rtl/>
          <w:lang w:bidi="he-IL"/>
        </w:rPr>
        <w:t>ג</w:t>
      </w:r>
      <w:r w:rsidR="004E71A6">
        <w:rPr>
          <w:rFonts w:hint="cs"/>
          <w:rtl/>
          <w:lang w:bidi="he-IL"/>
        </w:rPr>
        <w:t>]</w:t>
      </w:r>
    </w:p>
    <w:p w14:paraId="1F9CDC94" w14:textId="4B46337B" w:rsidR="007A3564" w:rsidRDefault="00000000" w:rsidP="0015339A">
      <w:pPr>
        <w:pStyle w:val="FootnoteText"/>
        <w:ind w:left="720" w:firstLine="0"/>
        <w:jc w:val="both"/>
        <w:rPr>
          <w:lang w:bidi="he-IL"/>
        </w:rPr>
      </w:pPr>
      <w:r>
        <w:rPr>
          <w:rtl/>
          <w:lang w:bidi="he-IL"/>
        </w:rPr>
        <w:t xml:space="preserve">דוחה גמ’ שזה לא יכול להיות מקור שבכור נאכל לשני ימים ולילה אחת. </w:t>
      </w:r>
      <w:r>
        <w:rPr>
          <w:rtl/>
          <w:lang w:bidi="he-IL"/>
        </w:rPr>
        <w:t xml:space="preserve">הרי, בכור דומה לחטאת ואשם, </w:t>
      </w:r>
      <w:r>
        <w:rPr>
          <w:rtl/>
          <w:lang w:bidi="he-IL"/>
        </w:rPr>
        <w:t>במה שהוא מתנה לכהן,</w:t>
      </w:r>
      <w:r w:rsidR="003641FF">
        <w:rPr>
          <w:rFonts w:hint="cs"/>
          <w:rtl/>
          <w:lang w:bidi="he-IL"/>
        </w:rPr>
        <w:t xml:space="preserve"> ובמה שאינו נקרב בנדר ונדבה,</w:t>
      </w:r>
      <w:r>
        <w:rPr>
          <w:rtl/>
          <w:lang w:bidi="he-IL"/>
        </w:rPr>
        <w:t xml:space="preserve"> ואז אפשר לדמות אותו לנאכלים ליום אחד. </w:t>
      </w:r>
      <w:r w:rsidR="000C4F21">
        <w:rPr>
          <w:rFonts w:hint="cs"/>
          <w:rtl/>
          <w:lang w:bidi="he-IL"/>
        </w:rPr>
        <w:t>[</w:t>
      </w:r>
      <w:r w:rsidR="004E71A6">
        <w:rPr>
          <w:rFonts w:hint="cs"/>
          <w:rtl/>
          <w:lang w:bidi="he-IL"/>
        </w:rPr>
        <w:t>ק</w:t>
      </w:r>
      <w:r w:rsidR="008529E9">
        <w:rPr>
          <w:rFonts w:hint="cs"/>
          <w:rtl/>
          <w:lang w:bidi="he-IL"/>
        </w:rPr>
        <w:t>ד]</w:t>
      </w:r>
    </w:p>
    <w:p w14:paraId="19712149" w14:textId="75C22004" w:rsidR="000C4F21" w:rsidRDefault="00000000" w:rsidP="0015339A">
      <w:pPr>
        <w:pStyle w:val="FootnoteText"/>
        <w:numPr>
          <w:ilvl w:val="0"/>
          <w:numId w:val="3"/>
        </w:numPr>
        <w:jc w:val="both"/>
        <w:rPr>
          <w:lang w:bidi="he-IL"/>
        </w:rPr>
      </w:pPr>
      <w:r>
        <w:rPr>
          <w:rtl/>
          <w:lang w:bidi="he-IL"/>
        </w:rPr>
        <w:t xml:space="preserve">הוקש לחזה ושוק, שכ’, “ובשרם יהיה לך כשוק התנופה.” כמו ששוק שלמים נאכל לשני ימים ולילה אחד, גם בכור נאכל לשני ימים ולילה אחד. </w:t>
      </w:r>
      <w:r w:rsidR="000C4F21">
        <w:rPr>
          <w:rFonts w:hint="cs"/>
          <w:rtl/>
          <w:lang w:bidi="he-IL"/>
        </w:rPr>
        <w:t>[</w:t>
      </w:r>
      <w:r w:rsidR="004E71A6">
        <w:rPr>
          <w:rFonts w:hint="cs"/>
          <w:rtl/>
          <w:lang w:bidi="he-IL"/>
        </w:rPr>
        <w:t>ק</w:t>
      </w:r>
      <w:r w:rsidR="00CB0B6B">
        <w:rPr>
          <w:rFonts w:hint="cs"/>
          <w:rtl/>
          <w:lang w:bidi="he-IL"/>
        </w:rPr>
        <w:t>ה</w:t>
      </w:r>
      <w:r w:rsidR="000C4F21">
        <w:rPr>
          <w:rFonts w:hint="cs"/>
          <w:rtl/>
          <w:lang w:bidi="he-IL"/>
        </w:rPr>
        <w:t xml:space="preserve">] </w:t>
      </w:r>
    </w:p>
    <w:p w14:paraId="6D31C1DA" w14:textId="36F2BE09" w:rsidR="007A3564" w:rsidRDefault="00000000" w:rsidP="0015339A">
      <w:pPr>
        <w:pStyle w:val="FootnoteText"/>
        <w:ind w:left="720" w:firstLine="0"/>
        <w:jc w:val="both"/>
        <w:rPr>
          <w:lang w:bidi="he-IL"/>
        </w:rPr>
      </w:pPr>
      <w:r>
        <w:rPr>
          <w:rtl/>
          <w:lang w:bidi="he-IL"/>
        </w:rPr>
        <w:t xml:space="preserve">דוחה גמ’ שאולי הוקש לשוק של תודה, שנאכל ליום אחד. אז, אין לראות זמן אכילתו מהיקישו לשוק, שיש מינים שונים של שוק עם זמן שונים של אכילה. </w:t>
      </w:r>
    </w:p>
    <w:p w14:paraId="28E6AF26" w14:textId="77777777" w:rsidR="007A3564" w:rsidRDefault="00000000" w:rsidP="0015339A">
      <w:pPr>
        <w:pStyle w:val="FootnoteText"/>
        <w:ind w:left="720" w:hanging="11"/>
        <w:jc w:val="both"/>
        <w:rPr>
          <w:lang w:bidi="he-IL"/>
        </w:rPr>
      </w:pPr>
      <w:r>
        <w:rPr>
          <w:rtl/>
          <w:lang w:bidi="he-IL"/>
        </w:rPr>
        <w:t>אבל, חלקו אם זה דחייה טובה. הרי, כדי לומר שהוקש לשוק וחזה של תודה, צריך לומר שיש דין מיוחד לחזה ושוק של תודה (שניתנים לכהן, ולא לבעל). הרי, דין זה נלמד בהיקש משלמים (שתודה נקראת "תודת שלמיו"). כיון שכאן מלמד בהיקש, נמצא שהוא דבר שלמד בהיקש ומנסה ללמד בהיקש. בקדשים, אינו יכול לעשות כן. אבל, יש שקיימו שזה דחייה טובה, שכיון שהדין שנלמד הוא שנאכל ליום אחד כמו חזה ושוק של תודה, ומקצת הדין (מה שנאכל ליום אחד) כתוב בפירוש בתודה, יכולים לדרוש אותו.</w:t>
      </w:r>
    </w:p>
    <w:p w14:paraId="34DA0E76" w14:textId="77777777" w:rsidR="007A3564" w:rsidRDefault="00000000" w:rsidP="0015339A">
      <w:pPr>
        <w:pStyle w:val="FootnoteText"/>
        <w:numPr>
          <w:ilvl w:val="0"/>
          <w:numId w:val="3"/>
        </w:numPr>
        <w:jc w:val="both"/>
        <w:rPr>
          <w:lang w:bidi="he-IL"/>
        </w:rPr>
      </w:pPr>
      <w:r>
        <w:rPr>
          <w:rtl/>
          <w:lang w:bidi="he-IL"/>
        </w:rPr>
        <w:t>בבכור כתיב, “ובשרם יהיה לך.”  בזה מוסיף יכולת אחרת להוויה, והוא שמוסיף עוד יום שמותר לאכול אותו.</w:t>
      </w:r>
    </w:p>
  </w:footnote>
  <w:footnote w:id="12">
    <w:p w14:paraId="2C698D8D" w14:textId="77777777" w:rsidR="007A3564" w:rsidRDefault="00000000" w:rsidP="0015339A">
      <w:pPr>
        <w:pStyle w:val="FootnoteText"/>
        <w:jc w:val="both"/>
        <w:rPr>
          <w:lang w:bidi="he-IL"/>
        </w:rPr>
      </w:pPr>
      <w:r>
        <w:rPr>
          <w:rStyle w:val="FootnoteCharacters"/>
        </w:rPr>
        <w:footnoteRef/>
      </w:r>
      <w:r>
        <w:rPr>
          <w:rtl/>
          <w:lang w:bidi="he-IL"/>
        </w:rPr>
        <w:tab/>
        <w:t>אף שקרבן פסח נקרב בערב פסח, אסור לאכול אותו עד שתחשך. זה נלמד מ"ואכלו אותו בלילה הזה." אז, הוא איסור עשה. רבי יהודה סובר שכיון שכ’ בו "לאמר," יש גם איסור לאו. (פסחים מא:)</w:t>
      </w:r>
    </w:p>
  </w:footnote>
  <w:footnote w:id="13">
    <w:p w14:paraId="6868150A" w14:textId="77777777" w:rsidR="007A3564" w:rsidRDefault="00000000" w:rsidP="0015339A">
      <w:pPr>
        <w:pStyle w:val="FootnoteText"/>
        <w:jc w:val="both"/>
        <w:rPr>
          <w:lang w:bidi="he-IL"/>
        </w:rPr>
      </w:pPr>
      <w:r>
        <w:rPr>
          <w:rStyle w:val="FootnoteCharacters"/>
        </w:rPr>
        <w:footnoteRef/>
      </w:r>
      <w:r>
        <w:rPr>
          <w:rtl/>
          <w:lang w:bidi="he-IL"/>
        </w:rPr>
        <w:tab/>
        <w:t>חולקים רבי עקיבא ורבי אלעזר בן עזריה עד מתי אוכלים קרבן פסח מדאו’. מזכיר גמ’ (ברכות ט.) שלשה מהלכים, לכאו’, בביאור המחלקת ביניהם. כולם נמשכים מזמן של פסח מצרים, שלומדים פסח לדורות מפסח מצרים, כיון שכ’, “"ועבדת את העבודה הזאת בחדש הזה.”</w:t>
      </w:r>
    </w:p>
    <w:p w14:paraId="7BFC1106" w14:textId="77777777" w:rsidR="007A3564" w:rsidRDefault="00000000" w:rsidP="0015339A">
      <w:pPr>
        <w:pStyle w:val="FootnoteText"/>
        <w:numPr>
          <w:ilvl w:val="0"/>
          <w:numId w:val="4"/>
        </w:numPr>
        <w:jc w:val="both"/>
        <w:rPr>
          <w:lang w:bidi="he-IL"/>
        </w:rPr>
      </w:pPr>
      <w:r>
        <w:rPr>
          <w:rtl/>
          <w:lang w:bidi="he-IL"/>
        </w:rPr>
        <w:t xml:space="preserve">רבי אליעזר סובר שנלמד מ"בלילה הזה" בגזירה שווה ממכת בכורות, שקרה בחצות. רבי עקיבא סובר שמ"חפזון" נלמד שנאכל עד שעת חפזון, שהוא בוקר. </w:t>
      </w:r>
    </w:p>
    <w:p w14:paraId="1025FEB4" w14:textId="77777777" w:rsidR="007A3564" w:rsidRDefault="00000000" w:rsidP="0015339A">
      <w:pPr>
        <w:pStyle w:val="FootnoteText"/>
        <w:ind w:left="720"/>
        <w:jc w:val="both"/>
        <w:rPr>
          <w:lang w:bidi="he-IL"/>
        </w:rPr>
      </w:pPr>
      <w:r>
        <w:rPr>
          <w:rtl/>
          <w:lang w:bidi="he-IL"/>
        </w:rPr>
        <w:t>בפשט זה, מפרש גמרא שכתובים ארבע פסוקים:</w:t>
      </w:r>
    </w:p>
    <w:p w14:paraId="1CA90C0B" w14:textId="77777777" w:rsidR="007A3564" w:rsidRDefault="00000000" w:rsidP="0015339A">
      <w:pPr>
        <w:pStyle w:val="FootnoteText"/>
        <w:numPr>
          <w:ilvl w:val="1"/>
          <w:numId w:val="4"/>
        </w:numPr>
        <w:jc w:val="both"/>
        <w:rPr>
          <w:lang w:bidi="he-IL"/>
        </w:rPr>
      </w:pPr>
      <w:r>
        <w:rPr>
          <w:rtl/>
          <w:lang w:bidi="he-IL"/>
        </w:rPr>
        <w:t>“בלילה"</w:t>
      </w:r>
    </w:p>
    <w:p w14:paraId="1C3FD4DF" w14:textId="77777777" w:rsidR="007A3564" w:rsidRDefault="00000000" w:rsidP="0015339A">
      <w:pPr>
        <w:pStyle w:val="FootnoteText"/>
        <w:numPr>
          <w:ilvl w:val="1"/>
          <w:numId w:val="4"/>
        </w:numPr>
        <w:jc w:val="both"/>
        <w:rPr>
          <w:lang w:bidi="he-IL"/>
        </w:rPr>
      </w:pPr>
      <w:r>
        <w:rPr>
          <w:rtl/>
          <w:lang w:bidi="he-IL"/>
        </w:rPr>
        <w:t>“הזה"</w:t>
      </w:r>
    </w:p>
    <w:p w14:paraId="57D61E71" w14:textId="77777777" w:rsidR="007A3564" w:rsidRDefault="00000000" w:rsidP="0015339A">
      <w:pPr>
        <w:pStyle w:val="FootnoteText"/>
        <w:numPr>
          <w:ilvl w:val="1"/>
          <w:numId w:val="4"/>
        </w:numPr>
        <w:jc w:val="both"/>
        <w:rPr>
          <w:lang w:bidi="he-IL"/>
        </w:rPr>
      </w:pPr>
      <w:r>
        <w:rPr>
          <w:rtl/>
          <w:lang w:bidi="he-IL"/>
        </w:rPr>
        <w:t>“חפזון"</w:t>
      </w:r>
    </w:p>
    <w:p w14:paraId="4C5AAE11" w14:textId="77777777" w:rsidR="007A3564" w:rsidRDefault="00000000" w:rsidP="0015339A">
      <w:pPr>
        <w:pStyle w:val="FootnoteText"/>
        <w:numPr>
          <w:ilvl w:val="1"/>
          <w:numId w:val="4"/>
        </w:numPr>
        <w:jc w:val="both"/>
        <w:rPr>
          <w:lang w:bidi="he-IL"/>
        </w:rPr>
      </w:pPr>
      <w:r>
        <w:rPr>
          <w:rtl/>
          <w:lang w:bidi="he-IL"/>
        </w:rPr>
        <w:t>“בוקר"</w:t>
      </w:r>
    </w:p>
    <w:p w14:paraId="4DD493EC" w14:textId="77777777" w:rsidR="007A3564" w:rsidRDefault="00000000" w:rsidP="0015339A">
      <w:pPr>
        <w:pStyle w:val="FootnoteText"/>
        <w:ind w:left="720"/>
        <w:jc w:val="both"/>
        <w:rPr>
          <w:lang w:bidi="he-IL"/>
        </w:rPr>
      </w:pPr>
      <w:r>
        <w:rPr>
          <w:rtl/>
          <w:lang w:bidi="he-IL"/>
        </w:rPr>
        <w:t>לראב"ע, ראשון לג"ש, שני לג"ש (אותו ג"ש), שלישי לא נדרש, ורביעי נדרש לגלות שקרבן פסח נאכל רק לילה אחת (אינו כשאר קדשים קלים שנאכל לשלש עונות).</w:t>
      </w:r>
    </w:p>
    <w:p w14:paraId="6F3BA517" w14:textId="77777777" w:rsidR="007A3564" w:rsidRDefault="00000000" w:rsidP="0015339A">
      <w:pPr>
        <w:pStyle w:val="FootnoteText"/>
        <w:ind w:left="720"/>
        <w:jc w:val="both"/>
        <w:rPr>
          <w:lang w:bidi="he-IL"/>
        </w:rPr>
      </w:pPr>
      <w:r>
        <w:rPr>
          <w:rtl/>
          <w:lang w:bidi="he-IL"/>
        </w:rPr>
        <w:t>לר"ע, הראשון נדרש למעט אכילה ביום שלאחריו, שני נדרש למעט אכילה בלילה שלאחריו, שלישי נדרש לסוף זמן אכילה, ורביעי לא נדרש.</w:t>
      </w:r>
    </w:p>
    <w:p w14:paraId="5E3953D2" w14:textId="77777777" w:rsidR="007A3564" w:rsidRDefault="00000000" w:rsidP="0015339A">
      <w:pPr>
        <w:pStyle w:val="FootnoteText"/>
        <w:numPr>
          <w:ilvl w:val="0"/>
          <w:numId w:val="4"/>
        </w:numPr>
        <w:jc w:val="both"/>
        <w:rPr>
          <w:lang w:bidi="he-IL"/>
        </w:rPr>
      </w:pPr>
      <w:r>
        <w:rPr>
          <w:rtl/>
          <w:lang w:bidi="he-IL"/>
        </w:rPr>
        <w:t>כ’, “בערב כבוא השמש מועד צאתך ממצרים.” בערב, זובחים, ובבא השמש, אוכלים. חולקים ר"ע וראב"ע אם "מועד צאתך,” שהוא הבוקר, אומר זמן שריפה או זמן סוף אכילה.</w:t>
      </w:r>
    </w:p>
    <w:p w14:paraId="585191DA" w14:textId="77777777" w:rsidR="007A3564" w:rsidRDefault="00000000" w:rsidP="0015339A">
      <w:pPr>
        <w:pStyle w:val="FootnoteText"/>
        <w:numPr>
          <w:ilvl w:val="0"/>
          <w:numId w:val="4"/>
        </w:numPr>
        <w:jc w:val="both"/>
        <w:rPr>
          <w:lang w:bidi="he-IL"/>
        </w:rPr>
      </w:pPr>
      <w:r>
        <w:rPr>
          <w:rtl/>
          <w:lang w:bidi="he-IL"/>
        </w:rPr>
        <w:t>שניהם דורשים מ"חפזון" לומר שיכולים לאכול אותו עד שעת חפזון. אבל, חולקים רבי אב"ע ור"ע אם כוונת "חפזון" הוא חפזון של מצרים, מחמת המכה, או חפזון של בנ"י בבוקר לצאת ממצרים. (שאר דרשות שב</w:t>
      </w:r>
      <w:r>
        <w:rPr>
          <w:lang w:bidi="he-IL"/>
        </w:rPr>
        <w:t>1</w:t>
      </w:r>
      <w:r>
        <w:rPr>
          <w:rtl/>
          <w:lang w:bidi="he-IL"/>
        </w:rPr>
        <w:t xml:space="preserve"> יהיו, אז, כמו שפרשנו אותם לר"ע.)</w:t>
      </w:r>
    </w:p>
    <w:p w14:paraId="4C554DFB" w14:textId="77777777" w:rsidR="007A3564" w:rsidRDefault="00000000" w:rsidP="0015339A">
      <w:pPr>
        <w:pStyle w:val="FootnoteText"/>
        <w:jc w:val="both"/>
        <w:rPr>
          <w:lang w:bidi="he-IL"/>
        </w:rPr>
      </w:pPr>
      <w:r>
        <w:rPr>
          <w:rtl/>
          <w:lang w:bidi="he-IL"/>
        </w:rPr>
        <w:tab/>
        <w:t>מדרבנן, שניהם מודים שלא נאכל אחר חצות, שאם נאכל אחרי חצות, חוששים שלא יאכל קודם עלות השחר.</w:t>
      </w:r>
    </w:p>
    <w:p w14:paraId="7F9D84B3" w14:textId="77777777" w:rsidR="007A3564" w:rsidRDefault="00000000" w:rsidP="0015339A">
      <w:pPr>
        <w:pStyle w:val="FootnoteText"/>
        <w:jc w:val="both"/>
        <w:rPr>
          <w:lang w:bidi="he-IL"/>
        </w:rPr>
      </w:pPr>
      <w:r>
        <w:rPr>
          <w:rtl/>
          <w:lang w:bidi="he-IL"/>
        </w:rPr>
        <w:tab/>
        <w:t>גמ’</w:t>
      </w:r>
      <w:r>
        <w:rPr>
          <w:b/>
          <w:bCs/>
          <w:u w:val="single"/>
          <w:rtl/>
          <w:lang w:bidi="he-IL"/>
        </w:rPr>
        <w:t xml:space="preserve"> (נז:)</w:t>
      </w:r>
      <w:r>
        <w:rPr>
          <w:rtl/>
          <w:lang w:bidi="he-IL"/>
        </w:rPr>
        <w:t xml:space="preserve"> סובר שלשון המשנה משמע שמדאו’ נאכל רק עד חצות (אולי הוא מפני שאמר מתי נאכל, ולא רק אומר עליו איסור לאכול אחר חצות.). אז, מפרש שמשנה שלנו הולך כשיטת ראב"ע.</w:t>
      </w:r>
    </w:p>
  </w:footnote>
  <w:footnote w:id="14">
    <w:p w14:paraId="58F8C428" w14:textId="77777777" w:rsidR="007A3564" w:rsidRDefault="00000000" w:rsidP="0015339A">
      <w:pPr>
        <w:pStyle w:val="FootnoteText"/>
        <w:jc w:val="both"/>
        <w:rPr>
          <w:lang w:bidi="he-IL"/>
        </w:rPr>
      </w:pPr>
      <w:r>
        <w:rPr>
          <w:rStyle w:val="FootnoteCharacters"/>
        </w:rPr>
        <w:footnoteRef/>
      </w:r>
      <w:r>
        <w:rPr>
          <w:rtl/>
          <w:lang w:bidi="he-IL"/>
        </w:rPr>
        <w:tab/>
        <w:t>זה נלמד ממש"כ, “איש לפי אכלו תכוסו על השה.”</w:t>
      </w:r>
    </w:p>
  </w:footnote>
  <w:footnote w:id="15">
    <w:p w14:paraId="5A8A198E" w14:textId="77777777" w:rsidR="007A3564" w:rsidRDefault="00000000" w:rsidP="0015339A">
      <w:pPr>
        <w:pStyle w:val="FootnoteText"/>
        <w:jc w:val="both"/>
      </w:pPr>
      <w:r>
        <w:rPr>
          <w:rStyle w:val="FootnoteCharacters"/>
        </w:rPr>
        <w:footnoteRef/>
      </w:r>
      <w:r>
        <w:rPr>
          <w:rtl/>
        </w:rPr>
        <w:tab/>
        <w:t>יש שלש איסורים:</w:t>
      </w:r>
    </w:p>
    <w:p w14:paraId="7F03536B" w14:textId="1DA746F0" w:rsidR="007A3564" w:rsidRDefault="00000000" w:rsidP="0015339A">
      <w:pPr>
        <w:pStyle w:val="FootnoteText"/>
        <w:numPr>
          <w:ilvl w:val="0"/>
          <w:numId w:val="5"/>
        </w:numPr>
        <w:jc w:val="both"/>
      </w:pPr>
      <w:r>
        <w:rPr>
          <w:rtl/>
        </w:rPr>
        <w:t>יש איסור לאו לאכול ק"פ שלא נצלה. רבא ולשון ראשון של אביי אומר שלוקים ע"ז. לשון שני של אביי פוטר, שאינו מיוחד כלאו של חתימה, שממנו נל' מכות. (מא:). צלי כולל צלייה על גב אש ועל גב גחלים (חולקים אמוראים אם זה רק בגחלים של עץ או אף בשל מתכת). לא כולל צלייה על תנור שגרף, מח' כפל "צלי אש." (</w:t>
      </w:r>
      <w:r>
        <w:rPr>
          <w:rtl/>
          <w:lang w:bidi="he-IL"/>
        </w:rPr>
        <w:t xml:space="preserve">פסחים </w:t>
      </w:r>
      <w:r>
        <w:rPr>
          <w:rtl/>
        </w:rPr>
        <w:t xml:space="preserve">עה.) </w:t>
      </w:r>
    </w:p>
    <w:p w14:paraId="3DA43339" w14:textId="77777777" w:rsidR="007A3564" w:rsidRDefault="00000000" w:rsidP="0015339A">
      <w:pPr>
        <w:pStyle w:val="FootnoteText"/>
        <w:numPr>
          <w:ilvl w:val="0"/>
          <w:numId w:val="5"/>
        </w:numPr>
        <w:jc w:val="both"/>
      </w:pPr>
      <w:r>
        <w:rPr>
          <w:rtl/>
        </w:rPr>
        <w:t xml:space="preserve">יש איסור לאו לאכול ק"פ נא. מ"נא ומבושל" דורשים שרק אסור אם בישל קצת </w:t>
      </w:r>
      <w:r>
        <w:rPr>
          <w:rtl/>
          <w:lang w:bidi="he-IL"/>
        </w:rPr>
        <w:t xml:space="preserve">(פסחים </w:t>
      </w:r>
      <w:r>
        <w:rPr>
          <w:rtl/>
        </w:rPr>
        <w:t>מא.)</w:t>
      </w:r>
    </w:p>
    <w:p w14:paraId="5F4DD537" w14:textId="77777777" w:rsidR="007A3564" w:rsidRDefault="00000000" w:rsidP="0015339A">
      <w:pPr>
        <w:pStyle w:val="FootnoteText"/>
        <w:numPr>
          <w:ilvl w:val="0"/>
          <w:numId w:val="5"/>
        </w:numPr>
        <w:jc w:val="both"/>
      </w:pPr>
      <w:r>
        <w:rPr>
          <w:rtl/>
        </w:rPr>
        <w:t>יש איסור לאו לאכול ק"פ מבושל, בין במים בין בשאר משקים (רבנן דורשים אותו מקו"ח, שמים לא מפיג טעמו, ורבי דורש אותו מ"בשל מבושל." נמצא שיחלקו אם יהיה פטור אם מבשל ברוטב שלו או יהיה חייב.) אם צלאו ובשלו, חולקים. יש דורשים מ"בשל מבושל" לחייבו. יש דורשים מ"נא ומבושל" לפטור אותו. אם בשל וצלה, חייב. (</w:t>
      </w:r>
      <w:r>
        <w:rPr>
          <w:rtl/>
          <w:lang w:bidi="he-IL"/>
        </w:rPr>
        <w:t xml:space="preserve">פסחים </w:t>
      </w:r>
      <w:r>
        <w:rPr>
          <w:rtl/>
        </w:rPr>
        <w:t>מא.) אין סיכת ק"פ נחשב בישול. (</w:t>
      </w:r>
      <w:r>
        <w:rPr>
          <w:rtl/>
          <w:lang w:bidi="he-IL"/>
        </w:rPr>
        <w:t xml:space="preserve">פסחים </w:t>
      </w:r>
      <w:r>
        <w:rPr>
          <w:rtl/>
        </w:rPr>
        <w:t>מ:)</w:t>
      </w:r>
    </w:p>
    <w:p w14:paraId="47F99212" w14:textId="77777777" w:rsidR="007A3564" w:rsidRDefault="00000000" w:rsidP="0015339A">
      <w:pPr>
        <w:pStyle w:val="FootnoteText"/>
        <w:jc w:val="both"/>
      </w:pPr>
      <w:r>
        <w:rPr>
          <w:rtl/>
        </w:rPr>
        <w:t>אם אוכל עובר על שני או שלישי:</w:t>
      </w:r>
    </w:p>
    <w:p w14:paraId="4C659661" w14:textId="77777777" w:rsidR="007A3564" w:rsidRDefault="00000000" w:rsidP="0015339A">
      <w:pPr>
        <w:pStyle w:val="FootnoteText"/>
        <w:numPr>
          <w:ilvl w:val="0"/>
          <w:numId w:val="6"/>
        </w:numPr>
        <w:jc w:val="both"/>
      </w:pPr>
      <w:r>
        <w:rPr>
          <w:rtl/>
        </w:rPr>
        <w:t>רבא- לוקה שנים, מחמת לאו ראשון והוא.</w:t>
      </w:r>
    </w:p>
    <w:p w14:paraId="7046D8E8" w14:textId="77777777" w:rsidR="007A3564" w:rsidRDefault="00000000" w:rsidP="0015339A">
      <w:pPr>
        <w:pStyle w:val="FootnoteText"/>
        <w:numPr>
          <w:ilvl w:val="0"/>
          <w:numId w:val="6"/>
        </w:numPr>
        <w:jc w:val="both"/>
      </w:pPr>
      <w:r>
        <w:rPr>
          <w:rtl/>
        </w:rPr>
        <w:t>אביי- לוקה אחת, מחמת הוא. (מא:)</w:t>
      </w:r>
    </w:p>
    <w:p w14:paraId="68FC3C08" w14:textId="4861C45B" w:rsidR="007A3564" w:rsidRDefault="00000000" w:rsidP="0015339A">
      <w:pPr>
        <w:pStyle w:val="FootnoteText"/>
        <w:jc w:val="both"/>
      </w:pPr>
      <w:r>
        <w:rPr>
          <w:rtl/>
        </w:rPr>
        <w:t>חולקים רבי ורבנן אם חייב אף מבע"י (כיון שכ', "ובשל מבושל) או פטור (כיון שכ', "כי אם צלי אש"). (</w:t>
      </w:r>
      <w:r>
        <w:rPr>
          <w:rtl/>
          <w:lang w:bidi="he-IL"/>
        </w:rPr>
        <w:t xml:space="preserve">פסחים </w:t>
      </w:r>
      <w:r>
        <w:rPr>
          <w:rtl/>
        </w:rPr>
        <w:t>מא:)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3E3"/>
    <w:multiLevelType w:val="multilevel"/>
    <w:tmpl w:val="066A63E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5DE0139D"/>
    <w:multiLevelType w:val="multilevel"/>
    <w:tmpl w:val="370C1D6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Symbol" w:hAnsi="Symbol" w:cs="Symbol" w:hint="default"/>
      </w:rPr>
    </w:lvl>
    <w:lvl w:ilvl="2">
      <w:start w:val="1"/>
      <w:numFmt w:val="bullet"/>
      <w:lvlText w:val=""/>
      <w:lvlJc w:val="right"/>
      <w:pPr>
        <w:tabs>
          <w:tab w:val="num" w:pos="1440"/>
        </w:tabs>
        <w:ind w:left="1440" w:hanging="360"/>
      </w:pPr>
      <w:rPr>
        <w:rFonts w:ascii="Symbol" w:hAnsi="Symbol" w:cs="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Symbol" w:hAnsi="Symbol" w:cs="Symbol" w:hint="default"/>
      </w:rPr>
    </w:lvl>
    <w:lvl w:ilvl="5">
      <w:start w:val="1"/>
      <w:numFmt w:val="bullet"/>
      <w:lvlText w:val=""/>
      <w:lvlJc w:val="right"/>
      <w:pPr>
        <w:tabs>
          <w:tab w:val="num" w:pos="2520"/>
        </w:tabs>
        <w:ind w:left="2520" w:hanging="360"/>
      </w:pPr>
      <w:rPr>
        <w:rFonts w:ascii="Symbol" w:hAnsi="Symbol" w:cs="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Symbol" w:hAnsi="Symbol" w:cs="Symbol" w:hint="default"/>
      </w:rPr>
    </w:lvl>
    <w:lvl w:ilvl="8">
      <w:start w:val="1"/>
      <w:numFmt w:val="bullet"/>
      <w:lvlText w:val=""/>
      <w:lvlJc w:val="right"/>
      <w:pPr>
        <w:tabs>
          <w:tab w:val="num" w:pos="3600"/>
        </w:tabs>
        <w:ind w:left="3600" w:hanging="360"/>
      </w:pPr>
      <w:rPr>
        <w:rFonts w:ascii="Symbol" w:hAnsi="Symbol" w:cs="Symbol" w:hint="default"/>
      </w:rPr>
    </w:lvl>
  </w:abstractNum>
  <w:abstractNum w:abstractNumId="2" w15:restartNumberingAfterBreak="0">
    <w:nsid w:val="62FB03A7"/>
    <w:multiLevelType w:val="multilevel"/>
    <w:tmpl w:val="8A5A0D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689D1677"/>
    <w:multiLevelType w:val="multilevel"/>
    <w:tmpl w:val="FF4C96B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Symbol" w:hAnsi="Symbol" w:cs="Symbol" w:hint="default"/>
      </w:rPr>
    </w:lvl>
    <w:lvl w:ilvl="2">
      <w:start w:val="1"/>
      <w:numFmt w:val="bullet"/>
      <w:lvlText w:val=""/>
      <w:lvlJc w:val="right"/>
      <w:pPr>
        <w:tabs>
          <w:tab w:val="num" w:pos="1440"/>
        </w:tabs>
        <w:ind w:left="1440" w:hanging="360"/>
      </w:pPr>
      <w:rPr>
        <w:rFonts w:ascii="Symbol" w:hAnsi="Symbol" w:cs="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Symbol" w:hAnsi="Symbol" w:cs="Symbol" w:hint="default"/>
      </w:rPr>
    </w:lvl>
    <w:lvl w:ilvl="5">
      <w:start w:val="1"/>
      <w:numFmt w:val="bullet"/>
      <w:lvlText w:val=""/>
      <w:lvlJc w:val="right"/>
      <w:pPr>
        <w:tabs>
          <w:tab w:val="num" w:pos="2520"/>
        </w:tabs>
        <w:ind w:left="2520" w:hanging="360"/>
      </w:pPr>
      <w:rPr>
        <w:rFonts w:ascii="Symbol" w:hAnsi="Symbol" w:cs="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Symbol" w:hAnsi="Symbol" w:cs="Symbol" w:hint="default"/>
      </w:rPr>
    </w:lvl>
    <w:lvl w:ilvl="8">
      <w:start w:val="1"/>
      <w:numFmt w:val="bullet"/>
      <w:lvlText w:val=""/>
      <w:lvlJc w:val="right"/>
      <w:pPr>
        <w:tabs>
          <w:tab w:val="num" w:pos="3600"/>
        </w:tabs>
        <w:ind w:left="3600" w:hanging="360"/>
      </w:pPr>
      <w:rPr>
        <w:rFonts w:ascii="Symbol" w:hAnsi="Symbol" w:cs="Symbol" w:hint="default"/>
      </w:rPr>
    </w:lvl>
  </w:abstractNum>
  <w:abstractNum w:abstractNumId="4" w15:restartNumberingAfterBreak="0">
    <w:nsid w:val="6A4F2FCB"/>
    <w:multiLevelType w:val="multilevel"/>
    <w:tmpl w:val="7E842F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AF448B"/>
    <w:multiLevelType w:val="multilevel"/>
    <w:tmpl w:val="9BC66D04"/>
    <w:lvl w:ilvl="0">
      <w:start w:val="1"/>
      <w:numFmt w:val="decimal"/>
      <w:lvlText w:val="%1."/>
      <w:lvlJc w:val="right"/>
      <w:pPr>
        <w:tabs>
          <w:tab w:val="num" w:pos="764"/>
        </w:tabs>
        <w:ind w:left="764" w:hanging="360"/>
      </w:pPr>
    </w:lvl>
    <w:lvl w:ilvl="1">
      <w:start w:val="1"/>
      <w:numFmt w:val="decimal"/>
      <w:lvlText w:val="%2."/>
      <w:lvlJc w:val="right"/>
      <w:pPr>
        <w:tabs>
          <w:tab w:val="num" w:pos="1124"/>
        </w:tabs>
        <w:ind w:left="1124" w:hanging="360"/>
      </w:pPr>
    </w:lvl>
    <w:lvl w:ilvl="2">
      <w:start w:val="1"/>
      <w:numFmt w:val="decimal"/>
      <w:lvlText w:val="%3."/>
      <w:lvlJc w:val="right"/>
      <w:pPr>
        <w:tabs>
          <w:tab w:val="num" w:pos="1484"/>
        </w:tabs>
        <w:ind w:left="1484" w:hanging="360"/>
      </w:pPr>
    </w:lvl>
    <w:lvl w:ilvl="3">
      <w:start w:val="1"/>
      <w:numFmt w:val="decimal"/>
      <w:lvlText w:val="%4."/>
      <w:lvlJc w:val="right"/>
      <w:pPr>
        <w:tabs>
          <w:tab w:val="num" w:pos="1844"/>
        </w:tabs>
        <w:ind w:left="1844" w:hanging="360"/>
      </w:pPr>
    </w:lvl>
    <w:lvl w:ilvl="4">
      <w:start w:val="1"/>
      <w:numFmt w:val="decimal"/>
      <w:lvlText w:val="%5."/>
      <w:lvlJc w:val="right"/>
      <w:pPr>
        <w:tabs>
          <w:tab w:val="num" w:pos="2204"/>
        </w:tabs>
        <w:ind w:left="2204" w:hanging="360"/>
      </w:pPr>
    </w:lvl>
    <w:lvl w:ilvl="5">
      <w:start w:val="1"/>
      <w:numFmt w:val="decimal"/>
      <w:lvlText w:val="%6."/>
      <w:lvlJc w:val="right"/>
      <w:pPr>
        <w:tabs>
          <w:tab w:val="num" w:pos="2564"/>
        </w:tabs>
        <w:ind w:left="2564" w:hanging="360"/>
      </w:pPr>
    </w:lvl>
    <w:lvl w:ilvl="6">
      <w:start w:val="1"/>
      <w:numFmt w:val="decimal"/>
      <w:lvlText w:val="%7."/>
      <w:lvlJc w:val="right"/>
      <w:pPr>
        <w:tabs>
          <w:tab w:val="num" w:pos="2924"/>
        </w:tabs>
        <w:ind w:left="2924" w:hanging="360"/>
      </w:pPr>
    </w:lvl>
    <w:lvl w:ilvl="7">
      <w:start w:val="1"/>
      <w:numFmt w:val="decimal"/>
      <w:lvlText w:val="%8."/>
      <w:lvlJc w:val="right"/>
      <w:pPr>
        <w:tabs>
          <w:tab w:val="num" w:pos="3284"/>
        </w:tabs>
        <w:ind w:left="3284" w:hanging="360"/>
      </w:pPr>
    </w:lvl>
    <w:lvl w:ilvl="8">
      <w:start w:val="1"/>
      <w:numFmt w:val="decimal"/>
      <w:lvlText w:val="%9."/>
      <w:lvlJc w:val="right"/>
      <w:pPr>
        <w:tabs>
          <w:tab w:val="num" w:pos="3644"/>
        </w:tabs>
        <w:ind w:left="3644" w:hanging="360"/>
      </w:pPr>
    </w:lvl>
  </w:abstractNum>
  <w:num w:numId="1" w16cid:durableId="349650226">
    <w:abstractNumId w:val="4"/>
  </w:num>
  <w:num w:numId="2" w16cid:durableId="418143050">
    <w:abstractNumId w:val="3"/>
  </w:num>
  <w:num w:numId="3" w16cid:durableId="834302879">
    <w:abstractNumId w:val="0"/>
  </w:num>
  <w:num w:numId="4" w16cid:durableId="609896864">
    <w:abstractNumId w:val="2"/>
  </w:num>
  <w:num w:numId="5" w16cid:durableId="34500501">
    <w:abstractNumId w:val="5"/>
  </w:num>
  <w:num w:numId="6" w16cid:durableId="183857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A3564"/>
    <w:rsid w:val="000C4F21"/>
    <w:rsid w:val="000F3F4A"/>
    <w:rsid w:val="0015339A"/>
    <w:rsid w:val="00230D5C"/>
    <w:rsid w:val="00260577"/>
    <w:rsid w:val="00270D80"/>
    <w:rsid w:val="00344D71"/>
    <w:rsid w:val="003641FF"/>
    <w:rsid w:val="003756B9"/>
    <w:rsid w:val="0041311F"/>
    <w:rsid w:val="004A2B3E"/>
    <w:rsid w:val="004C46DB"/>
    <w:rsid w:val="004E71A6"/>
    <w:rsid w:val="00611EE4"/>
    <w:rsid w:val="00635A0E"/>
    <w:rsid w:val="0067165B"/>
    <w:rsid w:val="007665CF"/>
    <w:rsid w:val="00785637"/>
    <w:rsid w:val="007A3564"/>
    <w:rsid w:val="008067E0"/>
    <w:rsid w:val="008529E9"/>
    <w:rsid w:val="008D4253"/>
    <w:rsid w:val="00986A0B"/>
    <w:rsid w:val="00B2240A"/>
    <w:rsid w:val="00B45B4E"/>
    <w:rsid w:val="00B546E4"/>
    <w:rsid w:val="00C7663A"/>
    <w:rsid w:val="00C84A46"/>
    <w:rsid w:val="00CB0B6B"/>
    <w:rsid w:val="00CE3A60"/>
    <w:rsid w:val="00CF3F89"/>
    <w:rsid w:val="00DD11F5"/>
    <w:rsid w:val="00EE1AF2"/>
    <w:rsid w:val="00F55AB1"/>
    <w:rsid w:val="00F811FA"/>
    <w:rsid w:val="00FB7F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D2B1"/>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1F"/>
    <w:pPr>
      <w:bidi/>
      <w:spacing w:before="120" w:after="120" w:line="276" w:lineRule="auto"/>
    </w:pPr>
  </w:style>
  <w:style w:type="paragraph" w:styleId="Heading2">
    <w:name w:val="heading 2"/>
    <w:basedOn w:val="Normal"/>
    <w:next w:val="Normal"/>
    <w:uiPriority w:val="9"/>
    <w:unhideWhenUsed/>
    <w:qFormat/>
    <w:rsid w:val="0041311F"/>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41311F"/>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66</Words>
  <Characters>443</Characters>
  <Application>Microsoft Office Word</Application>
  <DocSecurity>0</DocSecurity>
  <Lines>6</Lines>
  <Paragraphs>2</Paragraphs>
  <ScaleCrop>false</ScaleCrop>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Shaul Y Khayyat</cp:lastModifiedBy>
  <cp:revision>23</cp:revision>
  <cp:lastPrinted>2025-11-10T21:06:00Z</cp:lastPrinted>
  <dcterms:created xsi:type="dcterms:W3CDTF">2025-11-05T18:24:00Z</dcterms:created>
  <dcterms:modified xsi:type="dcterms:W3CDTF">2025-11-10T21:06:00Z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2025-11-04T12:15:08Z</dcterms:created>
  <dc:creator/>
  <dc:description/>
  <dc:language>en-US</dc:language>
  <cp:lastModifiedBy/>
  <dcterms:modified xsi:type="dcterms:W3CDTF">2025-11-04T12:23:30Z</dcterms:modified>
  <cp:revision>2</cp:revision>
  <dc:subject/>
  <dc:title/>
</cp:coreProperties>
</file>