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4E51DE" w14:textId="77777777" w:rsidR="00672000" w:rsidRDefault="00000000">
      <w:pPr>
        <w:pStyle w:val="Heading1"/>
      </w:pPr>
      <w:r>
        <w:rPr>
          <w:rFonts w:cs="Arial"/>
          <w:rtl/>
        </w:rPr>
        <w:t>פסולי שחיטה:</w:t>
      </w:r>
    </w:p>
    <w:p w14:paraId="59A7AE2E" w14:textId="77777777" w:rsidR="00672000" w:rsidRDefault="00000000">
      <w:pPr>
        <w:pStyle w:val="Heading2"/>
        <w:bidi/>
      </w:pPr>
      <w:r>
        <w:rPr>
          <w:rtl/>
        </w:rPr>
        <w:t>שוחט פסול:</w:t>
      </w:r>
    </w:p>
    <w:p w14:paraId="10D1F035" w14:textId="77777777" w:rsidR="00672000" w:rsidRDefault="00000000">
      <w:pPr>
        <w:bidi/>
        <w:rPr>
          <w:lang w:bidi="he-IL"/>
        </w:rPr>
      </w:pPr>
      <w:r>
        <w:rPr>
          <w:rtl/>
          <w:lang w:bidi="he-IL"/>
        </w:rPr>
        <w:t>מצאנו ----- ציורים של שוחט פסול:</w:t>
      </w:r>
    </w:p>
    <w:p w14:paraId="60F8DE65" w14:textId="1F8AF64E" w:rsidR="00672000" w:rsidRDefault="00000000">
      <w:pPr>
        <w:numPr>
          <w:ilvl w:val="0"/>
          <w:numId w:val="1"/>
        </w:numPr>
        <w:bidi/>
        <w:rPr>
          <w:lang w:bidi="he-IL"/>
        </w:rPr>
      </w:pPr>
      <w:r>
        <w:rPr>
          <w:rtl/>
          <w:lang w:bidi="he-IL"/>
        </w:rPr>
        <w:t xml:space="preserve">כותי. יש </w:t>
      </w:r>
      <w:r w:rsidR="00473DFD">
        <w:rPr>
          <w:rFonts w:hint="cs"/>
          <w:rtl/>
          <w:lang w:bidi="he-IL"/>
        </w:rPr>
        <w:t>שלש סיבות לפסול שחיטת כושי:</w:t>
      </w:r>
    </w:p>
    <w:p w14:paraId="4678AAEC" w14:textId="41A024F1" w:rsidR="00672000" w:rsidRDefault="00000000">
      <w:pPr>
        <w:numPr>
          <w:ilvl w:val="1"/>
          <w:numId w:val="1"/>
        </w:numPr>
        <w:bidi/>
        <w:rPr>
          <w:lang w:bidi="he-IL"/>
        </w:rPr>
      </w:pPr>
      <w:r>
        <w:rPr>
          <w:rtl/>
          <w:lang w:bidi="he-IL"/>
        </w:rPr>
        <w:t>כותים לא מקפידים על איסור "לפני עוור.” לכן, מה ש</w:t>
      </w:r>
      <w:r w:rsidR="00E474D4">
        <w:rPr>
          <w:rFonts w:hint="cs"/>
          <w:rtl/>
          <w:lang w:bidi="he-IL"/>
        </w:rPr>
        <w:t>שוחטים ו</w:t>
      </w:r>
      <w:r>
        <w:rPr>
          <w:rtl/>
          <w:lang w:bidi="he-IL"/>
        </w:rPr>
        <w:t>מוסרים בשר לישראל לא מורה שהבשר כשר</w:t>
      </w:r>
      <w:r w:rsidR="00473DFD">
        <w:rPr>
          <w:rFonts w:hint="cs"/>
          <w:rtl/>
          <w:lang w:bidi="he-IL"/>
        </w:rPr>
        <w:t>,</w:t>
      </w:r>
      <w:r>
        <w:rPr>
          <w:rStyle w:val="FootnoteReference"/>
          <w:rtl/>
          <w:lang w:bidi="he-IL"/>
        </w:rPr>
        <w:footnoteReference w:id="1"/>
      </w:r>
      <w:r w:rsidR="00473DFD">
        <w:rPr>
          <w:rFonts w:hint="cs"/>
          <w:rtl/>
          <w:lang w:bidi="he-IL"/>
        </w:rPr>
        <w:t xml:space="preserve"> ואז חוששים שפסול אחר קרה בשחיטה.</w:t>
      </w:r>
      <w:r w:rsidR="00E474D4">
        <w:rPr>
          <w:rFonts w:hint="cs"/>
          <w:rtl/>
          <w:lang w:bidi="he-IL"/>
        </w:rPr>
        <w:t xml:space="preserve"> יש </w:t>
      </w:r>
      <w:r w:rsidR="002F20C0">
        <w:rPr>
          <w:rFonts w:hint="cs"/>
          <w:rtl/>
          <w:lang w:bidi="he-IL"/>
        </w:rPr>
        <w:t>שני</w:t>
      </w:r>
      <w:r w:rsidR="00E474D4">
        <w:rPr>
          <w:rFonts w:hint="cs"/>
          <w:rtl/>
          <w:lang w:bidi="he-IL"/>
        </w:rPr>
        <w:t xml:space="preserve"> דרכים לדחות חשש זה:</w:t>
      </w:r>
    </w:p>
    <w:p w14:paraId="448CBF21" w14:textId="38F2246E" w:rsidR="00E474D4" w:rsidRDefault="00E474D4" w:rsidP="00E474D4">
      <w:pPr>
        <w:numPr>
          <w:ilvl w:val="2"/>
          <w:numId w:val="1"/>
        </w:numPr>
        <w:bidi/>
        <w:rPr>
          <w:lang w:bidi="he-IL"/>
        </w:rPr>
      </w:pPr>
      <w:r>
        <w:rPr>
          <w:rFonts w:hint="cs"/>
          <w:rtl/>
          <w:lang w:bidi="he-IL"/>
        </w:rPr>
        <w:t>אם ישראל רואה את השחיטה, כשרה היא.</w:t>
      </w:r>
      <w:r>
        <w:rPr>
          <w:rStyle w:val="FootnoteReference"/>
          <w:rtl/>
          <w:lang w:bidi="he-IL"/>
        </w:rPr>
        <w:footnoteReference w:id="2"/>
      </w:r>
      <w:r w:rsidR="002F20C0">
        <w:rPr>
          <w:rFonts w:hint="cs"/>
          <w:rtl/>
          <w:lang w:bidi="he-IL"/>
        </w:rPr>
        <w:t xml:space="preserve"> חולקים כמה מן השחיטה צריך לראות:</w:t>
      </w:r>
    </w:p>
    <w:p w14:paraId="257CF6A6" w14:textId="52AB2D62" w:rsidR="002F20C0" w:rsidRDefault="002F20C0" w:rsidP="002F20C0">
      <w:pPr>
        <w:numPr>
          <w:ilvl w:val="3"/>
          <w:numId w:val="1"/>
        </w:numPr>
        <w:bidi/>
        <w:rPr>
          <w:lang w:bidi="he-IL"/>
        </w:rPr>
      </w:pPr>
      <w:r>
        <w:rPr>
          <w:rFonts w:hint="cs"/>
          <w:rtl/>
          <w:lang w:bidi="he-IL"/>
        </w:rPr>
        <w:t>אביי אומר שצריך לראות את כל השחיטה.</w:t>
      </w:r>
    </w:p>
    <w:p w14:paraId="1E41FE99" w14:textId="78CDDF20" w:rsidR="00672000" w:rsidRDefault="002F20C0" w:rsidP="00505A26">
      <w:pPr>
        <w:numPr>
          <w:ilvl w:val="3"/>
          <w:numId w:val="1"/>
        </w:numPr>
        <w:bidi/>
        <w:rPr>
          <w:lang w:bidi="he-IL"/>
        </w:rPr>
      </w:pPr>
      <w:r>
        <w:rPr>
          <w:rFonts w:hint="cs"/>
          <w:rtl/>
          <w:lang w:bidi="he-IL"/>
        </w:rPr>
        <w:t>רבא אומר שרק צריך להיות נכנס ויוצא בזמן השחיטה. אז, אף אם לא ראה את השחיטה בכלל, השחיטה כשרה.</w:t>
      </w:r>
      <w:r w:rsidR="008A2125">
        <w:rPr>
          <w:rFonts w:hint="cs"/>
          <w:rtl/>
          <w:lang w:bidi="he-IL"/>
        </w:rPr>
        <w:t xml:space="preserve"> </w:t>
      </w:r>
    </w:p>
    <w:p w14:paraId="3D458B07" w14:textId="4537626E" w:rsidR="0097593F" w:rsidRDefault="00505A26" w:rsidP="0097593F">
      <w:pPr>
        <w:numPr>
          <w:ilvl w:val="2"/>
          <w:numId w:val="1"/>
        </w:numPr>
        <w:bidi/>
        <w:rPr>
          <w:lang w:bidi="he-IL"/>
        </w:rPr>
      </w:pPr>
      <w:r>
        <w:rPr>
          <w:rFonts w:hint="cs"/>
          <w:rtl/>
          <w:lang w:bidi="he-IL"/>
        </w:rPr>
        <w:t>אם הכותי עצמו אכל חלק מן הבשר, כשרה היא.</w:t>
      </w:r>
      <w:r w:rsidR="00E93455" w:rsidRPr="00E93455">
        <w:rPr>
          <w:rFonts w:hint="cs"/>
          <w:b/>
          <w:bCs/>
          <w:u w:val="single"/>
          <w:rtl/>
          <w:lang w:bidi="he-IL"/>
        </w:rPr>
        <w:t xml:space="preserve"> </w:t>
      </w:r>
      <w:r w:rsidR="00E93455">
        <w:rPr>
          <w:rFonts w:hint="cs"/>
          <w:b/>
          <w:bCs/>
          <w:u w:val="single"/>
          <w:rtl/>
          <w:lang w:bidi="he-IL"/>
        </w:rPr>
        <w:t>(ג.)</w:t>
      </w:r>
      <w:r>
        <w:rPr>
          <w:rFonts w:hint="cs"/>
          <w:rtl/>
          <w:lang w:bidi="he-IL"/>
        </w:rPr>
        <w:t xml:space="preserve"> </w:t>
      </w:r>
      <w:r w:rsidR="0097593F">
        <w:rPr>
          <w:rFonts w:hint="cs"/>
          <w:rtl/>
          <w:lang w:bidi="he-IL"/>
        </w:rPr>
        <w:t xml:space="preserve"> חולקים תנאים אם זה מהני. יש להקדים שכותים, בדרך כלל, לא מקפידים על מה שלא כתוב בתורה. הרי, יש דיני שחיטה שהם הל"מ. אף על פי כן, כפי הנראה, כותים הקפידו בהם. חולקים תנאים אם יכולים לסמוך שכותים יקפידו בדברים כזה. רק אם יכולים לסמוך שיקפידו נוכל להוכיח שהשחיטה כשרה</w:t>
      </w:r>
      <w:r w:rsidR="00E31C77">
        <w:rPr>
          <w:rStyle w:val="FootnoteReference"/>
          <w:rtl/>
          <w:lang w:bidi="he-IL"/>
        </w:rPr>
        <w:footnoteReference w:id="3"/>
      </w:r>
      <w:r w:rsidR="0097593F">
        <w:rPr>
          <w:rFonts w:hint="cs"/>
          <w:rtl/>
          <w:lang w:bidi="he-IL"/>
        </w:rPr>
        <w:t>.</w:t>
      </w:r>
      <w:r w:rsidR="00683ACB">
        <w:rPr>
          <w:rFonts w:hint="cs"/>
          <w:rtl/>
          <w:lang w:bidi="he-IL"/>
        </w:rPr>
        <w:t xml:space="preserve"> </w:t>
      </w:r>
      <w:r w:rsidR="00683ACB">
        <w:rPr>
          <w:rFonts w:hint="cs"/>
          <w:b/>
          <w:bCs/>
          <w:u w:val="single"/>
          <w:rtl/>
          <w:lang w:bidi="he-IL"/>
        </w:rPr>
        <w:t>(ד</w:t>
      </w:r>
      <w:r w:rsidR="00A069E2">
        <w:rPr>
          <w:rFonts w:hint="cs"/>
          <w:b/>
          <w:bCs/>
          <w:u w:val="single"/>
          <w:rtl/>
          <w:lang w:bidi="he-IL"/>
        </w:rPr>
        <w:t>.</w:t>
      </w:r>
      <w:r w:rsidR="00683ACB">
        <w:rPr>
          <w:rFonts w:hint="cs"/>
          <w:b/>
          <w:bCs/>
          <w:u w:val="single"/>
          <w:rtl/>
          <w:lang w:bidi="he-IL"/>
        </w:rPr>
        <w:t>)</w:t>
      </w:r>
    </w:p>
    <w:p w14:paraId="5C394002" w14:textId="763B8F62" w:rsidR="00473DFD" w:rsidRPr="00CF4F22" w:rsidRDefault="00473DFD" w:rsidP="00473DFD">
      <w:pPr>
        <w:numPr>
          <w:ilvl w:val="1"/>
          <w:numId w:val="1"/>
        </w:numPr>
        <w:bidi/>
        <w:rPr>
          <w:lang w:bidi="he-IL"/>
        </w:rPr>
      </w:pPr>
      <w:r>
        <w:rPr>
          <w:rFonts w:hint="cs"/>
          <w:rtl/>
          <w:lang w:bidi="he-IL"/>
        </w:rPr>
        <w:lastRenderedPageBreak/>
        <w:t>כותים אינם בני ישראל. חולקים תנאים אם כותים גירי אמת או גירי אריות (רק גרים מחמת פחד, אבל לא, באמת, חל הגירות). אם הם גירי אריות, אז דין שלהם כגויים (ע' לקמן).</w:t>
      </w:r>
      <w:r w:rsidR="00D31A53">
        <w:rPr>
          <w:rFonts w:hint="cs"/>
          <w:rtl/>
          <w:lang w:bidi="he-IL"/>
        </w:rPr>
        <w:t xml:space="preserve"> </w:t>
      </w:r>
      <w:r w:rsidR="00D31A53">
        <w:rPr>
          <w:rFonts w:hint="cs"/>
          <w:b/>
          <w:bCs/>
          <w:u w:val="single"/>
          <w:rtl/>
          <w:lang w:bidi="he-IL"/>
        </w:rPr>
        <w:t>(ג:)</w:t>
      </w:r>
    </w:p>
    <w:p w14:paraId="30C0B4E4" w14:textId="7C742670" w:rsidR="00CF4F22" w:rsidRDefault="00CF4F22" w:rsidP="00CF4F22">
      <w:pPr>
        <w:numPr>
          <w:ilvl w:val="1"/>
          <w:numId w:val="1"/>
        </w:numPr>
        <w:bidi/>
        <w:rPr>
          <w:lang w:bidi="he-IL"/>
        </w:rPr>
      </w:pPr>
      <w:r>
        <w:rPr>
          <w:rFonts w:hint="cs"/>
          <w:rtl/>
          <w:lang w:bidi="he-IL"/>
        </w:rPr>
        <w:t>חששו שכותים היו עובדי עבודה זרה. כיון שכן, גזרו שלא לאכול משחיטתם. (עיין לקמן, שנבאר דין של מומר לעבודה זרה.</w:t>
      </w:r>
      <w:r>
        <w:rPr>
          <w:rStyle w:val="FootnoteReference"/>
          <w:rtl/>
          <w:lang w:bidi="he-IL"/>
        </w:rPr>
        <w:footnoteReference w:id="4"/>
      </w:r>
      <w:r>
        <w:rPr>
          <w:rFonts w:hint="cs"/>
          <w:rtl/>
          <w:lang w:bidi="he-IL"/>
        </w:rPr>
        <w:t>) (גמ' מפרש ש</w:t>
      </w:r>
      <w:r w:rsidR="006D4BBC">
        <w:rPr>
          <w:rFonts w:hint="cs"/>
          <w:rtl/>
          <w:lang w:bidi="he-IL"/>
        </w:rPr>
        <w:t>מצאו שמועט מהם היו עובדים עבודה זרה. אז, זה תלוי במחלקת תנאים אם חוששים למיעוט או לא חוששים.</w:t>
      </w:r>
      <w:r w:rsidR="003103F4">
        <w:rPr>
          <w:rStyle w:val="FootnoteReference"/>
          <w:rtl/>
          <w:lang w:bidi="he-IL"/>
        </w:rPr>
        <w:footnoteReference w:id="5"/>
      </w:r>
      <w:r w:rsidR="006D4BBC">
        <w:rPr>
          <w:rFonts w:hint="cs"/>
          <w:rtl/>
          <w:lang w:bidi="he-IL"/>
        </w:rPr>
        <w:t>)</w:t>
      </w:r>
      <w:r w:rsidR="003103F4">
        <w:rPr>
          <w:rFonts w:hint="cs"/>
          <w:rtl/>
          <w:lang w:bidi="he-IL"/>
        </w:rPr>
        <w:t xml:space="preserve"> </w:t>
      </w:r>
      <w:r w:rsidR="003103F4">
        <w:rPr>
          <w:rStyle w:val="FootnoteReference"/>
          <w:rtl/>
          <w:lang w:bidi="he-IL"/>
        </w:rPr>
        <w:footnoteReference w:id="6"/>
      </w:r>
    </w:p>
    <w:p w14:paraId="52445ADA" w14:textId="071CA792" w:rsidR="00C6772B" w:rsidRDefault="00C6772B" w:rsidP="009B7264">
      <w:pPr>
        <w:numPr>
          <w:ilvl w:val="0"/>
          <w:numId w:val="1"/>
        </w:numPr>
        <w:bidi/>
        <w:rPr>
          <w:lang w:bidi="he-IL"/>
        </w:rPr>
      </w:pPr>
      <w:r>
        <w:rPr>
          <w:rFonts w:hint="cs"/>
          <w:rtl/>
          <w:lang w:bidi="he-IL"/>
        </w:rPr>
        <w:t>מומר. יש שני שאלות שצריכים לדון בהם בכל מומר:</w:t>
      </w:r>
    </w:p>
    <w:p w14:paraId="6C89D29C" w14:textId="2630E6FF" w:rsidR="00C6772B" w:rsidRDefault="00C6772B" w:rsidP="009B7264">
      <w:pPr>
        <w:numPr>
          <w:ilvl w:val="1"/>
          <w:numId w:val="1"/>
        </w:numPr>
        <w:bidi/>
        <w:rPr>
          <w:lang w:bidi="he-IL"/>
        </w:rPr>
      </w:pPr>
      <w:r>
        <w:rPr>
          <w:rFonts w:hint="cs"/>
          <w:rtl/>
          <w:lang w:bidi="he-IL"/>
        </w:rPr>
        <w:t>על מה הוא מומר. לנידון שלנו, יש ארבע צדדים:</w:t>
      </w:r>
    </w:p>
    <w:p w14:paraId="3EDFFB48" w14:textId="17632DB5" w:rsidR="00C6772B" w:rsidRDefault="00C6772B" w:rsidP="009B7264">
      <w:pPr>
        <w:numPr>
          <w:ilvl w:val="2"/>
          <w:numId w:val="1"/>
        </w:numPr>
        <w:bidi/>
        <w:rPr>
          <w:lang w:bidi="he-IL"/>
        </w:rPr>
      </w:pPr>
      <w:r>
        <w:rPr>
          <w:rFonts w:hint="cs"/>
          <w:rtl/>
          <w:lang w:bidi="he-IL"/>
        </w:rPr>
        <w:t>על שחיטה (אוכל בשר שלא נשחט).</w:t>
      </w:r>
    </w:p>
    <w:p w14:paraId="0C078D50" w14:textId="4EBA3A8D" w:rsidR="00C6772B" w:rsidRDefault="00C6772B" w:rsidP="009B7264">
      <w:pPr>
        <w:numPr>
          <w:ilvl w:val="2"/>
          <w:numId w:val="1"/>
        </w:numPr>
        <w:bidi/>
        <w:rPr>
          <w:lang w:bidi="he-IL"/>
        </w:rPr>
      </w:pPr>
      <w:r>
        <w:rPr>
          <w:rFonts w:hint="cs"/>
          <w:rtl/>
          <w:lang w:bidi="he-IL"/>
        </w:rPr>
        <w:t>על עבודה זרה.</w:t>
      </w:r>
    </w:p>
    <w:p w14:paraId="160EC0D7" w14:textId="681BD8C3" w:rsidR="00C6772B" w:rsidRDefault="00C6772B" w:rsidP="009B7264">
      <w:pPr>
        <w:numPr>
          <w:ilvl w:val="2"/>
          <w:numId w:val="1"/>
        </w:numPr>
        <w:bidi/>
        <w:rPr>
          <w:lang w:bidi="he-IL"/>
        </w:rPr>
      </w:pPr>
      <w:r>
        <w:rPr>
          <w:rFonts w:hint="cs"/>
          <w:rtl/>
          <w:lang w:bidi="he-IL"/>
        </w:rPr>
        <w:t>על שבת.</w:t>
      </w:r>
    </w:p>
    <w:p w14:paraId="31DF484A" w14:textId="67E7C1ED" w:rsidR="00C6772B" w:rsidRDefault="00C6772B" w:rsidP="009B7264">
      <w:pPr>
        <w:numPr>
          <w:ilvl w:val="2"/>
          <w:numId w:val="1"/>
        </w:numPr>
        <w:bidi/>
        <w:rPr>
          <w:lang w:bidi="he-IL"/>
        </w:rPr>
      </w:pPr>
      <w:r>
        <w:rPr>
          <w:rFonts w:hint="cs"/>
          <w:rtl/>
          <w:lang w:bidi="he-IL"/>
        </w:rPr>
        <w:t>על דבר אחר שבתורה.</w:t>
      </w:r>
    </w:p>
    <w:p w14:paraId="58A2083C" w14:textId="18D53FAC" w:rsidR="00C6772B" w:rsidRDefault="00C6772B" w:rsidP="009B7264">
      <w:pPr>
        <w:numPr>
          <w:ilvl w:val="1"/>
          <w:numId w:val="1"/>
        </w:numPr>
        <w:bidi/>
        <w:rPr>
          <w:lang w:bidi="he-IL"/>
        </w:rPr>
      </w:pPr>
      <w:r>
        <w:rPr>
          <w:rFonts w:hint="cs"/>
          <w:rtl/>
          <w:lang w:bidi="he-IL"/>
        </w:rPr>
        <w:t>למה הוא מומר. יכול להיות שתי סיבות:</w:t>
      </w:r>
    </w:p>
    <w:p w14:paraId="1ED0D282" w14:textId="0997B6F1" w:rsidR="00C6772B" w:rsidRDefault="00C6772B" w:rsidP="009B7264">
      <w:pPr>
        <w:numPr>
          <w:ilvl w:val="2"/>
          <w:numId w:val="1"/>
        </w:numPr>
        <w:bidi/>
        <w:rPr>
          <w:lang w:bidi="he-IL"/>
        </w:rPr>
      </w:pPr>
      <w:r>
        <w:rPr>
          <w:rFonts w:hint="cs"/>
          <w:rtl/>
          <w:lang w:bidi="he-IL"/>
        </w:rPr>
        <w:t>הוא מומר לתאבון.</w:t>
      </w:r>
    </w:p>
    <w:p w14:paraId="693095DC" w14:textId="77777777" w:rsidR="009B7264" w:rsidRDefault="00C6772B" w:rsidP="009B7264">
      <w:pPr>
        <w:numPr>
          <w:ilvl w:val="2"/>
          <w:numId w:val="1"/>
        </w:numPr>
        <w:bidi/>
        <w:rPr>
          <w:lang w:bidi="he-IL"/>
        </w:rPr>
      </w:pPr>
      <w:r>
        <w:rPr>
          <w:rFonts w:hint="cs"/>
          <w:rtl/>
          <w:lang w:bidi="he-IL"/>
        </w:rPr>
        <w:t>הוא מומר להכעיס.</w:t>
      </w:r>
    </w:p>
    <w:p w14:paraId="3AFB6D89" w14:textId="77777777" w:rsidR="009B7264" w:rsidRDefault="009B3763" w:rsidP="009B7264">
      <w:pPr>
        <w:numPr>
          <w:ilvl w:val="1"/>
          <w:numId w:val="1"/>
        </w:numPr>
        <w:bidi/>
        <w:rPr>
          <w:lang w:bidi="he-IL"/>
        </w:rPr>
      </w:pPr>
      <w:r>
        <w:rPr>
          <w:rFonts w:hint="cs"/>
          <w:rtl/>
          <w:lang w:bidi="he-IL"/>
        </w:rPr>
        <w:t>עכשיו, נבאר דין של כל מומר:</w:t>
      </w:r>
    </w:p>
    <w:p w14:paraId="54FC2A5B" w14:textId="77777777" w:rsidR="009B7264" w:rsidRDefault="009B3763" w:rsidP="009B7264">
      <w:pPr>
        <w:numPr>
          <w:ilvl w:val="2"/>
          <w:numId w:val="1"/>
        </w:numPr>
        <w:bidi/>
        <w:rPr>
          <w:lang w:bidi="he-IL"/>
        </w:rPr>
      </w:pPr>
      <w:r>
        <w:rPr>
          <w:rFonts w:hint="cs"/>
          <w:rtl/>
          <w:lang w:bidi="he-IL"/>
        </w:rPr>
        <w:t>מומר על שחיטה:</w:t>
      </w:r>
    </w:p>
    <w:p w14:paraId="2A784EE9" w14:textId="0385620B" w:rsidR="009B7264" w:rsidRDefault="009B3763" w:rsidP="009B7264">
      <w:pPr>
        <w:numPr>
          <w:ilvl w:val="3"/>
          <w:numId w:val="1"/>
        </w:numPr>
        <w:bidi/>
        <w:rPr>
          <w:lang w:bidi="he-IL"/>
        </w:rPr>
      </w:pPr>
      <w:r>
        <w:rPr>
          <w:rFonts w:hint="cs"/>
          <w:rtl/>
          <w:lang w:bidi="he-IL"/>
        </w:rPr>
        <w:t>לתאבון- אם סכין שלו נמצא (קודם או לאחרי שחיטה) כשר, אז השחיטה כשרה</w:t>
      </w:r>
      <w:r w:rsidR="004D413D">
        <w:rPr>
          <w:rStyle w:val="FootnoteReference"/>
          <w:rtl/>
          <w:lang w:bidi="he-IL"/>
        </w:rPr>
        <w:footnoteReference w:id="7"/>
      </w:r>
      <w:r>
        <w:rPr>
          <w:rFonts w:hint="cs"/>
          <w:rtl/>
          <w:lang w:bidi="he-IL"/>
        </w:rPr>
        <w:t xml:space="preserve">. אם לא </w:t>
      </w:r>
      <w:r w:rsidR="00F0186B">
        <w:rPr>
          <w:rFonts w:hint="cs"/>
          <w:rtl/>
          <w:lang w:bidi="he-IL"/>
        </w:rPr>
        <w:t>בדקו ו</w:t>
      </w:r>
      <w:r>
        <w:rPr>
          <w:rFonts w:hint="cs"/>
          <w:rtl/>
          <w:lang w:bidi="he-IL"/>
        </w:rPr>
        <w:t>נמצא כשר, אז אין השחיטה כשרה</w:t>
      </w:r>
      <w:r w:rsidR="00F0186B">
        <w:rPr>
          <w:rFonts w:hint="cs"/>
          <w:rtl/>
          <w:lang w:bidi="he-IL"/>
        </w:rPr>
        <w:t>, שחוששים ששחט בפסול.</w:t>
      </w:r>
    </w:p>
    <w:p w14:paraId="047015F8" w14:textId="2F72386E" w:rsidR="009B7264" w:rsidRPr="00D12AD0" w:rsidRDefault="00F0186B" w:rsidP="009B7264">
      <w:pPr>
        <w:numPr>
          <w:ilvl w:val="3"/>
          <w:numId w:val="1"/>
        </w:numPr>
        <w:bidi/>
        <w:rPr>
          <w:lang w:bidi="he-IL"/>
        </w:rPr>
      </w:pPr>
      <w:r>
        <w:rPr>
          <w:rFonts w:hint="cs"/>
          <w:rtl/>
          <w:lang w:bidi="he-IL"/>
        </w:rPr>
        <w:t>להכעיס- אין שחיטתו כשרה, שחוששים שפסל את השחיטה.</w:t>
      </w:r>
      <w:r>
        <w:rPr>
          <w:rStyle w:val="FootnoteReference"/>
          <w:rtl/>
          <w:lang w:bidi="he-IL"/>
        </w:rPr>
        <w:footnoteReference w:id="8"/>
      </w:r>
      <w:r w:rsidR="00E93455">
        <w:rPr>
          <w:rFonts w:hint="cs"/>
          <w:rtl/>
          <w:lang w:bidi="he-IL"/>
        </w:rPr>
        <w:t xml:space="preserve"> </w:t>
      </w:r>
      <w:r w:rsidR="00E93455">
        <w:rPr>
          <w:rFonts w:hint="cs"/>
          <w:b/>
          <w:bCs/>
          <w:u w:val="single"/>
          <w:rtl/>
          <w:lang w:bidi="he-IL"/>
        </w:rPr>
        <w:t>(ג.)</w:t>
      </w:r>
    </w:p>
    <w:p w14:paraId="01539BFC" w14:textId="4ADB18C2" w:rsidR="00AF6F33" w:rsidRDefault="00D12AD0" w:rsidP="00D12AD0">
      <w:pPr>
        <w:numPr>
          <w:ilvl w:val="2"/>
          <w:numId w:val="1"/>
        </w:numPr>
        <w:bidi/>
        <w:rPr>
          <w:lang w:bidi="he-IL"/>
        </w:rPr>
      </w:pPr>
      <w:r>
        <w:rPr>
          <w:rFonts w:hint="cs"/>
          <w:rtl/>
          <w:lang w:bidi="he-IL"/>
        </w:rPr>
        <w:t>מומר לעבודה זרה</w:t>
      </w:r>
      <w:r w:rsidR="00AF6F33">
        <w:rPr>
          <w:rStyle w:val="FootnoteReference"/>
          <w:rtl/>
          <w:lang w:bidi="he-IL"/>
        </w:rPr>
        <w:footnoteReference w:id="9"/>
      </w:r>
      <w:r>
        <w:rPr>
          <w:rFonts w:hint="cs"/>
          <w:rtl/>
          <w:lang w:bidi="he-IL"/>
        </w:rPr>
        <w:t>-  חולקים בזה</w:t>
      </w:r>
      <w:r w:rsidR="00AF6F33">
        <w:rPr>
          <w:rFonts w:hint="cs"/>
          <w:rtl/>
          <w:lang w:bidi="he-IL"/>
        </w:rPr>
        <w:t>, ומסיק גמ' שפסולה היא</w:t>
      </w:r>
      <w:r>
        <w:rPr>
          <w:rFonts w:hint="cs"/>
          <w:rtl/>
          <w:lang w:bidi="he-IL"/>
        </w:rPr>
        <w:t>.</w:t>
      </w:r>
    </w:p>
    <w:p w14:paraId="3069E1F5" w14:textId="62B64AA3" w:rsidR="00D12AD0" w:rsidRDefault="00D12AD0" w:rsidP="00AF6F33">
      <w:pPr>
        <w:bidi/>
        <w:ind w:left="1440"/>
        <w:rPr>
          <w:rtl/>
          <w:lang w:bidi="he-IL"/>
        </w:rPr>
      </w:pPr>
      <w:r>
        <w:rPr>
          <w:rFonts w:hint="cs"/>
          <w:rtl/>
          <w:lang w:bidi="he-IL"/>
        </w:rPr>
        <w:lastRenderedPageBreak/>
        <w:t>רב ענן מכשיר, ומביא שני מקורות. הראשון הוא שיהושפט ואנשיו אכלו עם אחאב ואנשים, שהיו עובדי עבודה זרה. דוחה גמ' שאנשי יהושפט אכלו רק משחיטת עצמם, ולא משחיטת אנשי אחאב. השני הוא שאכל אליהו מן בית טבחים של אחאב. גמ' דוחה שזה היה מעשה נסים, על ידי עורבים.</w:t>
      </w:r>
      <w:r>
        <w:rPr>
          <w:rStyle w:val="FootnoteReference"/>
          <w:rtl/>
          <w:lang w:bidi="he-IL"/>
        </w:rPr>
        <w:footnoteReference w:id="10"/>
      </w:r>
      <w:r w:rsidR="00CC766F">
        <w:rPr>
          <w:rFonts w:hint="cs"/>
          <w:rtl/>
          <w:lang w:bidi="he-IL"/>
        </w:rPr>
        <w:t xml:space="preserve"> דוחה</w:t>
      </w:r>
      <w:r w:rsidR="00470D3F">
        <w:rPr>
          <w:rStyle w:val="FootnoteReference"/>
          <w:rtl/>
          <w:lang w:bidi="he-IL"/>
        </w:rPr>
        <w:footnoteReference w:id="11"/>
      </w:r>
      <w:r w:rsidR="00CC766F">
        <w:rPr>
          <w:rFonts w:hint="cs"/>
          <w:rtl/>
          <w:lang w:bidi="he-IL"/>
        </w:rPr>
        <w:t xml:space="preserve"> גמ' שזה היתה הוראת שעה מאת ה'.</w:t>
      </w:r>
      <w:r w:rsidR="00CC766F">
        <w:rPr>
          <w:rStyle w:val="FootnoteReference"/>
          <w:rtl/>
          <w:lang w:bidi="he-IL"/>
        </w:rPr>
        <w:footnoteReference w:id="12"/>
      </w:r>
    </w:p>
    <w:p w14:paraId="4D6CBE2B" w14:textId="1BDA20A0" w:rsidR="00AF6F33" w:rsidRPr="006A3EDB" w:rsidRDefault="00AF6F33" w:rsidP="00AF6F33">
      <w:pPr>
        <w:bidi/>
        <w:ind w:left="1440"/>
        <w:rPr>
          <w:rFonts w:hint="cs"/>
          <w:b/>
          <w:bCs/>
          <w:u w:val="single"/>
          <w:rtl/>
          <w:lang w:bidi="he-IL"/>
        </w:rPr>
      </w:pPr>
      <w:r>
        <w:rPr>
          <w:rFonts w:hint="cs"/>
          <w:rtl/>
          <w:lang w:bidi="he-IL"/>
        </w:rPr>
        <w:t>מביא גמ' ראיה נגד רב ענן מבריי', ואז מסיק שפסול הוא.</w:t>
      </w:r>
      <w:r w:rsidR="00B64B6B">
        <w:rPr>
          <w:rFonts w:hint="cs"/>
          <w:rtl/>
          <w:lang w:bidi="he-IL"/>
        </w:rPr>
        <w:t xml:space="preserve"> גמ' מבאר ששחיטתו פסולה כיון שנחשב מומר לכל התורה כולה.</w:t>
      </w:r>
      <w:r w:rsidR="00B64B6B">
        <w:rPr>
          <w:rStyle w:val="FootnoteReference"/>
          <w:rtl/>
          <w:lang w:bidi="he-IL"/>
        </w:rPr>
        <w:footnoteReference w:id="13"/>
      </w:r>
      <w:r w:rsidR="006A3EDB">
        <w:rPr>
          <w:rFonts w:hint="cs"/>
          <w:rtl/>
          <w:lang w:bidi="he-IL"/>
        </w:rPr>
        <w:t xml:space="preserve"> </w:t>
      </w:r>
      <w:r w:rsidR="006A3EDB">
        <w:rPr>
          <w:rFonts w:hint="cs"/>
          <w:b/>
          <w:bCs/>
          <w:u w:val="single"/>
          <w:rtl/>
          <w:lang w:bidi="he-IL"/>
        </w:rPr>
        <w:t>(ד:)</w:t>
      </w:r>
    </w:p>
    <w:p w14:paraId="749C3C42" w14:textId="43CA2486" w:rsidR="00AF6F33" w:rsidRDefault="00B64B6B" w:rsidP="00AF6F33">
      <w:pPr>
        <w:numPr>
          <w:ilvl w:val="2"/>
          <w:numId w:val="1"/>
        </w:numPr>
        <w:bidi/>
        <w:rPr>
          <w:lang w:bidi="he-IL"/>
        </w:rPr>
      </w:pPr>
      <w:r>
        <w:rPr>
          <w:rFonts w:hint="cs"/>
          <w:rtl/>
          <w:lang w:bidi="he-IL"/>
        </w:rPr>
        <w:t>מומר</w:t>
      </w:r>
      <w:r w:rsidR="004B0D02">
        <w:rPr>
          <w:rFonts w:hint="cs"/>
          <w:rtl/>
          <w:lang w:bidi="he-IL"/>
        </w:rPr>
        <w:t xml:space="preserve"> לחילול שבת</w:t>
      </w:r>
      <w:r w:rsidR="00ED0B7A">
        <w:rPr>
          <w:rFonts w:hint="cs"/>
          <w:rtl/>
          <w:lang w:bidi="he-IL"/>
        </w:rPr>
        <w:t xml:space="preserve">. אם מחלל את השבת בפרהסיא, </w:t>
      </w:r>
      <w:r w:rsidR="00641A21">
        <w:rPr>
          <w:rFonts w:hint="cs"/>
          <w:rtl/>
          <w:lang w:bidi="he-IL"/>
        </w:rPr>
        <w:t>דינו שווה למומר לעבודה זרה.</w:t>
      </w:r>
      <w:r w:rsidR="00641A21">
        <w:rPr>
          <w:rStyle w:val="FootnoteReference"/>
          <w:rtl/>
          <w:lang w:bidi="he-IL"/>
        </w:rPr>
        <w:footnoteReference w:id="14"/>
      </w:r>
      <w:r w:rsidR="00ED0B7A">
        <w:rPr>
          <w:rStyle w:val="FootnoteReference"/>
          <w:rtl/>
          <w:lang w:bidi="he-IL"/>
        </w:rPr>
        <w:footnoteReference w:id="15"/>
      </w:r>
      <w:r w:rsidR="00ED0B7A">
        <w:rPr>
          <w:rFonts w:hint="cs"/>
          <w:rtl/>
          <w:lang w:bidi="he-IL"/>
        </w:rPr>
        <w:t xml:space="preserve"> אם לא, שחיטתו כשרה.</w:t>
      </w:r>
      <w:r w:rsidR="00845CD4">
        <w:rPr>
          <w:rFonts w:hint="cs"/>
          <w:rtl/>
          <w:lang w:bidi="he-IL"/>
        </w:rPr>
        <w:t xml:space="preserve"> </w:t>
      </w:r>
      <w:r w:rsidR="00845CD4">
        <w:rPr>
          <w:rFonts w:hint="cs"/>
          <w:b/>
          <w:bCs/>
          <w:u w:val="single"/>
          <w:rtl/>
          <w:lang w:bidi="he-IL"/>
        </w:rPr>
        <w:t>(ד:)</w:t>
      </w:r>
    </w:p>
    <w:p w14:paraId="0C9D49BB" w14:textId="6BA1045F" w:rsidR="009B7264" w:rsidRPr="000869E8" w:rsidRDefault="009B7264" w:rsidP="009B7264">
      <w:pPr>
        <w:numPr>
          <w:ilvl w:val="0"/>
          <w:numId w:val="1"/>
        </w:numPr>
        <w:bidi/>
        <w:rPr>
          <w:lang w:bidi="he-IL"/>
        </w:rPr>
      </w:pPr>
      <w:r>
        <w:rPr>
          <w:rFonts w:hint="cs"/>
          <w:rtl/>
          <w:lang w:bidi="he-IL"/>
        </w:rPr>
        <w:t>מי שלא יודע הלכות שחיטה. צריך אדם לדעת את דיני שחיטה כשהוא שוחט. חולקים</w:t>
      </w:r>
      <w:r w:rsidR="00A770D1">
        <w:rPr>
          <w:rStyle w:val="FootnoteReference"/>
          <w:rtl/>
          <w:lang w:bidi="he-IL"/>
        </w:rPr>
        <w:footnoteReference w:id="16"/>
      </w:r>
      <w:r>
        <w:rPr>
          <w:rFonts w:hint="cs"/>
          <w:rtl/>
          <w:lang w:bidi="he-IL"/>
        </w:rPr>
        <w:t xml:space="preserve"> אם מניחים שסתם בני אדם יודעים הלכות שחיטה או לא מניחים כן.</w:t>
      </w:r>
      <w:r w:rsidR="001D067E">
        <w:rPr>
          <w:rFonts w:hint="cs"/>
          <w:rtl/>
          <w:lang w:bidi="he-IL"/>
        </w:rPr>
        <w:t xml:space="preserve"> </w:t>
      </w:r>
      <w:r w:rsidR="00B0464A">
        <w:rPr>
          <w:rFonts w:hint="cs"/>
          <w:b/>
          <w:bCs/>
          <w:u w:val="single"/>
          <w:rtl/>
          <w:lang w:bidi="he-IL"/>
        </w:rPr>
        <w:t>(ג:)</w:t>
      </w:r>
      <w:r w:rsidR="00B0464A">
        <w:rPr>
          <w:rFonts w:hint="cs"/>
          <w:rtl/>
          <w:lang w:bidi="he-IL"/>
        </w:rPr>
        <w:t xml:space="preserve"> אם יודעים שלא יודע הלכות שחיטה, אף ששחט בכשרות כדי חזקה (שתים או שלש פעמים), שחיטתו פסולה</w:t>
      </w:r>
      <w:r w:rsidR="00B0464A">
        <w:rPr>
          <w:rStyle w:val="FootnoteReference"/>
          <w:rtl/>
          <w:lang w:bidi="he-IL"/>
        </w:rPr>
        <w:footnoteReference w:id="17"/>
      </w:r>
      <w:r w:rsidR="00B0464A">
        <w:rPr>
          <w:rFonts w:hint="cs"/>
          <w:rtl/>
          <w:lang w:bidi="he-IL"/>
        </w:rPr>
        <w:t xml:space="preserve">. </w:t>
      </w:r>
      <w:r w:rsidR="00B0464A">
        <w:rPr>
          <w:rFonts w:hint="cs"/>
          <w:b/>
          <w:bCs/>
          <w:u w:val="single"/>
          <w:rtl/>
          <w:lang w:bidi="he-IL"/>
        </w:rPr>
        <w:t>(ט:)</w:t>
      </w:r>
      <w:r w:rsidR="00B0464A">
        <w:rPr>
          <w:rFonts w:hint="cs"/>
          <w:rtl/>
          <w:lang w:bidi="he-IL"/>
        </w:rPr>
        <w:t xml:space="preserve"> </w:t>
      </w:r>
      <w:r w:rsidR="001D067E">
        <w:rPr>
          <w:rFonts w:hint="cs"/>
          <w:rtl/>
          <w:lang w:bidi="he-IL"/>
        </w:rPr>
        <w:t>אם ישראל ראה אותו שוחט בכשרות, השחיטה כשרה.</w:t>
      </w:r>
      <w:r>
        <w:rPr>
          <w:rFonts w:hint="cs"/>
          <w:rtl/>
          <w:lang w:bidi="he-IL"/>
        </w:rPr>
        <w:t xml:space="preserve"> </w:t>
      </w:r>
      <w:r>
        <w:rPr>
          <w:rFonts w:hint="cs"/>
          <w:b/>
          <w:bCs/>
          <w:u w:val="single"/>
          <w:rtl/>
          <w:lang w:bidi="he-IL"/>
        </w:rPr>
        <w:t>(ג:)</w:t>
      </w:r>
      <w:r w:rsidR="00B0464A">
        <w:rPr>
          <w:rFonts w:hint="cs"/>
          <w:rtl/>
          <w:lang w:bidi="he-IL"/>
        </w:rPr>
        <w:t xml:space="preserve">  </w:t>
      </w:r>
    </w:p>
    <w:p w14:paraId="2BDAD9E3" w14:textId="77777777" w:rsidR="000A152A" w:rsidRDefault="000869E8" w:rsidP="000A152A">
      <w:pPr>
        <w:numPr>
          <w:ilvl w:val="0"/>
          <w:numId w:val="1"/>
        </w:numPr>
        <w:bidi/>
        <w:rPr>
          <w:lang w:bidi="he-IL"/>
        </w:rPr>
      </w:pPr>
      <w:r>
        <w:rPr>
          <w:rFonts w:hint="cs"/>
          <w:rtl/>
          <w:lang w:bidi="he-IL"/>
        </w:rPr>
        <w:t>מי שחשוד להתעלף. הרי, שחיטה נפסלה בשהייה (לקמן, בע"ה, נבאר את זה), ומי שמתעלף בשחיטה לפעמים יפסול את השחיטה בשהייה. חולקים</w:t>
      </w:r>
      <w:r w:rsidR="00A770D1">
        <w:rPr>
          <w:rStyle w:val="FootnoteReference"/>
          <w:rtl/>
          <w:lang w:bidi="he-IL"/>
        </w:rPr>
        <w:footnoteReference w:id="18"/>
      </w:r>
      <w:r>
        <w:rPr>
          <w:rFonts w:hint="cs"/>
          <w:rtl/>
          <w:lang w:bidi="he-IL"/>
        </w:rPr>
        <w:t xml:space="preserve"> אם מניחים שסתם בני אדם לא מתעלפים או שצריך </w:t>
      </w:r>
      <w:r>
        <w:rPr>
          <w:rFonts w:hint="cs"/>
          <w:rtl/>
          <w:lang w:bidi="he-IL"/>
        </w:rPr>
        <w:lastRenderedPageBreak/>
        <w:t>ששחט לפנינו כדי חזקה (שתים או שלש פעמים) ולא התעלף.</w:t>
      </w:r>
      <w:r>
        <w:rPr>
          <w:rStyle w:val="FootnoteReference"/>
          <w:rtl/>
          <w:lang w:bidi="he-IL"/>
        </w:rPr>
        <w:footnoteReference w:id="19"/>
      </w:r>
      <w:r w:rsidR="001D067E">
        <w:rPr>
          <w:rFonts w:hint="cs"/>
          <w:rtl/>
          <w:lang w:bidi="he-IL"/>
        </w:rPr>
        <w:t xml:space="preserve"> אם ישראל ראה שלא נתעלף בשחיטה, השחיטה כשרה.</w:t>
      </w:r>
      <w:r w:rsidR="0087415B">
        <w:rPr>
          <w:rFonts w:hint="cs"/>
          <w:rtl/>
          <w:lang w:bidi="he-IL"/>
        </w:rPr>
        <w:t xml:space="preserve"> </w:t>
      </w:r>
      <w:r w:rsidR="0087415B">
        <w:rPr>
          <w:rFonts w:hint="cs"/>
          <w:b/>
          <w:bCs/>
          <w:u w:val="single"/>
          <w:rtl/>
          <w:lang w:bidi="he-IL"/>
        </w:rPr>
        <w:t>(ג:)</w:t>
      </w:r>
    </w:p>
    <w:p w14:paraId="2CE79A65" w14:textId="4387F4F8" w:rsidR="000A152A" w:rsidRDefault="00E6034C" w:rsidP="000A152A">
      <w:pPr>
        <w:numPr>
          <w:ilvl w:val="0"/>
          <w:numId w:val="1"/>
        </w:numPr>
        <w:bidi/>
        <w:rPr>
          <w:lang w:bidi="he-IL"/>
        </w:rPr>
      </w:pPr>
      <w:r>
        <w:rPr>
          <w:rFonts w:hint="cs"/>
          <w:rtl/>
          <w:lang w:bidi="he-IL"/>
        </w:rPr>
        <w:t>חרש (שלא שומע ולא מדבר).</w:t>
      </w:r>
      <w:r w:rsidR="005C4823">
        <w:rPr>
          <w:rFonts w:hint="cs"/>
          <w:rtl/>
          <w:lang w:bidi="he-IL"/>
        </w:rPr>
        <w:t xml:space="preserve"> יש שתי סיבות לפסול שחיטת חרש:</w:t>
      </w:r>
    </w:p>
    <w:p w14:paraId="5754A8A7" w14:textId="416833C8" w:rsidR="005C4823" w:rsidRDefault="005C4823" w:rsidP="005C4823">
      <w:pPr>
        <w:numPr>
          <w:ilvl w:val="1"/>
          <w:numId w:val="1"/>
        </w:numPr>
        <w:bidi/>
        <w:rPr>
          <w:lang w:bidi="he-IL"/>
        </w:rPr>
      </w:pPr>
      <w:r>
        <w:rPr>
          <w:rFonts w:hint="cs"/>
          <w:rtl/>
          <w:lang w:bidi="he-IL"/>
        </w:rPr>
        <w:t>חרש אינו בר דעת, ולכן חוששים שלא ישחוט אותו כראוי (יגרום לאחד מן שאר הפסולים). אין חשש זה קיים אם ראה ששחט בכשרות. אבל, מניחים שלא ישחט בכשרות, ואז אסור למסור לו לשחוט (שהוא עובר על "בל תשחית").</w:t>
      </w:r>
    </w:p>
    <w:p w14:paraId="28A20236" w14:textId="4EAC3D87" w:rsidR="005C4823" w:rsidRDefault="005C4823" w:rsidP="005C4823">
      <w:pPr>
        <w:numPr>
          <w:ilvl w:val="1"/>
          <w:numId w:val="1"/>
        </w:numPr>
        <w:bidi/>
        <w:rPr>
          <w:lang w:bidi="he-IL"/>
        </w:rPr>
      </w:pPr>
      <w:r>
        <w:rPr>
          <w:rFonts w:hint="cs"/>
          <w:rtl/>
          <w:lang w:bidi="he-IL"/>
        </w:rPr>
        <w:t>חרש אינו בר דעת, ואז אין כוונה לשחיטה. חולקים רבנן ורבי נתן אם זה פוסל את השחיטה או לא פוסל את השחיטה.</w:t>
      </w:r>
      <w:r w:rsidR="00645B90">
        <w:rPr>
          <w:rFonts w:hint="cs"/>
          <w:rtl/>
          <w:lang w:bidi="he-IL"/>
        </w:rPr>
        <w:t xml:space="preserve"> </w:t>
      </w:r>
      <w:r w:rsidR="00645B90">
        <w:rPr>
          <w:rFonts w:hint="cs"/>
          <w:b/>
          <w:bCs/>
          <w:u w:val="single"/>
          <w:rtl/>
          <w:lang w:bidi="he-IL"/>
        </w:rPr>
        <w:t>(יב:)</w:t>
      </w:r>
    </w:p>
    <w:p w14:paraId="71EB24D6" w14:textId="2179F2CF" w:rsidR="000A152A" w:rsidRDefault="00E6034C" w:rsidP="000A152A">
      <w:pPr>
        <w:numPr>
          <w:ilvl w:val="0"/>
          <w:numId w:val="1"/>
        </w:numPr>
        <w:bidi/>
        <w:rPr>
          <w:lang w:bidi="he-IL"/>
        </w:rPr>
      </w:pPr>
      <w:r>
        <w:rPr>
          <w:rFonts w:hint="cs"/>
          <w:rtl/>
          <w:lang w:bidi="he-IL"/>
        </w:rPr>
        <w:t>שוטה.</w:t>
      </w:r>
      <w:r w:rsidR="00645B90">
        <w:rPr>
          <w:rFonts w:hint="cs"/>
          <w:rtl/>
          <w:lang w:bidi="he-IL"/>
        </w:rPr>
        <w:t xml:space="preserve"> דין שוטה שווה לדין חרש.</w:t>
      </w:r>
    </w:p>
    <w:p w14:paraId="3B54EFFD" w14:textId="1EDBBE7F" w:rsidR="00E6034C" w:rsidRDefault="00E6034C" w:rsidP="000A152A">
      <w:pPr>
        <w:numPr>
          <w:ilvl w:val="0"/>
          <w:numId w:val="1"/>
        </w:numPr>
        <w:bidi/>
        <w:rPr>
          <w:lang w:bidi="he-IL"/>
        </w:rPr>
      </w:pPr>
      <w:r>
        <w:rPr>
          <w:rFonts w:hint="cs"/>
          <w:rtl/>
          <w:lang w:bidi="he-IL"/>
        </w:rPr>
        <w:t>קטן.</w:t>
      </w:r>
      <w:r w:rsidR="00645B90">
        <w:rPr>
          <w:rFonts w:hint="cs"/>
          <w:rtl/>
          <w:lang w:bidi="he-IL"/>
        </w:rPr>
        <w:t xml:space="preserve"> דין קטן שווה לדין חרש.</w:t>
      </w:r>
    </w:p>
    <w:p w14:paraId="494360FC" w14:textId="6885558D" w:rsidR="00F764DA" w:rsidRPr="00863217" w:rsidRDefault="008C377F" w:rsidP="00F764DA">
      <w:pPr>
        <w:numPr>
          <w:ilvl w:val="0"/>
          <w:numId w:val="1"/>
        </w:numPr>
        <w:bidi/>
        <w:rPr>
          <w:lang w:bidi="he-IL"/>
        </w:rPr>
      </w:pPr>
      <w:r>
        <w:rPr>
          <w:rFonts w:hint="cs"/>
          <w:rtl/>
          <w:lang w:bidi="he-IL"/>
        </w:rPr>
        <w:t>גוי. שחיטת גוי פסולה</w:t>
      </w:r>
      <w:r w:rsidR="00904071">
        <w:rPr>
          <w:rStyle w:val="FootnoteReference"/>
          <w:rtl/>
          <w:lang w:bidi="he-IL"/>
        </w:rPr>
        <w:footnoteReference w:id="20"/>
      </w:r>
      <w:r>
        <w:rPr>
          <w:rFonts w:hint="cs"/>
          <w:rtl/>
          <w:lang w:bidi="he-IL"/>
        </w:rPr>
        <w:t>.</w:t>
      </w:r>
      <w:r w:rsidR="00596A68">
        <w:rPr>
          <w:rFonts w:hint="cs"/>
          <w:rtl/>
          <w:lang w:bidi="he-IL"/>
        </w:rPr>
        <w:t xml:space="preserve"> </w:t>
      </w:r>
      <w:r w:rsidR="00596A68">
        <w:rPr>
          <w:rFonts w:hint="cs"/>
          <w:b/>
          <w:bCs/>
          <w:u w:val="single"/>
          <w:rtl/>
          <w:lang w:bidi="he-IL"/>
        </w:rPr>
        <w:t>(יג.)</w:t>
      </w:r>
    </w:p>
    <w:p w14:paraId="5B88013D" w14:textId="30C9066A" w:rsidR="00863217" w:rsidRDefault="00863217" w:rsidP="00863217">
      <w:pPr>
        <w:numPr>
          <w:ilvl w:val="0"/>
          <w:numId w:val="1"/>
        </w:numPr>
        <w:bidi/>
        <w:rPr>
          <w:lang w:bidi="he-IL"/>
        </w:rPr>
      </w:pPr>
      <w:r>
        <w:rPr>
          <w:rFonts w:hint="cs"/>
          <w:rtl/>
          <w:lang w:bidi="he-IL"/>
        </w:rPr>
        <w:t>אם המעשה לא בא מאדם, השחיטה פסולה. אז, למשל, אם נתן בהמה במקום שהמים יוליך עליו סכין</w:t>
      </w:r>
      <w:r w:rsidR="005A62F3">
        <w:rPr>
          <w:rFonts w:hint="cs"/>
          <w:rtl/>
          <w:lang w:bidi="he-IL"/>
        </w:rPr>
        <w:t xml:space="preserve"> (בהילוך שני שלו</w:t>
      </w:r>
      <w:r w:rsidR="005A62F3">
        <w:rPr>
          <w:rStyle w:val="FootnoteReference"/>
          <w:rtl/>
          <w:lang w:bidi="he-IL"/>
        </w:rPr>
        <w:footnoteReference w:id="21"/>
      </w:r>
      <w:r w:rsidR="005A62F3">
        <w:rPr>
          <w:rFonts w:hint="cs"/>
          <w:rtl/>
          <w:lang w:bidi="he-IL"/>
        </w:rPr>
        <w:t>)</w:t>
      </w:r>
      <w:r>
        <w:rPr>
          <w:rFonts w:hint="cs"/>
          <w:rtl/>
          <w:lang w:bidi="he-IL"/>
        </w:rPr>
        <w:t>, אינו נחשב שחיטה.</w:t>
      </w:r>
      <w:r w:rsidR="00376617">
        <w:rPr>
          <w:rFonts w:hint="cs"/>
          <w:rtl/>
          <w:lang w:bidi="he-IL"/>
        </w:rPr>
        <w:t xml:space="preserve"> </w:t>
      </w:r>
      <w:r w:rsidR="00376617">
        <w:rPr>
          <w:rFonts w:hint="cs"/>
          <w:b/>
          <w:bCs/>
          <w:u w:val="single"/>
          <w:rtl/>
          <w:lang w:bidi="he-IL"/>
        </w:rPr>
        <w:t>(טז.)</w:t>
      </w:r>
    </w:p>
    <w:p w14:paraId="74EA3666" w14:textId="5B7C9BF2" w:rsidR="0090209F" w:rsidRDefault="0090209F" w:rsidP="0090209F">
      <w:pPr>
        <w:bidi/>
        <w:rPr>
          <w:rtl/>
          <w:lang w:bidi="he-IL"/>
        </w:rPr>
      </w:pPr>
      <w:r>
        <w:rPr>
          <w:rFonts w:hint="cs"/>
          <w:rtl/>
          <w:lang w:bidi="he-IL"/>
        </w:rPr>
        <w:t>יש ---- פסולים במעשה שחיטה:</w:t>
      </w:r>
    </w:p>
    <w:p w14:paraId="42540E97" w14:textId="61EFAE46" w:rsidR="0090209F" w:rsidRDefault="0090209F" w:rsidP="0090209F">
      <w:pPr>
        <w:pStyle w:val="ListParagraph"/>
        <w:numPr>
          <w:ilvl w:val="0"/>
          <w:numId w:val="6"/>
        </w:numPr>
        <w:bidi/>
        <w:rPr>
          <w:lang w:bidi="he-IL"/>
        </w:rPr>
      </w:pPr>
      <w:r>
        <w:rPr>
          <w:rFonts w:hint="cs"/>
          <w:rtl/>
          <w:lang w:bidi="he-IL"/>
        </w:rPr>
        <w:t>דריסה. לומדים מהלכה למשה מסיני ששחיטה צריך להיות במשיכה, ולא בדחיפה.</w:t>
      </w:r>
      <w:r>
        <w:rPr>
          <w:rStyle w:val="FootnoteReference"/>
          <w:rtl/>
          <w:lang w:bidi="he-IL"/>
        </w:rPr>
        <w:footnoteReference w:id="22"/>
      </w:r>
    </w:p>
    <w:p w14:paraId="5F55D1B4" w14:textId="05D351C4" w:rsidR="0090209F" w:rsidRDefault="0090209F" w:rsidP="0090209F">
      <w:pPr>
        <w:pStyle w:val="ListParagraph"/>
        <w:numPr>
          <w:ilvl w:val="0"/>
          <w:numId w:val="6"/>
        </w:numPr>
        <w:bidi/>
        <w:rPr>
          <w:lang w:bidi="he-IL"/>
        </w:rPr>
      </w:pPr>
      <w:r>
        <w:rPr>
          <w:rFonts w:hint="cs"/>
          <w:rtl/>
          <w:lang w:bidi="he-IL"/>
        </w:rPr>
        <w:t>חלדה. לומדים מהלכה למשה מסיני שצריך להיות שהסכין מגולה בשעת סכנה, ולא מכוסה ומוחלד.</w:t>
      </w:r>
    </w:p>
    <w:p w14:paraId="3FA9EB36" w14:textId="58350E2E" w:rsidR="003C6743" w:rsidRDefault="003C6743" w:rsidP="003C6743">
      <w:pPr>
        <w:pStyle w:val="ListParagraph"/>
        <w:numPr>
          <w:ilvl w:val="0"/>
          <w:numId w:val="6"/>
        </w:numPr>
        <w:bidi/>
        <w:rPr>
          <w:lang w:bidi="he-IL"/>
        </w:rPr>
      </w:pPr>
      <w:r>
        <w:rPr>
          <w:rFonts w:hint="cs"/>
          <w:rtl/>
          <w:lang w:bidi="he-IL"/>
        </w:rPr>
        <w:t>הגרמה. לומדים מהלכה למשה מסיני ששחיטה צריך להיות במקום מסויים.</w:t>
      </w:r>
    </w:p>
    <w:p w14:paraId="2774DF25" w14:textId="5B418775" w:rsidR="00EA64AD" w:rsidRDefault="00EA64AD" w:rsidP="00EA64AD">
      <w:pPr>
        <w:pStyle w:val="ListParagraph"/>
        <w:numPr>
          <w:ilvl w:val="0"/>
          <w:numId w:val="6"/>
        </w:numPr>
        <w:bidi/>
        <w:rPr>
          <w:lang w:bidi="he-IL"/>
        </w:rPr>
      </w:pPr>
      <w:r>
        <w:rPr>
          <w:rFonts w:hint="cs"/>
          <w:rtl/>
          <w:lang w:bidi="he-IL"/>
        </w:rPr>
        <w:t>שהייה. לומדים מהלכה למשה מסיני ששחיטה פסולה אם שהה כדי שחיטה אחרת באמצע שחיטה.</w:t>
      </w:r>
    </w:p>
    <w:p w14:paraId="5BD36A75" w14:textId="4E672199" w:rsidR="002430E0" w:rsidRDefault="00666A16" w:rsidP="002430E0">
      <w:pPr>
        <w:pStyle w:val="ListParagraph"/>
        <w:numPr>
          <w:ilvl w:val="0"/>
          <w:numId w:val="6"/>
        </w:numPr>
        <w:bidi/>
        <w:rPr>
          <w:lang w:bidi="he-IL"/>
        </w:rPr>
      </w:pPr>
      <w:r>
        <w:rPr>
          <w:rFonts w:hint="cs"/>
          <w:rtl/>
          <w:lang w:bidi="he-IL"/>
        </w:rPr>
        <w:t>עיקור. חולקים ראשונים מהו פסול זה. רשי פי' שהוא שחיטה על ידי סכין שיש בו פגם. עיין שם, שנבאר אותו, בע"ה. רוב הראשונים פי' שהוא שחיטה כשאין הסימנים מחוברים ללחי, אלא תלושים.</w:t>
      </w:r>
      <w:r w:rsidR="00742046">
        <w:rPr>
          <w:rFonts w:hint="cs"/>
          <w:rtl/>
          <w:lang w:bidi="he-IL"/>
        </w:rPr>
        <w:t xml:space="preserve"> לומדים דין זה מהלכה למשה מסיני.</w:t>
      </w:r>
      <w:r w:rsidR="002430E0">
        <w:rPr>
          <w:rStyle w:val="FootnoteReference"/>
          <w:rtl/>
          <w:lang w:bidi="he-IL"/>
        </w:rPr>
        <w:footnoteReference w:id="23"/>
      </w:r>
    </w:p>
    <w:p w14:paraId="1B901BD9" w14:textId="77777777" w:rsidR="00F36A63" w:rsidRDefault="00F36A63" w:rsidP="00F36A63">
      <w:pPr>
        <w:pStyle w:val="ListParagraph"/>
        <w:numPr>
          <w:ilvl w:val="0"/>
          <w:numId w:val="6"/>
        </w:numPr>
        <w:bidi/>
        <w:rPr>
          <w:lang w:bidi="he-IL"/>
        </w:rPr>
      </w:pPr>
      <w:r>
        <w:rPr>
          <w:rFonts w:hint="cs"/>
          <w:rtl/>
          <w:lang w:bidi="he-IL"/>
        </w:rPr>
        <w:t>אם שוחט בשבת. חולקים תנאים מהו הדין:</w:t>
      </w:r>
    </w:p>
    <w:p w14:paraId="767F2D51" w14:textId="77777777" w:rsidR="00536AC3" w:rsidRDefault="00F36A63" w:rsidP="00F36A63">
      <w:pPr>
        <w:pStyle w:val="ListParagraph"/>
        <w:numPr>
          <w:ilvl w:val="1"/>
          <w:numId w:val="6"/>
        </w:numPr>
        <w:bidi/>
        <w:rPr>
          <w:lang w:bidi="he-IL"/>
        </w:rPr>
      </w:pPr>
      <w:r>
        <w:rPr>
          <w:rFonts w:hint="cs"/>
          <w:rtl/>
          <w:lang w:bidi="he-IL"/>
        </w:rPr>
        <w:lastRenderedPageBreak/>
        <w:t xml:space="preserve">רבי מאיר- </w:t>
      </w:r>
    </w:p>
    <w:p w14:paraId="60EF7095" w14:textId="190685C0" w:rsidR="00F36A63" w:rsidRDefault="00536AC3" w:rsidP="00536AC3">
      <w:pPr>
        <w:pStyle w:val="ListParagraph"/>
        <w:numPr>
          <w:ilvl w:val="2"/>
          <w:numId w:val="6"/>
        </w:numPr>
        <w:bidi/>
        <w:rPr>
          <w:lang w:bidi="he-IL"/>
        </w:rPr>
      </w:pPr>
      <w:r>
        <w:rPr>
          <w:rFonts w:hint="cs"/>
          <w:rtl/>
          <w:lang w:bidi="he-IL"/>
        </w:rPr>
        <w:t>אם עבר על איסור שבת בשוגג- מותר.</w:t>
      </w:r>
    </w:p>
    <w:p w14:paraId="54EFC7C6" w14:textId="3FC8458F" w:rsidR="00536AC3" w:rsidRDefault="00536AC3" w:rsidP="00536AC3">
      <w:pPr>
        <w:pStyle w:val="ListParagraph"/>
        <w:numPr>
          <w:ilvl w:val="2"/>
          <w:numId w:val="6"/>
        </w:numPr>
        <w:bidi/>
        <w:rPr>
          <w:lang w:bidi="he-IL"/>
        </w:rPr>
      </w:pPr>
      <w:r>
        <w:rPr>
          <w:rFonts w:hint="cs"/>
          <w:rtl/>
          <w:lang w:bidi="he-IL"/>
        </w:rPr>
        <w:t>אם עבר על איסור שבת במזיד-</w:t>
      </w:r>
    </w:p>
    <w:p w14:paraId="782705BD" w14:textId="6E9725B3" w:rsidR="00536AC3" w:rsidRDefault="00536AC3" w:rsidP="00536AC3">
      <w:pPr>
        <w:pStyle w:val="ListParagraph"/>
        <w:numPr>
          <w:ilvl w:val="3"/>
          <w:numId w:val="6"/>
        </w:numPr>
        <w:bidi/>
        <w:rPr>
          <w:lang w:bidi="he-IL"/>
        </w:rPr>
      </w:pPr>
      <w:r>
        <w:rPr>
          <w:rFonts w:hint="cs"/>
          <w:rtl/>
          <w:lang w:bidi="he-IL"/>
        </w:rPr>
        <w:t>בשבת- אסור מדרבנן (קנסו אותו רבנן).</w:t>
      </w:r>
    </w:p>
    <w:p w14:paraId="18874235" w14:textId="44F089B5" w:rsidR="00536AC3" w:rsidRDefault="00536AC3" w:rsidP="00536AC3">
      <w:pPr>
        <w:pStyle w:val="ListParagraph"/>
        <w:numPr>
          <w:ilvl w:val="3"/>
          <w:numId w:val="6"/>
        </w:numPr>
        <w:bidi/>
        <w:rPr>
          <w:lang w:bidi="he-IL"/>
        </w:rPr>
      </w:pPr>
      <w:r>
        <w:rPr>
          <w:rFonts w:hint="cs"/>
          <w:rtl/>
          <w:lang w:bidi="he-IL"/>
        </w:rPr>
        <w:t>אחרי שבת- מותר.</w:t>
      </w:r>
    </w:p>
    <w:p w14:paraId="527D7776" w14:textId="378E420F" w:rsidR="00536AC3" w:rsidRDefault="00536AC3" w:rsidP="00536AC3">
      <w:pPr>
        <w:pStyle w:val="ListParagraph"/>
        <w:numPr>
          <w:ilvl w:val="1"/>
          <w:numId w:val="6"/>
        </w:numPr>
        <w:bidi/>
        <w:rPr>
          <w:lang w:bidi="he-IL"/>
        </w:rPr>
      </w:pPr>
      <w:r>
        <w:rPr>
          <w:rFonts w:hint="cs"/>
          <w:rtl/>
          <w:lang w:bidi="he-IL"/>
        </w:rPr>
        <w:t>רבי יהודה-</w:t>
      </w:r>
    </w:p>
    <w:p w14:paraId="0D38EAF1" w14:textId="386E9B96" w:rsidR="00536AC3" w:rsidRDefault="00536AC3" w:rsidP="00536AC3">
      <w:pPr>
        <w:pStyle w:val="ListParagraph"/>
        <w:numPr>
          <w:ilvl w:val="2"/>
          <w:numId w:val="6"/>
        </w:numPr>
        <w:bidi/>
        <w:rPr>
          <w:lang w:bidi="he-IL"/>
        </w:rPr>
      </w:pPr>
      <w:r>
        <w:rPr>
          <w:rFonts w:hint="cs"/>
          <w:rtl/>
          <w:lang w:bidi="he-IL"/>
        </w:rPr>
        <w:t>אם עבר על איסור שבת בשוגג- דין זה שווה לדין מזיד לרבי מאיר.</w:t>
      </w:r>
    </w:p>
    <w:p w14:paraId="4ED96624" w14:textId="442C23D3" w:rsidR="00536AC3" w:rsidRDefault="00536AC3" w:rsidP="00536AC3">
      <w:pPr>
        <w:pStyle w:val="ListParagraph"/>
        <w:numPr>
          <w:ilvl w:val="2"/>
          <w:numId w:val="6"/>
        </w:numPr>
        <w:bidi/>
        <w:rPr>
          <w:lang w:bidi="he-IL"/>
        </w:rPr>
      </w:pPr>
      <w:r>
        <w:rPr>
          <w:rFonts w:hint="cs"/>
          <w:rtl/>
          <w:lang w:bidi="he-IL"/>
        </w:rPr>
        <w:t>אם עבר על איסור שבת במזיד-</w:t>
      </w:r>
    </w:p>
    <w:p w14:paraId="44292966" w14:textId="1D843DA6" w:rsidR="00536AC3" w:rsidRDefault="00536AC3" w:rsidP="00536AC3">
      <w:pPr>
        <w:pStyle w:val="ListParagraph"/>
        <w:numPr>
          <w:ilvl w:val="3"/>
          <w:numId w:val="6"/>
        </w:numPr>
        <w:bidi/>
        <w:rPr>
          <w:lang w:bidi="he-IL"/>
        </w:rPr>
      </w:pPr>
      <w:r>
        <w:rPr>
          <w:rFonts w:hint="cs"/>
          <w:rtl/>
          <w:lang w:bidi="he-IL"/>
        </w:rPr>
        <w:t>בשבת- אסור מדרבנן.</w:t>
      </w:r>
    </w:p>
    <w:p w14:paraId="3A4F8709" w14:textId="5E8E5508" w:rsidR="00536AC3" w:rsidRDefault="00536AC3" w:rsidP="00536AC3">
      <w:pPr>
        <w:pStyle w:val="ListParagraph"/>
        <w:numPr>
          <w:ilvl w:val="3"/>
          <w:numId w:val="6"/>
        </w:numPr>
        <w:bidi/>
        <w:rPr>
          <w:lang w:bidi="he-IL"/>
        </w:rPr>
      </w:pPr>
      <w:r>
        <w:rPr>
          <w:rFonts w:hint="cs"/>
          <w:rtl/>
          <w:lang w:bidi="he-IL"/>
        </w:rPr>
        <w:t>במוצאי שבת-</w:t>
      </w:r>
    </w:p>
    <w:p w14:paraId="42682BBD" w14:textId="0F947B5A" w:rsidR="00536AC3" w:rsidRDefault="00536AC3" w:rsidP="00536AC3">
      <w:pPr>
        <w:pStyle w:val="ListParagraph"/>
        <w:numPr>
          <w:ilvl w:val="4"/>
          <w:numId w:val="6"/>
        </w:numPr>
        <w:bidi/>
        <w:rPr>
          <w:lang w:bidi="he-IL"/>
        </w:rPr>
      </w:pPr>
      <w:r>
        <w:rPr>
          <w:rFonts w:hint="cs"/>
          <w:rtl/>
          <w:lang w:bidi="he-IL"/>
        </w:rPr>
        <w:t>לאדם העובר- אסור מדרבנן.</w:t>
      </w:r>
    </w:p>
    <w:p w14:paraId="784533B1" w14:textId="226502C8" w:rsidR="00536AC3" w:rsidRDefault="00536AC3" w:rsidP="00536AC3">
      <w:pPr>
        <w:pStyle w:val="ListParagraph"/>
        <w:numPr>
          <w:ilvl w:val="4"/>
          <w:numId w:val="6"/>
        </w:numPr>
        <w:bidi/>
        <w:rPr>
          <w:lang w:bidi="he-IL"/>
        </w:rPr>
      </w:pPr>
      <w:r>
        <w:rPr>
          <w:rFonts w:hint="cs"/>
          <w:rtl/>
          <w:lang w:bidi="he-IL"/>
        </w:rPr>
        <w:t>לשאר בני אדם- מותר.</w:t>
      </w:r>
    </w:p>
    <w:p w14:paraId="65720384" w14:textId="6510B1A7" w:rsidR="00536AC3" w:rsidRDefault="00536AC3" w:rsidP="00536AC3">
      <w:pPr>
        <w:pStyle w:val="ListParagraph"/>
        <w:numPr>
          <w:ilvl w:val="1"/>
          <w:numId w:val="6"/>
        </w:numPr>
        <w:bidi/>
        <w:rPr>
          <w:lang w:bidi="he-IL"/>
        </w:rPr>
      </w:pPr>
      <w:r>
        <w:rPr>
          <w:rFonts w:hint="cs"/>
          <w:rtl/>
          <w:lang w:bidi="he-IL"/>
        </w:rPr>
        <w:t xml:space="preserve">רבי יוחנן הסנדלר- </w:t>
      </w:r>
    </w:p>
    <w:p w14:paraId="1C22B400" w14:textId="0699F0C4" w:rsidR="00536AC3" w:rsidRDefault="00536AC3" w:rsidP="00536AC3">
      <w:pPr>
        <w:pStyle w:val="ListParagraph"/>
        <w:numPr>
          <w:ilvl w:val="2"/>
          <w:numId w:val="6"/>
        </w:numPr>
        <w:bidi/>
        <w:rPr>
          <w:lang w:bidi="he-IL"/>
        </w:rPr>
      </w:pPr>
      <w:r>
        <w:rPr>
          <w:rFonts w:hint="cs"/>
          <w:rtl/>
          <w:lang w:bidi="he-IL"/>
        </w:rPr>
        <w:t>אם עבר על איסור שבת בשוגג- דין זה שווה לדין מזיד לרבי יהודה.</w:t>
      </w:r>
    </w:p>
    <w:p w14:paraId="2A79CA77" w14:textId="0BA86BE6" w:rsidR="00536AC3" w:rsidRDefault="00536AC3" w:rsidP="00BF4932">
      <w:pPr>
        <w:pStyle w:val="ListParagraph"/>
        <w:numPr>
          <w:ilvl w:val="2"/>
          <w:numId w:val="6"/>
        </w:numPr>
        <w:bidi/>
        <w:rPr>
          <w:lang w:bidi="he-IL"/>
        </w:rPr>
      </w:pPr>
      <w:r>
        <w:rPr>
          <w:rFonts w:hint="cs"/>
          <w:rtl/>
          <w:lang w:bidi="he-IL"/>
        </w:rPr>
        <w:t>אם עבר על איסור שבת במזיד-</w:t>
      </w:r>
      <w:r w:rsidR="00BF4932">
        <w:rPr>
          <w:rFonts w:hint="cs"/>
          <w:rtl/>
          <w:lang w:bidi="he-IL"/>
        </w:rPr>
        <w:t xml:space="preserve"> </w:t>
      </w:r>
      <w:r>
        <w:rPr>
          <w:rFonts w:hint="cs"/>
          <w:rtl/>
          <w:lang w:bidi="he-IL"/>
        </w:rPr>
        <w:t>אסור. חולקים אם אסור מדאו' או מדרבנן.</w:t>
      </w:r>
    </w:p>
    <w:p w14:paraId="62BADD06" w14:textId="0F67C8D4" w:rsidR="002430E0" w:rsidRDefault="007E0A3A" w:rsidP="00F36A63">
      <w:pPr>
        <w:pStyle w:val="ListParagraph"/>
        <w:numPr>
          <w:ilvl w:val="0"/>
          <w:numId w:val="6"/>
        </w:numPr>
        <w:bidi/>
        <w:rPr>
          <w:lang w:bidi="he-IL"/>
        </w:rPr>
      </w:pPr>
      <w:r>
        <w:rPr>
          <w:rFonts w:hint="cs"/>
          <w:rtl/>
          <w:lang w:bidi="he-IL"/>
        </w:rPr>
        <w:t>אם השוחט מכוון ששוחט לשם עבודה זרה.</w:t>
      </w:r>
      <w:r w:rsidR="00C50265">
        <w:rPr>
          <w:rFonts w:hint="cs"/>
          <w:rtl/>
          <w:lang w:bidi="he-IL"/>
        </w:rPr>
        <w:t xml:space="preserve"> </w:t>
      </w:r>
      <w:r w:rsidR="00937F26">
        <w:rPr>
          <w:rFonts w:hint="cs"/>
          <w:rtl/>
          <w:lang w:bidi="he-IL"/>
        </w:rPr>
        <w:t>לא רק אסור לאכול ממנו, אלא יש אומרים שהוא גם טמא טומאת אהל (בנוסף לטומאת מגע ומשא של נבילה).</w:t>
      </w:r>
      <w:r w:rsidR="00937F26">
        <w:rPr>
          <w:rFonts w:hint="cs"/>
          <w:rtl/>
          <w:lang w:bidi="he-IL"/>
        </w:rPr>
        <w:t xml:space="preserve"> </w:t>
      </w:r>
      <w:r w:rsidR="00C50265">
        <w:rPr>
          <w:rFonts w:hint="cs"/>
          <w:rtl/>
          <w:lang w:bidi="he-IL"/>
        </w:rPr>
        <w:t>חוששים לזה בכל זמן שמין ישראל שוחט.</w:t>
      </w:r>
      <w:r w:rsidR="00937F26">
        <w:rPr>
          <w:lang w:bidi="he-IL"/>
        </w:rPr>
        <w:t xml:space="preserve"> </w:t>
      </w:r>
      <w:r w:rsidR="006B6C84" w:rsidRPr="00F36A63">
        <w:rPr>
          <w:rFonts w:hint="cs"/>
          <w:b/>
          <w:bCs/>
          <w:u w:val="single"/>
          <w:rtl/>
          <w:lang w:bidi="he-IL"/>
        </w:rPr>
        <w:t>(יג)</w:t>
      </w:r>
    </w:p>
    <w:p w14:paraId="576D7303" w14:textId="49393EE7" w:rsidR="000A152A" w:rsidRDefault="000A152A" w:rsidP="000A152A">
      <w:pPr>
        <w:bidi/>
        <w:rPr>
          <w:rtl/>
          <w:lang w:bidi="he-IL"/>
        </w:rPr>
      </w:pPr>
      <w:r>
        <w:rPr>
          <w:rFonts w:hint="cs"/>
          <w:rtl/>
          <w:lang w:bidi="he-IL"/>
        </w:rPr>
        <w:t>יש ----- פסולי סכין:</w:t>
      </w:r>
    </w:p>
    <w:p w14:paraId="7D4ECCD1" w14:textId="527FB277" w:rsidR="000A152A" w:rsidRPr="008847D5" w:rsidRDefault="000A152A" w:rsidP="000A152A">
      <w:pPr>
        <w:pStyle w:val="ListParagraph"/>
        <w:numPr>
          <w:ilvl w:val="0"/>
          <w:numId w:val="5"/>
        </w:numPr>
        <w:bidi/>
        <w:rPr>
          <w:lang w:bidi="he-IL"/>
        </w:rPr>
      </w:pPr>
      <w:r>
        <w:rPr>
          <w:rFonts w:hint="cs"/>
          <w:rtl/>
          <w:lang w:bidi="he-IL"/>
        </w:rPr>
        <w:t>סכין שבלע איסור. זה לא פוסל את השחיטה, אבל עושה שיש איסור בתוך הבהמה שנשחטה. חולקים מה צריך לעשות כדי להתיר אותו. יש אומרים שרק צריכים להדיח את המקום שנגע בסכין. זה יכול להיות מפני שסובר שבית השחיטה צונן, ולא בולע, או שכיון שהסימנים טרודים בהוצאת דם, לא בולעים. יש אומרים שצריכים לקלוף את המקום שנגע בסכין. זה יכו להיות מפני שסובר שבית השחיטה חם, ובולע, או שמחמת דוחק הסכין, בולע.</w:t>
      </w:r>
      <w:r w:rsidR="003633F8">
        <w:rPr>
          <w:rFonts w:hint="cs"/>
          <w:rtl/>
          <w:lang w:bidi="he-IL"/>
        </w:rPr>
        <w:t xml:space="preserve"> </w:t>
      </w:r>
      <w:r w:rsidR="003633F8">
        <w:rPr>
          <w:rFonts w:hint="cs"/>
          <w:b/>
          <w:bCs/>
          <w:u w:val="single"/>
          <w:rtl/>
          <w:lang w:bidi="he-IL"/>
        </w:rPr>
        <w:t>(ח:)</w:t>
      </w:r>
    </w:p>
    <w:p w14:paraId="3F5224DE" w14:textId="5ED247F8" w:rsidR="008847D5" w:rsidRDefault="008847D5" w:rsidP="008847D5">
      <w:pPr>
        <w:pStyle w:val="ListParagraph"/>
        <w:numPr>
          <w:ilvl w:val="0"/>
          <w:numId w:val="5"/>
        </w:numPr>
        <w:bidi/>
        <w:rPr>
          <w:lang w:bidi="he-IL"/>
        </w:rPr>
      </w:pPr>
      <w:r>
        <w:rPr>
          <w:rFonts w:hint="cs"/>
          <w:rtl/>
          <w:lang w:bidi="he-IL"/>
        </w:rPr>
        <w:t>סכין המחובר לקרקע.</w:t>
      </w:r>
    </w:p>
    <w:p w14:paraId="1418CF93" w14:textId="31BF5247" w:rsidR="008847D5" w:rsidRDefault="008847D5" w:rsidP="008847D5">
      <w:pPr>
        <w:pStyle w:val="ListParagraph"/>
        <w:numPr>
          <w:ilvl w:val="1"/>
          <w:numId w:val="5"/>
        </w:numPr>
        <w:bidi/>
        <w:rPr>
          <w:lang w:bidi="he-IL"/>
        </w:rPr>
      </w:pPr>
      <w:r>
        <w:rPr>
          <w:rFonts w:hint="cs"/>
          <w:rtl/>
          <w:lang w:bidi="he-IL"/>
        </w:rPr>
        <w:t>סכין שהיה תמיד מחובר- רבי פוסל ורבי חייא מכשיר.</w:t>
      </w:r>
    </w:p>
    <w:p w14:paraId="6B254D38" w14:textId="3772B466" w:rsidR="008847D5" w:rsidRDefault="008847D5" w:rsidP="008847D5">
      <w:pPr>
        <w:pStyle w:val="ListParagraph"/>
        <w:numPr>
          <w:ilvl w:val="1"/>
          <w:numId w:val="5"/>
        </w:numPr>
        <w:bidi/>
        <w:rPr>
          <w:lang w:bidi="he-IL"/>
        </w:rPr>
      </w:pPr>
      <w:r>
        <w:rPr>
          <w:rFonts w:hint="cs"/>
          <w:rtl/>
          <w:lang w:bidi="he-IL"/>
        </w:rPr>
        <w:t xml:space="preserve">סכין תלוש שחבר- כשר. </w:t>
      </w:r>
      <w:r>
        <w:rPr>
          <w:rFonts w:hint="cs"/>
          <w:b/>
          <w:bCs/>
          <w:u w:val="single"/>
          <w:rtl/>
          <w:lang w:bidi="he-IL"/>
        </w:rPr>
        <w:t>(טו:)</w:t>
      </w:r>
    </w:p>
    <w:p w14:paraId="1FCBC49D" w14:textId="3A2BD9DF" w:rsidR="00427852" w:rsidRDefault="00427852" w:rsidP="008847D5">
      <w:pPr>
        <w:pStyle w:val="ListParagraph"/>
        <w:numPr>
          <w:ilvl w:val="0"/>
          <w:numId w:val="5"/>
        </w:numPr>
        <w:bidi/>
        <w:rPr>
          <w:lang w:bidi="he-IL"/>
        </w:rPr>
      </w:pPr>
      <w:r>
        <w:rPr>
          <w:rFonts w:hint="cs"/>
          <w:rtl/>
          <w:lang w:bidi="he-IL"/>
        </w:rPr>
        <w:t xml:space="preserve">סכין שיש בו פגם. </w:t>
      </w:r>
    </w:p>
    <w:sectPr w:rsidR="00427852">
      <w:headerReference w:type="default" r:id="rId8"/>
      <w:footerReference w:type="default" r:id="rId9"/>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0A5CBD" w14:textId="77777777" w:rsidR="00DC0033" w:rsidRDefault="00DC0033">
      <w:pPr>
        <w:spacing w:after="0" w:line="240" w:lineRule="auto"/>
      </w:pPr>
      <w:r>
        <w:separator/>
      </w:r>
    </w:p>
  </w:endnote>
  <w:endnote w:type="continuationSeparator" w:id="0">
    <w:p w14:paraId="368B1724" w14:textId="77777777" w:rsidR="00DC0033" w:rsidRDefault="00DC0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E44276" w14:textId="77777777" w:rsidR="00672000" w:rsidRDefault="00000000">
    <w:pPr>
      <w:pStyle w:val="Footer"/>
      <w:bidi/>
      <w:jc w:val="center"/>
      <w:rPr>
        <w:lang w:bidi="he-IL"/>
      </w:rPr>
    </w:pPr>
    <w:r>
      <w:rPr>
        <w:rtl/>
        <w:lang w:bidi="he-IL"/>
      </w:rPr>
      <w:t>שי"ח ש"י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52821C" w14:textId="77777777" w:rsidR="00DC0033" w:rsidRDefault="00DC0033">
      <w:pPr>
        <w:rPr>
          <w:sz w:val="12"/>
        </w:rPr>
      </w:pPr>
      <w:r>
        <w:separator/>
      </w:r>
    </w:p>
  </w:footnote>
  <w:footnote w:type="continuationSeparator" w:id="0">
    <w:p w14:paraId="2A551848" w14:textId="77777777" w:rsidR="00DC0033" w:rsidRDefault="00DC0033">
      <w:pPr>
        <w:rPr>
          <w:sz w:val="12"/>
        </w:rPr>
      </w:pPr>
      <w:r>
        <w:continuationSeparator/>
      </w:r>
    </w:p>
  </w:footnote>
  <w:footnote w:id="1">
    <w:p w14:paraId="42516F50" w14:textId="77777777" w:rsidR="00035F15" w:rsidRDefault="00000000">
      <w:pPr>
        <w:pStyle w:val="FootnoteText"/>
        <w:bidi/>
        <w:rPr>
          <w:rtl/>
          <w:lang w:bidi="he-IL"/>
        </w:rPr>
      </w:pPr>
      <w:r>
        <w:rPr>
          <w:rStyle w:val="FootnoteCharacters"/>
        </w:rPr>
        <w:footnoteRef/>
      </w:r>
      <w:r>
        <w:rPr>
          <w:rtl/>
          <w:lang w:bidi="he-IL"/>
        </w:rPr>
        <w:tab/>
        <w:t xml:space="preserve">לכאו’, נוכל לראות מזה יסוד גדול. הרי, </w:t>
      </w:r>
      <w:r w:rsidR="00035F15">
        <w:rPr>
          <w:rFonts w:hint="cs"/>
          <w:rtl/>
          <w:lang w:bidi="he-IL"/>
        </w:rPr>
        <w:t xml:space="preserve">יש להקשות מה לנו בזה; הבשר שישחטו יהיה כשר כיון ש"עד אחד נאמן באיסורים." אין לומר שרצה לומר שיש איסור דאו' שלא מקפידים עליו, ולכן הם פסולים לעדות, שהרי ידוע שיש הרבה מצוות שלא שומרים. יותר מזה, לא פשוט שמי שלא מקפיד על מצוות לא כשר להיות עד אחד. (איני יודע אם דנים בזה, אבל אין לי ראיה ברורה בדין בזה.) אז, נראה מכאן שנאמנות של עד אחד באיסורים בא מן איסור לפני עוור, שמניחים שלא יגרום לאחר לעשות איסור. </w:t>
      </w:r>
    </w:p>
    <w:p w14:paraId="5A02C7A1" w14:textId="429628B4" w:rsidR="00672000" w:rsidRDefault="00035F15" w:rsidP="00035F15">
      <w:pPr>
        <w:pStyle w:val="FootnoteText"/>
        <w:bidi/>
        <w:ind w:firstLine="0"/>
        <w:rPr>
          <w:lang w:bidi="he-IL"/>
        </w:rPr>
      </w:pPr>
      <w:r>
        <w:rPr>
          <w:rFonts w:hint="cs"/>
          <w:rtl/>
          <w:lang w:bidi="he-IL"/>
        </w:rPr>
        <w:t xml:space="preserve">אבל, אין זה מוכרח. אפשר לומר שזה רק בציור כזה, שלא בפירוש אומר כלום. אבל, אולי אם אומר דבר, יהיה נאמן מתורת נאמנות (או מפני שמקפיד על איסור שלא לשקר). (וא"ת למה יהיה נאמן מחמת לפני עוור, ולא לפני שקר. ויש לומר ששקר הוא איסור קל לבני אדם, שרוב בני אדם עוברים עליו. במילים אחרים, כיון שיש תאווה רבה לעבור עליו בכ"מ אחרים, לא יחושו בני אדם לעבור עליו. זה דומה למש"א ר"ה שכיון שעבר אדם ושנה, נעשה אותה עבירה לו כהיתר.) </w:t>
      </w:r>
    </w:p>
  </w:footnote>
  <w:footnote w:id="2">
    <w:p w14:paraId="2423ABB5" w14:textId="785971F5" w:rsidR="00E474D4" w:rsidRDefault="00E474D4" w:rsidP="00E474D4">
      <w:pPr>
        <w:pStyle w:val="FootnoteText"/>
        <w:bidi/>
        <w:rPr>
          <w:rFonts w:hint="cs"/>
          <w:rtl/>
          <w:lang w:bidi="he-IL"/>
        </w:rPr>
      </w:pPr>
      <w:r>
        <w:rPr>
          <w:rStyle w:val="FootnoteReference"/>
        </w:rPr>
        <w:footnoteRef/>
      </w:r>
      <w:r>
        <w:t xml:space="preserve"> </w:t>
      </w:r>
      <w:r>
        <w:rPr>
          <w:rtl/>
          <w:lang w:bidi="he-IL"/>
        </w:rPr>
        <w:tab/>
      </w:r>
      <w:r>
        <w:rPr>
          <w:rFonts w:hint="cs"/>
          <w:rtl/>
          <w:lang w:bidi="he-IL"/>
        </w:rPr>
        <w:t>צריך לומר שאי אפשר לו לפסול אותו באופן שלא יהיה הישראל מכיר. זה קצת מחודש, שלא נראה שהוא כל כך קל להבחין אם דחק או הגרים.</w:t>
      </w:r>
    </w:p>
  </w:footnote>
  <w:footnote w:id="3">
    <w:p w14:paraId="78C7FE8F" w14:textId="1634D16D" w:rsidR="00E31C77" w:rsidRPr="00E31C77" w:rsidRDefault="00E31C77" w:rsidP="00E31C77">
      <w:pPr>
        <w:pStyle w:val="FootnoteText"/>
        <w:bidi/>
        <w:rPr>
          <w:rFonts w:hint="cs"/>
          <w:rtl/>
          <w:lang w:bidi="he-IL"/>
        </w:rPr>
      </w:pPr>
      <w:r>
        <w:rPr>
          <w:rStyle w:val="FootnoteReference"/>
        </w:rPr>
        <w:footnoteRef/>
      </w:r>
      <w:r>
        <w:t xml:space="preserve"> </w:t>
      </w:r>
      <w:r>
        <w:rPr>
          <w:rtl/>
          <w:lang w:bidi="he-IL"/>
        </w:rPr>
        <w:tab/>
      </w:r>
      <w:r>
        <w:rPr>
          <w:rFonts w:hint="cs"/>
          <w:rtl/>
          <w:lang w:bidi="he-IL"/>
        </w:rPr>
        <w:t>צריך לעיין בגמ' (ה:) גבי גזירה של בית דין של ר"ג. שם, חולקים אם הוא רק כשאין ישראל עומד על גביו. נראה שלפי השיטה שסוברת שהוא רק אם אין ישראל עומד על גביו, צריך לומר שגזי' הרבנן היה שלא להאמין כותי על מה שלא כתוב בפירוש בתורה, אף שכנראה היו מקפידים עליו. (יש לדון בזה; כמו שנראה, אותו הגזירה באה מפני שראו שהיו כותים עובדי עבודה זרה. צריך ביאור איך זה נוגע לדין זה. אפשר לומר שכיון שראו שהרבה לא היו שומרים אף מצוות אמונה, מסתבר שאף אחד לא שומר על מה שלא כתוב בתורה. יותר נראה שכיון שראו שמה שחשבו שהיו מקפידים בו- עבודה זרה- לא היו באמת מקפידים בו, לא הניחו שהיו שומרים דבר שלא כתוב רק מפני שנראה שהיו מקפידים בו. ותחשב. גם אפשר לומר שהיה פוסל מחמת סיבה אחרת, והוא שעשה אותו לעבודה זרה, כמו שנכתוב לקמן בע"ה, אבל אם שחט וישראל היה עומד בפניו, היה ירא מן הישראל, ולא היה חושב לעבודה זרה. קשה, שיחשוב, וישראל לא יכיר, כיון שמחשבה הוא רק במוח. יש לדון, שאולי לא מהני אם הוא רק במוח (כמו שכ' רשי בזבחים, גבי מחשבות קדשים), או שאולי המציאות היתה ששחיטתם לעבודה זרה לא היה רק במוח, והיו עושים היכירים אחרים. גם אפשר שכיון שהוא בפני ישראל, שחושב עליו להיות ישראל ממש, הוא גם כן מקפיד, ולא עובד עבודה זרה, על פי מה שכתבנו בספרינו הקטן נכפל במאה.</w:t>
      </w:r>
    </w:p>
  </w:footnote>
  <w:footnote w:id="4">
    <w:p w14:paraId="1D01CEC3" w14:textId="0321FB89" w:rsidR="00CF4F22" w:rsidRPr="00CF4F22" w:rsidRDefault="00CF4F22" w:rsidP="00CF4F22">
      <w:pPr>
        <w:pStyle w:val="FootnoteText"/>
        <w:bidi/>
        <w:rPr>
          <w:rFonts w:hint="cs"/>
          <w:rtl/>
          <w:lang w:bidi="he-IL"/>
        </w:rPr>
      </w:pPr>
      <w:r>
        <w:rPr>
          <w:rStyle w:val="FootnoteReference"/>
        </w:rPr>
        <w:footnoteRef/>
      </w:r>
      <w:r>
        <w:t xml:space="preserve"> </w:t>
      </w:r>
      <w:r>
        <w:rPr>
          <w:rtl/>
          <w:lang w:bidi="he-IL"/>
        </w:rPr>
        <w:tab/>
      </w:r>
      <w:r>
        <w:rPr>
          <w:rFonts w:hint="cs"/>
          <w:rtl/>
          <w:lang w:bidi="he-IL"/>
        </w:rPr>
        <w:t>ואם תאמר למה לא מביאים ראיה נגד רב ענן (עיין לקמן) מזה.</w:t>
      </w:r>
      <w:r w:rsidR="008C4C3F">
        <w:rPr>
          <w:rFonts w:hint="cs"/>
          <w:rtl/>
          <w:lang w:bidi="he-IL"/>
        </w:rPr>
        <w:t xml:space="preserve"> ויש לומר שיכול לחלוק על אלו הגוזרים. גם יש לומר שיכול לפרש את הגזירה באופן אחר, לומר שהוא מחמת חשש ראשון (עיין לעיל למטה).</w:t>
      </w:r>
    </w:p>
  </w:footnote>
  <w:footnote w:id="5">
    <w:p w14:paraId="3864C49C" w14:textId="60035F84" w:rsidR="003103F4" w:rsidRPr="003103F4" w:rsidRDefault="003103F4" w:rsidP="003103F4">
      <w:pPr>
        <w:pStyle w:val="FootnoteText"/>
        <w:bidi/>
        <w:rPr>
          <w:rFonts w:hint="cs"/>
          <w:rtl/>
          <w:lang w:bidi="he-IL"/>
        </w:rPr>
      </w:pPr>
      <w:r>
        <w:rPr>
          <w:rStyle w:val="FootnoteReference"/>
        </w:rPr>
        <w:footnoteRef/>
      </w:r>
      <w:r>
        <w:t xml:space="preserve"> </w:t>
      </w:r>
      <w:r>
        <w:rPr>
          <w:rtl/>
          <w:lang w:bidi="he-IL"/>
        </w:rPr>
        <w:tab/>
      </w:r>
      <w:r>
        <w:rPr>
          <w:rFonts w:hint="cs"/>
          <w:rtl/>
          <w:lang w:bidi="he-IL"/>
        </w:rPr>
        <w:t xml:space="preserve">עיין בגמ' שמבאר שהיו שתי גזירות, ורק השנית היתה מקובלת לרוב בני אדם. אפשר לומר שמש"א גמ' שלא סמכו על רוב, ולכן גזרו, הוא רק בגזירה ראשונה, ולכן לא היתה מקובלת. אבל, אולי השנית נעשית אחרי שכבר לא היה אפשר לסמוך על רוב, ולכן קבלו את הגזירה. </w:t>
      </w:r>
    </w:p>
  </w:footnote>
  <w:footnote w:id="6">
    <w:p w14:paraId="0EF38E93" w14:textId="1FA478FA" w:rsidR="003103F4" w:rsidRPr="003103F4" w:rsidRDefault="003103F4" w:rsidP="003103F4">
      <w:pPr>
        <w:pStyle w:val="FootnoteText"/>
        <w:bidi/>
        <w:rPr>
          <w:rFonts w:hint="cs"/>
          <w:rtl/>
          <w:lang w:bidi="he-IL"/>
        </w:rPr>
      </w:pPr>
      <w:r>
        <w:rPr>
          <w:rStyle w:val="FootnoteReference"/>
        </w:rPr>
        <w:footnoteRef/>
      </w:r>
      <w:r>
        <w:t xml:space="preserve"> </w:t>
      </w:r>
      <w:r>
        <w:rPr>
          <w:rtl/>
          <w:lang w:bidi="he-IL"/>
        </w:rPr>
        <w:tab/>
      </w:r>
      <w:r>
        <w:rPr>
          <w:rFonts w:hint="cs"/>
          <w:rtl/>
          <w:lang w:bidi="he-IL"/>
        </w:rPr>
        <w:t>יש להעיר שגמ' משמע שזה היתה גזריה; לא פשוט לי למה נחשב גזירה, ולמה לא אומרים שהיה פסק. ותחשב.</w:t>
      </w:r>
    </w:p>
  </w:footnote>
  <w:footnote w:id="7">
    <w:p w14:paraId="2F0EE2D7" w14:textId="702DF061" w:rsidR="004D413D" w:rsidRPr="004D413D" w:rsidRDefault="004D413D" w:rsidP="004D413D">
      <w:pPr>
        <w:pStyle w:val="FootnoteText"/>
        <w:bidi/>
        <w:rPr>
          <w:rFonts w:hint="cs"/>
          <w:rtl/>
          <w:lang w:bidi="he-IL"/>
        </w:rPr>
      </w:pPr>
      <w:r>
        <w:rPr>
          <w:rStyle w:val="FootnoteReference"/>
        </w:rPr>
        <w:footnoteRef/>
      </w:r>
      <w:r>
        <w:t xml:space="preserve"> </w:t>
      </w:r>
      <w:r>
        <w:rPr>
          <w:rtl/>
          <w:lang w:bidi="he-IL"/>
        </w:rPr>
        <w:tab/>
      </w:r>
      <w:r>
        <w:rPr>
          <w:rFonts w:hint="cs"/>
          <w:rtl/>
          <w:lang w:bidi="he-IL"/>
        </w:rPr>
        <w:t>גמ' מבאר שהצד לפסול הוא שכיון שדש באותו איסור נעשית לו כהיתר. אז, אף שהתחיל להיות רק מומר לתיאבון, ורק כשהיה תאב היה עובר עליו, מסתמא הגיע למצב שיעבור עליו אף בלי תאווה.</w:t>
      </w:r>
    </w:p>
  </w:footnote>
  <w:footnote w:id="8">
    <w:p w14:paraId="2A2F14AB" w14:textId="179EE5A6" w:rsidR="00F0186B" w:rsidRDefault="00F0186B" w:rsidP="00F0186B">
      <w:pPr>
        <w:pStyle w:val="FootnoteText"/>
        <w:bidi/>
        <w:rPr>
          <w:rFonts w:hint="cs"/>
          <w:rtl/>
          <w:lang w:bidi="he-IL"/>
        </w:rPr>
      </w:pPr>
      <w:r>
        <w:rPr>
          <w:rStyle w:val="FootnoteReference"/>
        </w:rPr>
        <w:footnoteRef/>
      </w:r>
      <w:r>
        <w:t xml:space="preserve"> </w:t>
      </w:r>
      <w:r>
        <w:rPr>
          <w:rtl/>
          <w:lang w:bidi="he-IL"/>
        </w:rPr>
        <w:tab/>
      </w:r>
      <w:r>
        <w:rPr>
          <w:rFonts w:hint="cs"/>
          <w:rtl/>
          <w:lang w:bidi="he-IL"/>
        </w:rPr>
        <w:t>כיון שהפסול הוא רק מפני שיש לחוש ששחט בפסול, היה נראה לומר שאם ישראל היה עומד על גביו וראה את השחיטה, וגם בדקו את הסכין, שהשחיטה כשרה. אבל, מן הגמ' קצת משמע נגד זה, שהיה לו לומר כן לבאר את הסיפא של המשנה (על מה קאי "ישראל עומד על גביו"). ותחשב.</w:t>
      </w:r>
    </w:p>
  </w:footnote>
  <w:footnote w:id="9">
    <w:p w14:paraId="52519F72" w14:textId="12309A87" w:rsidR="00AF6F33" w:rsidRPr="00AF6F33" w:rsidRDefault="00AF6F33" w:rsidP="00AF6F33">
      <w:pPr>
        <w:pStyle w:val="FootnoteText"/>
        <w:bidi/>
        <w:rPr>
          <w:rFonts w:hint="cs"/>
          <w:rtl/>
          <w:lang w:bidi="he-IL"/>
        </w:rPr>
      </w:pPr>
      <w:r>
        <w:rPr>
          <w:rStyle w:val="FootnoteReference"/>
        </w:rPr>
        <w:footnoteRef/>
      </w:r>
      <w:r>
        <w:t xml:space="preserve"> </w:t>
      </w:r>
      <w:r>
        <w:rPr>
          <w:rtl/>
          <w:lang w:bidi="he-IL"/>
        </w:rPr>
        <w:tab/>
      </w:r>
      <w:r>
        <w:rPr>
          <w:rFonts w:hint="cs"/>
          <w:rtl/>
          <w:lang w:bidi="he-IL"/>
        </w:rPr>
        <w:t>גמ' לא מבאר אם דנים במומר להכעיס או מומר לתיאבון. זה משמע שאין חילוק בין שני המינים.</w:t>
      </w:r>
    </w:p>
  </w:footnote>
  <w:footnote w:id="10">
    <w:p w14:paraId="0C0E6681" w14:textId="3C115F21" w:rsidR="00D12AD0" w:rsidRPr="00D12AD0" w:rsidRDefault="00D12AD0" w:rsidP="00D12AD0">
      <w:pPr>
        <w:pStyle w:val="FootnoteText"/>
        <w:bidi/>
        <w:rPr>
          <w:rFonts w:hint="cs"/>
          <w:rtl/>
          <w:lang w:bidi="he-IL"/>
        </w:rPr>
      </w:pPr>
      <w:r>
        <w:rPr>
          <w:rStyle w:val="FootnoteReference"/>
        </w:rPr>
        <w:footnoteRef/>
      </w:r>
      <w:r>
        <w:t xml:space="preserve"> </w:t>
      </w:r>
      <w:r>
        <w:rPr>
          <w:rtl/>
          <w:lang w:bidi="he-IL"/>
        </w:rPr>
        <w:tab/>
      </w:r>
      <w:r>
        <w:rPr>
          <w:rFonts w:hint="cs"/>
          <w:rtl/>
          <w:lang w:bidi="he-IL"/>
        </w:rPr>
        <w:t>עיין שם, שלא מוכרח שהזכר עורבים נצרך (אלא אולי הוא דבר שדן בו גמרא אגב), אבל מסתבר לומר שהוא דווקא, ושמה שהוכיח לאליהו שהיה מעשה נסים (ואז מה שהתיר אותו לו) היה שבא על ידי עורבים. ויש לדון, שאולי גם היה דבר ה' אל אליהו לומר שיכול לאכול אותו.</w:t>
      </w:r>
    </w:p>
  </w:footnote>
  <w:footnote w:id="11">
    <w:p w14:paraId="042EA6C9" w14:textId="0CFB6C6A" w:rsidR="00470D3F" w:rsidRPr="00470D3F" w:rsidRDefault="00470D3F" w:rsidP="00470D3F">
      <w:pPr>
        <w:pStyle w:val="FootnoteText"/>
        <w:bidi/>
        <w:rPr>
          <w:rFonts w:hint="cs"/>
          <w:rtl/>
          <w:lang w:bidi="he-IL"/>
        </w:rPr>
      </w:pPr>
      <w:r>
        <w:rPr>
          <w:rStyle w:val="FootnoteReference"/>
        </w:rPr>
        <w:footnoteRef/>
      </w:r>
      <w:r>
        <w:t xml:space="preserve"> </w:t>
      </w:r>
      <w:r>
        <w:rPr>
          <w:rtl/>
          <w:lang w:bidi="he-IL"/>
        </w:rPr>
        <w:tab/>
      </w:r>
      <w:r>
        <w:rPr>
          <w:rFonts w:hint="cs"/>
          <w:rtl/>
          <w:lang w:bidi="he-IL"/>
        </w:rPr>
        <w:t>יש להעיר שלכאו' דחייה זו מוכרחת, שבלי זה קשה למה לא חששו לאיסור גזל. ותחשב.</w:t>
      </w:r>
    </w:p>
  </w:footnote>
  <w:footnote w:id="12">
    <w:p w14:paraId="731776A4" w14:textId="5B2F86B4" w:rsidR="00CC766F" w:rsidRPr="00CC766F" w:rsidRDefault="00CC766F" w:rsidP="00CC766F">
      <w:pPr>
        <w:pStyle w:val="FootnoteText"/>
        <w:bidi/>
        <w:rPr>
          <w:rFonts w:hint="cs"/>
          <w:rtl/>
          <w:lang w:bidi="he-IL"/>
        </w:rPr>
      </w:pPr>
      <w:r>
        <w:rPr>
          <w:rStyle w:val="FootnoteReference"/>
        </w:rPr>
        <w:footnoteRef/>
      </w:r>
      <w:r>
        <w:t xml:space="preserve"> </w:t>
      </w:r>
      <w:r>
        <w:rPr>
          <w:rtl/>
          <w:lang w:bidi="he-IL"/>
        </w:rPr>
        <w:tab/>
      </w:r>
      <w:r>
        <w:rPr>
          <w:rFonts w:hint="cs"/>
          <w:rtl/>
          <w:lang w:bidi="he-IL"/>
        </w:rPr>
        <w:t>כנראה, לא היה פיקוח נפש, שהיה דוחה בזה. ויש לדון, שאולי שואל למה ה' נתן לו מה שאסור, כיון שהיה יכול (שה' יכול לעשות כל דבר) לתת לו ההיתר. אז, אומר שהוראת שעה היא, דהיינו, שלאותו שעה היתר גמור הוא. צריכים להניח, אז, שהיתר שעה עושה שאין ס"ר, ופק"נ עושה שנשאר ס"ר. (בחידוש ראשון, אולי יש לומר שאין זה הוראת שעה רגילה, שזה בא על ידי הוראת שעה של ה'.)</w:t>
      </w:r>
    </w:p>
  </w:footnote>
  <w:footnote w:id="13">
    <w:p w14:paraId="50FB28C9" w14:textId="5CDDDAA1" w:rsidR="00B64B6B" w:rsidRPr="00B64B6B" w:rsidRDefault="00B64B6B" w:rsidP="00B64B6B">
      <w:pPr>
        <w:pStyle w:val="FootnoteText"/>
        <w:bidi/>
        <w:rPr>
          <w:rFonts w:hint="cs"/>
          <w:rtl/>
          <w:lang w:bidi="he-IL"/>
        </w:rPr>
      </w:pPr>
      <w:r>
        <w:rPr>
          <w:rStyle w:val="FootnoteReference"/>
        </w:rPr>
        <w:footnoteRef/>
      </w:r>
      <w:r>
        <w:t xml:space="preserve"> </w:t>
      </w:r>
      <w:r>
        <w:rPr>
          <w:rtl/>
          <w:lang w:bidi="he-IL"/>
        </w:rPr>
        <w:tab/>
      </w:r>
      <w:r>
        <w:rPr>
          <w:rFonts w:hint="cs"/>
          <w:rtl/>
          <w:lang w:bidi="he-IL"/>
        </w:rPr>
        <w:t>מסתמא, נחשב מומר לכל התורה כולה כיון שאין סיבה לחשוב שינהוג כשאר מצוות התורה, כיון שכבר לא מאמין שה' הוא האלקים היחידי.</w:t>
      </w:r>
    </w:p>
  </w:footnote>
  <w:footnote w:id="14">
    <w:p w14:paraId="5A376ECB" w14:textId="226D52B9" w:rsidR="00641A21" w:rsidRPr="00641A21" w:rsidRDefault="00641A21" w:rsidP="00641A21">
      <w:pPr>
        <w:pStyle w:val="FootnoteText"/>
        <w:bidi/>
        <w:rPr>
          <w:rFonts w:hint="cs"/>
          <w:rtl/>
          <w:lang w:bidi="he-IL"/>
        </w:rPr>
      </w:pPr>
      <w:r>
        <w:rPr>
          <w:rStyle w:val="FootnoteReference"/>
        </w:rPr>
        <w:footnoteRef/>
      </w:r>
      <w:r>
        <w:t xml:space="preserve"> </w:t>
      </w:r>
      <w:r>
        <w:rPr>
          <w:rtl/>
          <w:lang w:bidi="he-IL"/>
        </w:rPr>
        <w:tab/>
      </w:r>
      <w:r>
        <w:rPr>
          <w:rFonts w:hint="cs"/>
          <w:rtl/>
          <w:lang w:bidi="he-IL"/>
        </w:rPr>
        <w:t>גם בזה, לא פשוט אם יש חילוק בין מומר לתאבון ומומר להכעיס.</w:t>
      </w:r>
    </w:p>
  </w:footnote>
  <w:footnote w:id="15">
    <w:p w14:paraId="35CCBE04" w14:textId="32429182" w:rsidR="00ED0B7A" w:rsidRDefault="00ED0B7A" w:rsidP="00ED0B7A">
      <w:pPr>
        <w:pStyle w:val="FootnoteText"/>
        <w:bidi/>
        <w:rPr>
          <w:rFonts w:hint="cs"/>
          <w:rtl/>
          <w:lang w:bidi="he-IL"/>
        </w:rPr>
      </w:pPr>
      <w:r>
        <w:rPr>
          <w:rStyle w:val="FootnoteReference"/>
        </w:rPr>
        <w:footnoteRef/>
      </w:r>
      <w:r>
        <w:t xml:space="preserve"> </w:t>
      </w:r>
      <w:r>
        <w:rPr>
          <w:rtl/>
          <w:lang w:bidi="he-IL"/>
        </w:rPr>
        <w:tab/>
      </w:r>
      <w:r>
        <w:rPr>
          <w:rFonts w:hint="cs"/>
          <w:rtl/>
          <w:lang w:bidi="he-IL"/>
        </w:rPr>
        <w:t>הייתי אומר שדינו שווה למומר לעבודה זרה כיון שמסתבר שהסיבה שממיר בשבת הוא ששבת הוא אות שה' ברא את העולם; הוא לא מאמין שה' ברא את העולם. כיון שכן, מסתמא גם לא מאמין שה' הוא האדון שלנו (שאין לו תביעה עלינו). כיון שכן, הוא שווה למומר לעבודה זרה. יש לדון בזה, שאולי רק לא מאמין ששבת הוא מצווה, ולא מאמין שיש אות לאותו דבר שקרה. וא"ת אם כן, לא מאמין בתורה, ואז הוא בוודאי מומר לכל התורה כולה. זה טענה טובה, אבל אי אשפר שהיא נכונה, שאם כן כל מומר לדבר אחד יהיה מומר לכל התורה כולה. צריך לומר שאפשר להיות שאדם יאמר כן רק על מקצת התורה. ותחשב.</w:t>
      </w:r>
      <w:r w:rsidR="006C6CAB">
        <w:rPr>
          <w:rFonts w:hint="cs"/>
          <w:rtl/>
          <w:lang w:bidi="he-IL"/>
        </w:rPr>
        <w:t xml:space="preserve"> גם לא פשוט לי למה ייחשב מומר לכל התורה כולה אם מחלל את השבת בפרהסיא. ותחשב.</w:t>
      </w:r>
    </w:p>
  </w:footnote>
  <w:footnote w:id="16">
    <w:p w14:paraId="2F7F0CD0" w14:textId="6B6E376A" w:rsidR="00A770D1" w:rsidRPr="00A770D1" w:rsidRDefault="00A770D1" w:rsidP="00A770D1">
      <w:pPr>
        <w:pStyle w:val="FootnoteText"/>
        <w:bidi/>
        <w:rPr>
          <w:rFonts w:hint="cs"/>
          <w:rtl/>
          <w:lang w:bidi="he-IL"/>
        </w:rPr>
      </w:pPr>
      <w:r>
        <w:rPr>
          <w:rStyle w:val="FootnoteReference"/>
        </w:rPr>
        <w:footnoteRef/>
      </w:r>
      <w:r>
        <w:t xml:space="preserve"> </w:t>
      </w:r>
      <w:r>
        <w:rPr>
          <w:rtl/>
          <w:lang w:bidi="he-IL"/>
        </w:rPr>
        <w:tab/>
      </w:r>
      <w:r>
        <w:rPr>
          <w:rFonts w:hint="cs"/>
          <w:rtl/>
          <w:lang w:bidi="he-IL"/>
        </w:rPr>
        <w:t>חולקים שני לשונות שברינא אם חוששים או לא חוששים. אם רבינא אמר שחוששים, שאר אמוראים הנמנים שם חולקים עליו.</w:t>
      </w:r>
    </w:p>
  </w:footnote>
  <w:footnote w:id="17">
    <w:p w14:paraId="1B319D3C" w14:textId="17B45F96" w:rsidR="00B0464A" w:rsidRPr="00B0464A" w:rsidRDefault="00B0464A" w:rsidP="00B0464A">
      <w:pPr>
        <w:pStyle w:val="FootnoteText"/>
        <w:bidi/>
        <w:rPr>
          <w:rFonts w:hint="cs"/>
          <w:rtl/>
          <w:lang w:bidi="he-IL"/>
        </w:rPr>
      </w:pPr>
      <w:r>
        <w:rPr>
          <w:rStyle w:val="FootnoteReference"/>
        </w:rPr>
        <w:footnoteRef/>
      </w:r>
      <w:r>
        <w:t xml:space="preserve"> </w:t>
      </w:r>
      <w:r>
        <w:rPr>
          <w:rtl/>
          <w:lang w:bidi="he-IL"/>
        </w:rPr>
        <w:tab/>
      </w:r>
      <w:r>
        <w:rPr>
          <w:rFonts w:hint="cs"/>
          <w:rtl/>
          <w:lang w:bidi="he-IL"/>
        </w:rPr>
        <w:t xml:space="preserve">מסתבר לומר שאם שחט בכשרות כדי חזקה, שתי השיטות יודו שמניחים שיודע את הדינים, אם לא שידוע שלא יודע את הדינים. (לכאו', ידיעה שלנו שלא ידע בא ממבחן שקודם שבדק שתים או שלש פעמים בכשרות. אומרים שלא מניחים שלמד אחרי כן. גם אפשר לומר שיודעים שעכשיו לא יודע הלכות שחיטה, </w:t>
      </w:r>
      <w:r w:rsidR="008C58A2">
        <w:rPr>
          <w:rFonts w:hint="cs"/>
          <w:rtl/>
          <w:lang w:bidi="he-IL"/>
        </w:rPr>
        <w:t>וההו"א הוא ש</w:t>
      </w:r>
      <w:r>
        <w:rPr>
          <w:rFonts w:hint="cs"/>
          <w:rtl/>
          <w:lang w:bidi="he-IL"/>
        </w:rPr>
        <w:t>כמו שאתרמי ששחט בכשרות כמה פעמים, כן ישחוט עוד, שזהו, כנראה, דרך הכי קל לו לשחוט.)</w:t>
      </w:r>
    </w:p>
  </w:footnote>
  <w:footnote w:id="18">
    <w:p w14:paraId="71A4F686" w14:textId="3050B921" w:rsidR="00A770D1" w:rsidRPr="00A770D1" w:rsidRDefault="00A770D1" w:rsidP="00A770D1">
      <w:pPr>
        <w:pStyle w:val="FootnoteText"/>
        <w:bidi/>
        <w:rPr>
          <w:rFonts w:hint="cs"/>
          <w:rtl/>
          <w:lang w:bidi="he-IL"/>
        </w:rPr>
      </w:pPr>
      <w:r>
        <w:rPr>
          <w:rStyle w:val="FootnoteReference"/>
        </w:rPr>
        <w:footnoteRef/>
      </w:r>
      <w:r>
        <w:t xml:space="preserve"> </w:t>
      </w:r>
      <w:r>
        <w:rPr>
          <w:rtl/>
          <w:lang w:bidi="he-IL"/>
        </w:rPr>
        <w:tab/>
      </w:r>
      <w:r>
        <w:rPr>
          <w:rFonts w:hint="cs"/>
          <w:rtl/>
          <w:lang w:bidi="he-IL"/>
        </w:rPr>
        <w:t>חולקים שני לשונות שברינא אם חוששים או לא חוששים. אם רבינא אמר שחוששים, שאר אמוראים הנמנים שם חולקים עליו.</w:t>
      </w:r>
    </w:p>
  </w:footnote>
  <w:footnote w:id="19">
    <w:p w14:paraId="4B2AD4E4" w14:textId="552707DA" w:rsidR="000869E8" w:rsidRDefault="000869E8" w:rsidP="000869E8">
      <w:pPr>
        <w:pStyle w:val="FootnoteText"/>
        <w:bidi/>
        <w:rPr>
          <w:rFonts w:hint="cs"/>
          <w:lang w:bidi="he-IL"/>
        </w:rPr>
      </w:pPr>
      <w:r>
        <w:rPr>
          <w:rStyle w:val="FootnoteReference"/>
        </w:rPr>
        <w:footnoteRef/>
      </w:r>
      <w:r>
        <w:t xml:space="preserve"> </w:t>
      </w:r>
      <w:r>
        <w:rPr>
          <w:rtl/>
          <w:lang w:bidi="he-IL"/>
        </w:rPr>
        <w:tab/>
      </w:r>
      <w:r>
        <w:rPr>
          <w:rFonts w:hint="cs"/>
          <w:rtl/>
          <w:lang w:bidi="he-IL"/>
        </w:rPr>
        <w:t>יש להעיר שגמ' מצדד שלא מניחים שסתם בני אדם לא יתעלפו, אבל מניחים שסתם בני אדם מומחים. קצת קשה למה, אז, ימשיך את השחיטה. צריך לומר שלא מכיר כמה זמן עבר כשהתעלף, וחשב שהיה זמן מועט.</w:t>
      </w:r>
      <w:r w:rsidR="007E5800">
        <w:rPr>
          <w:rFonts w:hint="cs"/>
          <w:rtl/>
          <w:lang w:bidi="he-IL"/>
        </w:rPr>
        <w:t xml:space="preserve"> (עיין שם, שלא באמת חולקים למה חוששים, אלא תלוי בדיני חזקה. הרי, הסיבה שחוששים הוא שהיה אסור מחיים. דנים אם זה יועיל שנאמר שהוא טמא, אחרי שלא היה טמא מחיים. לא כל כך פשוט מהו הצד שיאמר כן, שהרי לא היה טמא מחיים, ולא מוכיח איסור לטומאה. ויש לדון, שאם ענין החזקה הוא שכמו שלא היה נשחט מחיים כך לא נשחט עכשיו, יוכיח שנבלה הוא, ולא טרפה, ולכן נניח בו טומאה.)</w:t>
      </w:r>
    </w:p>
  </w:footnote>
  <w:footnote w:id="20">
    <w:p w14:paraId="5E2FF5E9" w14:textId="74EF16E5" w:rsidR="00904071" w:rsidRPr="00904071" w:rsidRDefault="00904071" w:rsidP="00904071">
      <w:pPr>
        <w:pStyle w:val="FootnoteText"/>
        <w:bidi/>
        <w:rPr>
          <w:rFonts w:hint="cs"/>
          <w:rtl/>
          <w:lang w:bidi="he-IL"/>
        </w:rPr>
      </w:pPr>
      <w:r>
        <w:rPr>
          <w:rStyle w:val="FootnoteReference"/>
        </w:rPr>
        <w:footnoteRef/>
      </w:r>
      <w:r>
        <w:t xml:space="preserve"> </w:t>
      </w:r>
      <w:r>
        <w:rPr>
          <w:rtl/>
          <w:lang w:bidi="he-IL"/>
        </w:rPr>
        <w:tab/>
      </w:r>
      <w:r>
        <w:rPr>
          <w:rFonts w:hint="cs"/>
          <w:rtl/>
          <w:lang w:bidi="he-IL"/>
        </w:rPr>
        <w:t>איני יודע מהו המקור לזה מן התורה. לכאו', הביאור האו ששחיטה היא חידוש, ולא מצאנו אותו אלא גבי בני ישראל. ותחשב על זה.</w:t>
      </w:r>
    </w:p>
  </w:footnote>
  <w:footnote w:id="21">
    <w:p w14:paraId="2B07DDD6" w14:textId="6AFCC298" w:rsidR="005A62F3" w:rsidRPr="005A62F3" w:rsidRDefault="005A62F3" w:rsidP="005A62F3">
      <w:pPr>
        <w:pStyle w:val="FootnoteText"/>
        <w:bidi/>
        <w:rPr>
          <w:rFonts w:hint="cs"/>
          <w:rtl/>
          <w:lang w:bidi="he-IL"/>
        </w:rPr>
      </w:pPr>
      <w:r>
        <w:rPr>
          <w:rStyle w:val="FootnoteReference"/>
        </w:rPr>
        <w:footnoteRef/>
      </w:r>
      <w:r>
        <w:t xml:space="preserve"> </w:t>
      </w:r>
      <w:r>
        <w:rPr>
          <w:rFonts w:hint="cs"/>
          <w:rtl/>
          <w:lang w:bidi="he-IL"/>
        </w:rPr>
        <w:t>כן אומר גמ' לצד אחד. לא פשוט שצד הראשון חולק, ואז כן נניח.</w:t>
      </w:r>
    </w:p>
  </w:footnote>
  <w:footnote w:id="22">
    <w:p w14:paraId="42FDA300" w14:textId="77948964" w:rsidR="0090209F" w:rsidRDefault="0090209F" w:rsidP="0090209F">
      <w:pPr>
        <w:pStyle w:val="FootnoteText"/>
        <w:bidi/>
        <w:rPr>
          <w:rFonts w:hint="cs"/>
          <w:rtl/>
          <w:lang w:bidi="he-IL"/>
        </w:rPr>
      </w:pPr>
      <w:r>
        <w:rPr>
          <w:rStyle w:val="FootnoteReference"/>
        </w:rPr>
        <w:footnoteRef/>
      </w:r>
      <w:r>
        <w:t xml:space="preserve"> </w:t>
      </w:r>
      <w:r>
        <w:rPr>
          <w:rtl/>
          <w:lang w:bidi="he-IL"/>
        </w:rPr>
        <w:tab/>
      </w:r>
      <w:r>
        <w:rPr>
          <w:rFonts w:hint="cs"/>
          <w:rtl/>
          <w:lang w:bidi="he-IL"/>
        </w:rPr>
        <w:t>אין ההגדרה כל כך פשוטה לי, שפשוט שאי אפשר לחתוך דבר אם ממש רק מוליך ומביא, ולא דוחף כלל.</w:t>
      </w:r>
    </w:p>
  </w:footnote>
  <w:footnote w:id="23">
    <w:p w14:paraId="6580D6DA" w14:textId="2B1069C4" w:rsidR="002430E0" w:rsidRDefault="002430E0" w:rsidP="002430E0">
      <w:pPr>
        <w:pStyle w:val="FootnoteText"/>
        <w:bidi/>
        <w:rPr>
          <w:rFonts w:hint="cs"/>
          <w:rtl/>
          <w:lang w:bidi="he-IL"/>
        </w:rPr>
      </w:pPr>
      <w:r>
        <w:rPr>
          <w:rStyle w:val="FootnoteReference"/>
        </w:rPr>
        <w:footnoteRef/>
      </w:r>
      <w:r>
        <w:t xml:space="preserve"> </w:t>
      </w:r>
      <w:r>
        <w:rPr>
          <w:rtl/>
          <w:lang w:bidi="he-IL"/>
        </w:rPr>
        <w:tab/>
      </w:r>
      <w:r>
        <w:rPr>
          <w:rFonts w:hint="cs"/>
          <w:rtl/>
          <w:lang w:bidi="he-IL"/>
        </w:rPr>
        <w:t>גמ' מזכיר שצריכים לבדוק סימנים אחרי שחיטה. חולקים שם אם הוא מפני חשש טריפה או מפני חשש נבלה. לצד שני, לכאו' צריך לומר שאחד (או יותר) מאלו צריכים בדיקה, ולזה מכוון הגמרא.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E025A" w14:textId="77777777" w:rsidR="00672000" w:rsidRDefault="00000000">
    <w:pPr>
      <w:pStyle w:val="Header"/>
      <w:bidi/>
      <w:jc w:val="center"/>
      <w:rPr>
        <w:lang w:bidi="he-IL"/>
      </w:rPr>
    </w:pPr>
    <w:r>
      <w:rPr>
        <w:rtl/>
        <w:lang w:bidi="he-IL"/>
      </w:rPr>
      <w:t>מסכת חולין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76229"/>
    <w:multiLevelType w:val="hybridMultilevel"/>
    <w:tmpl w:val="090A06B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94D7459"/>
    <w:multiLevelType w:val="multilevel"/>
    <w:tmpl w:val="B9C2F7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7D3D2E"/>
    <w:multiLevelType w:val="multilevel"/>
    <w:tmpl w:val="A8F06ED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3FC64084"/>
    <w:multiLevelType w:val="multilevel"/>
    <w:tmpl w:val="A8F06ED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64E7496D"/>
    <w:multiLevelType w:val="multilevel"/>
    <w:tmpl w:val="A8F06ED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6E4E63F8"/>
    <w:multiLevelType w:val="multilevel"/>
    <w:tmpl w:val="A8F06ED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16cid:durableId="1560090246">
    <w:abstractNumId w:val="2"/>
  </w:num>
  <w:num w:numId="2" w16cid:durableId="807010907">
    <w:abstractNumId w:val="1"/>
  </w:num>
  <w:num w:numId="3" w16cid:durableId="607471009">
    <w:abstractNumId w:val="0"/>
  </w:num>
  <w:num w:numId="4" w16cid:durableId="1642271567">
    <w:abstractNumId w:val="5"/>
  </w:num>
  <w:num w:numId="5" w16cid:durableId="1378312954">
    <w:abstractNumId w:val="4"/>
  </w:num>
  <w:num w:numId="6" w16cid:durableId="1833447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000"/>
    <w:rsid w:val="00035F15"/>
    <w:rsid w:val="000869E8"/>
    <w:rsid w:val="000A152A"/>
    <w:rsid w:val="001D067E"/>
    <w:rsid w:val="002430E0"/>
    <w:rsid w:val="002F20C0"/>
    <w:rsid w:val="003103F4"/>
    <w:rsid w:val="003633F8"/>
    <w:rsid w:val="00376617"/>
    <w:rsid w:val="003C6743"/>
    <w:rsid w:val="00427852"/>
    <w:rsid w:val="00470D3F"/>
    <w:rsid w:val="00473DFD"/>
    <w:rsid w:val="004B0D02"/>
    <w:rsid w:val="004D413D"/>
    <w:rsid w:val="00505A26"/>
    <w:rsid w:val="00536AC3"/>
    <w:rsid w:val="00596A68"/>
    <w:rsid w:val="005A62F3"/>
    <w:rsid w:val="005C4823"/>
    <w:rsid w:val="00641A21"/>
    <w:rsid w:val="00645B90"/>
    <w:rsid w:val="00666A16"/>
    <w:rsid w:val="00672000"/>
    <w:rsid w:val="00683ACB"/>
    <w:rsid w:val="006A3EDB"/>
    <w:rsid w:val="006B6C84"/>
    <w:rsid w:val="006C6CAB"/>
    <w:rsid w:val="006D4BBC"/>
    <w:rsid w:val="00742046"/>
    <w:rsid w:val="007E0A3A"/>
    <w:rsid w:val="007E5800"/>
    <w:rsid w:val="00845CD4"/>
    <w:rsid w:val="00863217"/>
    <w:rsid w:val="0087415B"/>
    <w:rsid w:val="008847D5"/>
    <w:rsid w:val="008A2125"/>
    <w:rsid w:val="008C377F"/>
    <w:rsid w:val="008C4C3F"/>
    <w:rsid w:val="008C58A2"/>
    <w:rsid w:val="0090209F"/>
    <w:rsid w:val="00904071"/>
    <w:rsid w:val="00937F26"/>
    <w:rsid w:val="0097593F"/>
    <w:rsid w:val="009B3763"/>
    <w:rsid w:val="009B7264"/>
    <w:rsid w:val="00A069E2"/>
    <w:rsid w:val="00A770D1"/>
    <w:rsid w:val="00AF6F33"/>
    <w:rsid w:val="00B0464A"/>
    <w:rsid w:val="00B64B6B"/>
    <w:rsid w:val="00BF4932"/>
    <w:rsid w:val="00C50265"/>
    <w:rsid w:val="00C6772B"/>
    <w:rsid w:val="00CC766F"/>
    <w:rsid w:val="00CF4F22"/>
    <w:rsid w:val="00D12AD0"/>
    <w:rsid w:val="00D31A53"/>
    <w:rsid w:val="00DC0033"/>
    <w:rsid w:val="00E31C77"/>
    <w:rsid w:val="00E474D4"/>
    <w:rsid w:val="00E6034C"/>
    <w:rsid w:val="00E93455"/>
    <w:rsid w:val="00EA64AD"/>
    <w:rsid w:val="00ED0B7A"/>
    <w:rsid w:val="00F0186B"/>
    <w:rsid w:val="00F27E73"/>
    <w:rsid w:val="00F36A63"/>
    <w:rsid w:val="00F764DA"/>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0DF28"/>
  <w15:docId w15:val="{2AC541C8-5BEA-4B6A-B461-CD80255C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A277F9"/>
    <w:pPr>
      <w:keepNext/>
      <w:keepLines/>
      <w:bidi/>
      <w:spacing w:before="360" w:after="80"/>
      <w:outlineLvl w:val="0"/>
    </w:pPr>
    <w:rPr>
      <w:rFonts w:asciiTheme="majorHAnsi" w:eastAsiaTheme="majorEastAsia" w:hAnsiTheme="majorHAnsi" w:cstheme="majorBidi"/>
      <w:bCs/>
      <w:sz w:val="40"/>
      <w:lang w:bidi="he-IL"/>
    </w:rPr>
  </w:style>
  <w:style w:type="paragraph" w:styleId="Heading2">
    <w:name w:val="heading 2"/>
    <w:basedOn w:val="Normal"/>
    <w:next w:val="Normal"/>
    <w:link w:val="Heading2Char"/>
    <w:uiPriority w:val="9"/>
    <w:semiHidden/>
    <w:unhideWhenUsed/>
    <w:qFormat/>
    <w:rsid w:val="00A277F9"/>
    <w:pPr>
      <w:keepNext/>
      <w:keepLines/>
      <w:spacing w:before="160" w:after="80"/>
      <w:outlineLvl w:val="1"/>
    </w:pPr>
    <w:rPr>
      <w:rFonts w:asciiTheme="majorHAnsi" w:eastAsiaTheme="majorEastAsia" w:hAnsiTheme="majorHAnsi" w:cstheme="majorBidi"/>
      <w:bCs/>
      <w:sz w:val="32"/>
      <w:lang w:bidi="he-IL"/>
    </w:rPr>
  </w:style>
  <w:style w:type="paragraph" w:styleId="Heading3">
    <w:name w:val="heading 3"/>
    <w:basedOn w:val="Normal"/>
    <w:next w:val="Normal"/>
    <w:link w:val="Heading3Char"/>
    <w:uiPriority w:val="9"/>
    <w:semiHidden/>
    <w:unhideWhenUsed/>
    <w:qFormat/>
    <w:rsid w:val="00A27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27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27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27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27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27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27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27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27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277F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277F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277F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277F9"/>
    <w:rPr>
      <w:i/>
      <w:iCs/>
      <w:color w:val="404040" w:themeColor="text1" w:themeTint="BF"/>
    </w:rPr>
  </w:style>
  <w:style w:type="character" w:styleId="IntenseEmphasis">
    <w:name w:val="Intense Emphasis"/>
    <w:basedOn w:val="DefaultParagraphFont"/>
    <w:uiPriority w:val="21"/>
    <w:qFormat/>
    <w:rsid w:val="00A277F9"/>
    <w:rPr>
      <w:i/>
      <w:iCs/>
      <w:color w:val="0F4761" w:themeColor="accent1" w:themeShade="BF"/>
    </w:rPr>
  </w:style>
  <w:style w:type="character" w:customStyle="1" w:styleId="IntenseQuoteChar">
    <w:name w:val="Intense Quote Char"/>
    <w:basedOn w:val="DefaultParagraphFont"/>
    <w:link w:val="IntenseQuote"/>
    <w:uiPriority w:val="30"/>
    <w:qFormat/>
    <w:rsid w:val="00A277F9"/>
    <w:rPr>
      <w:i/>
      <w:iCs/>
      <w:color w:val="0F4761" w:themeColor="accent1" w:themeShade="BF"/>
    </w:rPr>
  </w:style>
  <w:style w:type="character" w:styleId="IntenseReference">
    <w:name w:val="Intense Reference"/>
    <w:basedOn w:val="DefaultParagraphFont"/>
    <w:uiPriority w:val="32"/>
    <w:qFormat/>
    <w:rsid w:val="00A277F9"/>
    <w:rPr>
      <w:b/>
      <w:bCs/>
      <w:smallCaps/>
      <w:color w:val="0F4761" w:themeColor="accent1" w:themeShade="BF"/>
      <w:spacing w:val="5"/>
    </w:rPr>
  </w:style>
  <w:style w:type="character" w:customStyle="1" w:styleId="HeaderChar">
    <w:name w:val="Header Char"/>
    <w:basedOn w:val="DefaultParagraphFont"/>
    <w:link w:val="Header"/>
    <w:uiPriority w:val="99"/>
    <w:qFormat/>
    <w:rsid w:val="00A277F9"/>
  </w:style>
  <w:style w:type="character" w:customStyle="1" w:styleId="FooterChar">
    <w:name w:val="Footer Char"/>
    <w:basedOn w:val="DefaultParagraphFont"/>
    <w:link w:val="Footer"/>
    <w:uiPriority w:val="99"/>
    <w:qFormat/>
    <w:rsid w:val="00A277F9"/>
  </w:style>
  <w:style w:type="character" w:styleId="LineNumber">
    <w:name w:val="line number"/>
  </w:style>
  <w:style w:type="character" w:customStyle="1" w:styleId="NumberingSymbols">
    <w:name w:val="Numbering Symbols"/>
    <w:qFormat/>
  </w:style>
  <w:style w:type="character" w:styleId="FootnoteReference">
    <w:name w:val="footnote reference"/>
    <w:rPr>
      <w:vertAlign w:val="superscript"/>
    </w:rPr>
  </w:style>
  <w:style w:type="character" w:customStyle="1" w:styleId="FootnoteCharacters">
    <w:name w:val="Footnote Characters"/>
    <w:qFormat/>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Arial" w:eastAsia="Microsoft YaHei" w:hAnsi="Arial"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Aptos" w:hAnsi="Aptos" w:cs="Lucida Sans"/>
    </w:rPr>
  </w:style>
  <w:style w:type="paragraph" w:styleId="Caption">
    <w:name w:val="caption"/>
    <w:basedOn w:val="Normal"/>
    <w:qFormat/>
    <w:pPr>
      <w:suppressLineNumbers/>
      <w:spacing w:before="120" w:after="120"/>
    </w:pPr>
    <w:rPr>
      <w:rFonts w:ascii="Aptos" w:hAnsi="Aptos" w:cs="Lucida Sans"/>
      <w:i/>
      <w:iCs/>
      <w:sz w:val="24"/>
      <w:szCs w:val="24"/>
    </w:rPr>
  </w:style>
  <w:style w:type="paragraph" w:customStyle="1" w:styleId="Index">
    <w:name w:val="Index"/>
    <w:basedOn w:val="Normal"/>
    <w:qFormat/>
    <w:pPr>
      <w:suppressLineNumbers/>
    </w:pPr>
    <w:rPr>
      <w:rFonts w:ascii="Aptos" w:hAnsi="Aptos" w:cs="Lucida Sans"/>
    </w:rPr>
  </w:style>
  <w:style w:type="paragraph" w:styleId="Title">
    <w:name w:val="Title"/>
    <w:basedOn w:val="Normal"/>
    <w:next w:val="Normal"/>
    <w:link w:val="TitleChar"/>
    <w:uiPriority w:val="10"/>
    <w:qFormat/>
    <w:rsid w:val="00A277F9"/>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27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7F9"/>
    <w:pPr>
      <w:spacing w:before="160"/>
      <w:jc w:val="center"/>
    </w:pPr>
    <w:rPr>
      <w:i/>
      <w:iCs/>
      <w:color w:val="404040" w:themeColor="text1" w:themeTint="BF"/>
    </w:rPr>
  </w:style>
  <w:style w:type="paragraph" w:styleId="ListParagraph">
    <w:name w:val="List Paragraph"/>
    <w:basedOn w:val="Normal"/>
    <w:uiPriority w:val="34"/>
    <w:qFormat/>
    <w:rsid w:val="002430E0"/>
    <w:pPr>
      <w:ind w:left="720"/>
    </w:pPr>
  </w:style>
  <w:style w:type="paragraph" w:styleId="IntenseQuote">
    <w:name w:val="Intense Quote"/>
    <w:basedOn w:val="Normal"/>
    <w:next w:val="Normal"/>
    <w:link w:val="IntenseQuoteChar"/>
    <w:uiPriority w:val="30"/>
    <w:qFormat/>
    <w:rsid w:val="00A277F9"/>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277F9"/>
    <w:pPr>
      <w:tabs>
        <w:tab w:val="center" w:pos="4680"/>
        <w:tab w:val="right" w:pos="9360"/>
      </w:tabs>
      <w:spacing w:after="0" w:line="240" w:lineRule="auto"/>
    </w:pPr>
  </w:style>
  <w:style w:type="paragraph" w:styleId="Footer">
    <w:name w:val="footer"/>
    <w:basedOn w:val="Normal"/>
    <w:link w:val="FooterChar"/>
    <w:uiPriority w:val="99"/>
    <w:unhideWhenUsed/>
    <w:rsid w:val="00A277F9"/>
    <w:pPr>
      <w:tabs>
        <w:tab w:val="center" w:pos="4680"/>
        <w:tab w:val="right" w:pos="9360"/>
      </w:tabs>
      <w:spacing w:after="0" w:line="240" w:lineRule="auto"/>
    </w:pPr>
  </w:style>
  <w:style w:type="paragraph" w:styleId="FootnoteText">
    <w:name w:val="foot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02D60-BBC7-4A93-89D6-C65FF5920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1759</TotalTime>
  <Pages>5</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dc:description/>
  <cp:lastModifiedBy>Shaul Y Khayyat</cp:lastModifiedBy>
  <cp:revision>64</cp:revision>
  <dcterms:created xsi:type="dcterms:W3CDTF">2024-10-13T22:45:00Z</dcterms:created>
  <dcterms:modified xsi:type="dcterms:W3CDTF">2024-10-15T19:47:00Z</dcterms:modified>
  <dc:language>en-US</dc:language>
</cp:coreProperties>
</file>