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center"/>
        <w:rPr>
          <w:rFonts w:cs="Shofar"/>
        </w:rPr>
      </w:pPr>
      <w:r>
        <w:rPr>
          <w:rStyle w:val="FootnoteAnchor"/>
          <w:rFonts w:cs="Shofar"/>
          <w:sz w:val="18"/>
          <w:szCs w:val="18"/>
          <w:rtl w:val="true"/>
        </w:rPr>
        <w:footnoteReference w:id="2"/>
      </w:r>
      <w:r>
        <w:rPr>
          <w:rFonts w:cs="Shofar"/>
          <w:b/>
          <w:b/>
          <w:bCs/>
          <w:sz w:val="18"/>
          <w:sz w:val="18"/>
          <w:szCs w:val="18"/>
          <w:u w:val="single"/>
          <w:rtl w:val="true"/>
        </w:rPr>
        <w:t>חבורה שניה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single"/>
          <w:rtl w:val="true"/>
        </w:rPr>
        <w:t xml:space="preserve"> מאת שלמה שמואלביץ</w:t>
      </w:r>
    </w:p>
    <w:p>
      <w:pPr>
        <w:pStyle w:val="Normal"/>
        <w:bidi w:val="1"/>
        <w:jc w:val="center"/>
        <w:rPr>
          <w:rFonts w:cs="Shofar"/>
        </w:rPr>
      </w:pP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גילוי דעת בגיטין</w:t>
      </w:r>
    </w:p>
    <w:p>
      <w:pPr>
        <w:pStyle w:val="Normal"/>
        <w:bidi w:val="1"/>
        <w:jc w:val="left"/>
        <w:rPr>
          <w:rFonts w:cs="Shofar"/>
        </w:rPr>
      </w:pP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יש שני יחסים שאומרים ראשונים בין גמרא שלנו למח’ רבא ואביי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 xml:space="preserve">. </w:t>
      </w:r>
    </w:p>
    <w:p>
      <w:pPr>
        <w:pStyle w:val="Normal"/>
        <w:bidi w:val="1"/>
        <w:jc w:val="left"/>
        <w:rPr>
          <w:rFonts w:cs="Shofar"/>
        </w:rPr>
      </w:pP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רשב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א וריטב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א כ’ שמגרש רץ אחר שליח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והח’ הוא שאין ריצה שלו גל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ד די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אז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יש יחס למח’ של גל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ד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לזה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לשון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>,”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מהו…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 xml:space="preserve">" 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לכאור הם שנוכיח שבריצה גילה דעתו</w:t>
      </w:r>
      <w:r>
        <w:rPr>
          <w:rStyle w:val="FootnoteAnchor"/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footnoteReference w:id="3"/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 xml:space="preserve"> מפני מש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א אחריו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כ’ רשב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א שלאביי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י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ל שדן הו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א וקמ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ל באי גל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ד מהני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לרבא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דן אם נחשב משמעות החזק די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אמר שלרבא צ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ל שמחדש מציאות</w:t>
      </w:r>
      <w:r>
        <w:rPr>
          <w:rStyle w:val="FootnoteAnchor"/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footnoteReference w:id="4"/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ריטב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א כ’ שלאביי דן במציאות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 xml:space="preserve">- 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אם זה יותר משאר גילוי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>מעניין שצריך משנה לומר זה</w:t>
      </w:r>
      <w:r>
        <w:rPr>
          <w:rFonts w:cs="Shofar"/>
          <w:b w:val="false"/>
          <w:bCs w:val="false"/>
          <w:sz w:val="18"/>
          <w:szCs w:val="18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sz w:val="18"/>
          <w:sz w:val="18"/>
          <w:szCs w:val="18"/>
          <w:u w:val="none"/>
          <w:rtl w:val="true"/>
        </w:rPr>
        <w:t xml:space="preserve">שהרי רבא ואביי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דנים בשאר ציורים מדעתם</w:t>
      </w:r>
      <w:r>
        <w:rPr>
          <w:rFonts w:eastAsia="NSimSun" w:cs="Shofar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>.</w:t>
      </w:r>
      <w:r>
        <w:rPr>
          <w:rStyle w:val="FootnoteAnchor"/>
          <w:rFonts w:eastAsia="NSimSun" w:cs="Shofar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footnoteReference w:id="5"/>
      </w:r>
    </w:p>
    <w:p>
      <w:pPr>
        <w:pStyle w:val="PreformattedText"/>
        <w:bidi w:val="1"/>
        <w:jc w:val="left"/>
        <w:rPr>
          <w:rFonts w:cs="Shofar"/>
        </w:rPr>
      </w:pP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תוס’ כ’ שבהו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א מח’ שנתגלה לאח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ז יבטלו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רבא אומר שצריך גילוי דעת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יש לדון אם עושה חלות בדעתו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אלא שצריך גילוי כדי שנודע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או שעושה חלות בגילוי</w:t>
      </w:r>
      <w:r>
        <w:rPr>
          <w:rStyle w:val="FootnoteAnchor"/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footnoteReference w:id="6"/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לכאורה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כאן ידוע שחשב כן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ושעשה מעשה מחמתו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רק אין גילוי לאחרים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ההו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א יכו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ל שא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צ גילוי או שיש גילוי די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שכיון שנודע לאחר זמן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חלק ממה שמודיע הוא הביטול שניסה לעשות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אולי לשני הקמ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ל הוא שצריך שזה יגלה דבר שאינו כבר נודע באותו זמן שנודע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לתוס’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שקו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ט של גמ’ הוא אם לומ’ למפרע מהני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ולא מה נחשב מגולה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אפשר שסבר תוס’ לאביי כרשב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א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מעניין שגמרא חלוק לרבא ואביי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גם י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ל סברה אחרת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יש פעמים שאף לרבא לא מהני גילוי שעשה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ויש ציורים שאביי מהני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אולי חול’ כמה גילוי צריך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 xml:space="preserve">ואולי חול’ אם יש צורך למטבע 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>(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אף שגילה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).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הו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א של רשב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א וריטב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א לא סבר כן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 xml:space="preserve">לשון דיון גמרא 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>(“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גילוי דעת לא מהני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")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משמע כצד שני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יש שמדייקים ממה שלא עושים ראשונים כללים בלשונות אלו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שמשמע שהוא מפני שצריך מטבע מיוחד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נוש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כ ושו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ע כ’ כללים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ורמב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ם כ’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>, “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ודומה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.”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יש נפק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מ אם גילה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ויודעים שחשב על ביטול שליחות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אבל לא אמר כמטבע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אם נאמר שמהני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אולי דן אם יש גילוי די כאן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כמו שדן תוס’ ברבא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 xml:space="preserve">גם יש לומר שדן באם מהני כך 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>(</w:t>
      </w:r>
      <w:r>
        <w:rPr>
          <w:rFonts w:ascii="Liberation Serif" w:hAnsi="Liberation Serif" w:eastAsia="NSimSun" w:cs="Shofar"/>
          <w:b w:val="false"/>
          <w:b w:val="false"/>
          <w:bCs w:val="false"/>
          <w:color w:val="auto"/>
          <w:kern w:val="2"/>
          <w:sz w:val="18"/>
          <w:sz w:val="18"/>
          <w:szCs w:val="18"/>
          <w:u w:val="none"/>
          <w:rtl w:val="true"/>
          <w:lang w:val="en-US" w:eastAsia="zh-CN" w:bidi="he-IL"/>
        </w:rPr>
        <w:t>בשני צדדים שבאביי</w:t>
      </w:r>
      <w:r>
        <w:rPr>
          <w:rFonts w:eastAsia="NSimSun" w:cs="Shofar" w:ascii="Liberation Serif" w:hAnsi="Liberation Serif"/>
          <w:b w:val="false"/>
          <w:bCs w:val="false"/>
          <w:color w:val="auto"/>
          <w:kern w:val="2"/>
          <w:sz w:val="18"/>
          <w:szCs w:val="18"/>
          <w:u w:val="none"/>
          <w:rtl w:val="true"/>
          <w:lang w:val="en-US" w:eastAsia="zh-CN" w:bidi="he-IL"/>
        </w:rPr>
        <w:t>).</w:t>
      </w:r>
    </w:p>
    <w:p>
      <w:pPr>
        <w:pStyle w:val="PreformattedText"/>
        <w:bidi w:val="1"/>
        <w:jc w:val="center"/>
        <w:rPr>
          <w:rFonts w:cs="Shofar"/>
          <w:b/>
          <w:b/>
          <w:bCs/>
          <w:u w:val="single"/>
        </w:rPr>
      </w:pPr>
      <w:r>
        <w:rPr>
          <w:rFonts w:cs="Shofar"/>
          <w:b/>
          <w:b/>
          <w:bCs/>
          <w:u w:val="single"/>
          <w:rtl w:val="true"/>
        </w:rPr>
        <w:t xml:space="preserve">חבורה שלישית </w:t>
      </w:r>
      <w:r>
        <w:rPr>
          <w:rFonts w:cs="Shofar"/>
          <w:b w:val="false"/>
          <w:b w:val="false"/>
          <w:bCs w:val="false"/>
          <w:u w:val="single"/>
          <w:rtl w:val="true"/>
        </w:rPr>
        <w:t>מרי</w:t>
      </w:r>
      <w:r>
        <w:rPr>
          <w:rFonts w:cs="Shofar"/>
          <w:b w:val="false"/>
          <w:bCs w:val="false"/>
          <w:u w:val="single"/>
          <w:rtl w:val="true"/>
        </w:rPr>
        <w:t>"</w:t>
      </w:r>
      <w:r>
        <w:rPr>
          <w:rFonts w:cs="Shofar"/>
          <w:b w:val="false"/>
          <w:b w:val="false"/>
          <w:bCs w:val="false"/>
          <w:u w:val="single"/>
          <w:rtl w:val="true"/>
        </w:rPr>
        <w:t>ר</w:t>
      </w:r>
    </w:p>
    <w:p>
      <w:pPr>
        <w:pStyle w:val="PreformattedText"/>
        <w:bidi w:val="1"/>
        <w:jc w:val="left"/>
        <w:rPr>
          <w:rFonts w:cs="Shofar"/>
          <w:b/>
          <w:b/>
          <w:bCs/>
        </w:rPr>
      </w:pPr>
      <w:r>
        <w:rPr>
          <w:rFonts w:cs="Shofar"/>
          <w:b w:val="false"/>
          <w:b w:val="false"/>
          <w:bCs w:val="false"/>
          <w:u w:val="none"/>
          <w:rtl w:val="true"/>
        </w:rPr>
        <w:t xml:space="preserve">חוקרים </w:t>
      </w:r>
      <w:r>
        <w:rPr>
          <w:rFonts w:cs="Shofar"/>
          <w:b/>
          <w:b/>
          <w:bCs/>
          <w:u w:val="none"/>
          <w:rtl w:val="true"/>
        </w:rPr>
        <w:t>אחרונים</w:t>
      </w:r>
      <w:r>
        <w:rPr>
          <w:rFonts w:cs="Shofar"/>
          <w:b w:val="false"/>
          <w:b w:val="false"/>
          <w:bCs w:val="false"/>
          <w:u w:val="none"/>
          <w:rtl w:val="true"/>
        </w:rPr>
        <w:t xml:space="preserve"> אם דיבור מבטל דיבור למפרע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/>
          <w:b/>
          <w:bCs/>
          <w:u w:val="none"/>
          <w:rtl w:val="true"/>
        </w:rPr>
        <w:t>ריטבא</w:t>
      </w:r>
      <w:r>
        <w:rPr>
          <w:rFonts w:cs="Shofar"/>
          <w:b w:val="false"/>
          <w:b w:val="false"/>
          <w:bCs w:val="false"/>
          <w:u w:val="none"/>
          <w:rtl w:val="true"/>
        </w:rPr>
        <w:t xml:space="preserve"> מביא מ</w:t>
      </w:r>
      <w:r>
        <w:rPr>
          <w:rFonts w:cs="Shofar"/>
          <w:b/>
          <w:b/>
          <w:bCs/>
          <w:u w:val="none"/>
          <w:rtl w:val="true"/>
        </w:rPr>
        <w:t>ראה</w:t>
      </w:r>
      <w:r>
        <w:rPr>
          <w:rFonts w:cs="Shofar"/>
          <w:b w:val="false"/>
          <w:b w:val="false"/>
          <w:bCs w:val="false"/>
          <w:u w:val="none"/>
          <w:rtl w:val="true"/>
        </w:rPr>
        <w:t xml:space="preserve"> שמבטלים גט על ידי ביטול שליחות למפרע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u w:val="none"/>
          <w:rtl w:val="true"/>
        </w:rPr>
        <w:t>אז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לר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u w:val="none"/>
          <w:rtl w:val="true"/>
        </w:rPr>
        <w:t>ש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מבטלים למפרע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u w:val="none"/>
          <w:rtl w:val="true"/>
        </w:rPr>
        <w:t>כ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u w:val="none"/>
          <w:rtl w:val="true"/>
        </w:rPr>
        <w:t xml:space="preserve">כ </w:t>
      </w:r>
      <w:r>
        <w:rPr>
          <w:rFonts w:cs="Shofar"/>
          <w:b/>
          <w:b/>
          <w:bCs/>
          <w:u w:val="none"/>
          <w:rtl w:val="true"/>
        </w:rPr>
        <w:t>רמב</w:t>
      </w:r>
      <w:r>
        <w:rPr>
          <w:rFonts w:cs="Shofar"/>
          <w:b/>
          <w:bCs/>
          <w:u w:val="none"/>
          <w:rtl w:val="true"/>
        </w:rPr>
        <w:t>"</w:t>
      </w:r>
      <w:r>
        <w:rPr>
          <w:rFonts w:cs="Shofar"/>
          <w:b/>
          <w:b/>
          <w:bCs/>
          <w:u w:val="none"/>
          <w:rtl w:val="true"/>
        </w:rPr>
        <w:t>ן ומהרש</w:t>
      </w:r>
      <w:r>
        <w:rPr>
          <w:rFonts w:cs="Shofar"/>
          <w:b/>
          <w:bCs/>
          <w:u w:val="none"/>
          <w:rtl w:val="true"/>
        </w:rPr>
        <w:t>"</w:t>
      </w:r>
      <w:r>
        <w:rPr>
          <w:rFonts w:cs="Shofar"/>
          <w:b/>
          <w:b/>
          <w:bCs/>
          <w:u w:val="none"/>
          <w:rtl w:val="true"/>
        </w:rPr>
        <w:t>ל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/>
          <w:b/>
          <w:bCs/>
          <w:u w:val="none"/>
          <w:rtl w:val="true"/>
        </w:rPr>
        <w:t>רמב</w:t>
      </w:r>
      <w:r>
        <w:rPr>
          <w:rFonts w:cs="Shofar"/>
          <w:b/>
          <w:bCs/>
          <w:u w:val="none"/>
          <w:rtl w:val="true"/>
        </w:rPr>
        <w:t>"</w:t>
      </w:r>
      <w:r>
        <w:rPr>
          <w:rFonts w:cs="Shofar"/>
          <w:b/>
          <w:b/>
          <w:bCs/>
          <w:u w:val="none"/>
          <w:rtl w:val="true"/>
        </w:rPr>
        <w:t>ן</w:t>
      </w:r>
      <w:r>
        <w:rPr>
          <w:rFonts w:cs="Shofar"/>
          <w:b w:val="false"/>
          <w:b w:val="false"/>
          <w:bCs w:val="false"/>
          <w:u w:val="none"/>
          <w:rtl w:val="true"/>
        </w:rPr>
        <w:t xml:space="preserve"> כ’ שר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u w:val="none"/>
          <w:rtl w:val="true"/>
        </w:rPr>
        <w:t>נ חולק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/>
          <w:b/>
          <w:bCs/>
          <w:u w:val="none"/>
          <w:rtl w:val="true"/>
        </w:rPr>
        <w:t>ר</w:t>
      </w:r>
      <w:r>
        <w:rPr>
          <w:rFonts w:cs="Shofar"/>
          <w:b/>
          <w:bCs/>
          <w:u w:val="none"/>
          <w:rtl w:val="true"/>
        </w:rPr>
        <w:t>"</w:t>
      </w:r>
      <w:r>
        <w:rPr>
          <w:rFonts w:cs="Shofar"/>
          <w:b/>
          <w:b/>
          <w:bCs/>
          <w:u w:val="none"/>
          <w:rtl w:val="true"/>
        </w:rPr>
        <w:t>א</w:t>
      </w:r>
      <w:r>
        <w:rPr>
          <w:rFonts w:cs="Shofar"/>
          <w:b w:val="false"/>
          <w:b w:val="false"/>
          <w:bCs w:val="false"/>
          <w:u w:val="none"/>
          <w:rtl w:val="true"/>
        </w:rPr>
        <w:t xml:space="preserve"> מקשה ל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u w:val="none"/>
          <w:rtl w:val="true"/>
        </w:rPr>
        <w:t>ל יכול לבטל גט אם בא לידה אם מבטל למפרע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u w:val="none"/>
          <w:rtl w:val="true"/>
        </w:rPr>
        <w:t>כ’ שצ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u w:val="none"/>
          <w:rtl w:val="true"/>
        </w:rPr>
        <w:t>ל דבר שעליו חל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u w:val="none"/>
          <w:rtl w:val="true"/>
        </w:rPr>
        <w:t xml:space="preserve">מביא </w:t>
      </w:r>
      <w:r>
        <w:rPr>
          <w:rFonts w:cs="Shofar"/>
          <w:b/>
          <w:b/>
          <w:bCs/>
          <w:u w:val="none"/>
          <w:rtl w:val="true"/>
        </w:rPr>
        <w:t>גמרא בשבועות</w:t>
      </w:r>
      <w:r>
        <w:rPr>
          <w:rFonts w:cs="Shofar"/>
          <w:b w:val="false"/>
          <w:b w:val="false"/>
          <w:bCs w:val="false"/>
          <w:u w:val="none"/>
          <w:rtl w:val="true"/>
        </w:rPr>
        <w:t xml:space="preserve"> שכ’ שחכם רק מתיר אם לא אכל כולו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/>
          <w:b/>
          <w:bCs/>
          <w:u w:val="none"/>
          <w:rtl w:val="true"/>
        </w:rPr>
        <w:t xml:space="preserve">גמרא חולין </w:t>
      </w:r>
      <w:r>
        <w:rPr>
          <w:rFonts w:cs="Shofar"/>
          <w:b w:val="false"/>
          <w:b w:val="false"/>
          <w:bCs w:val="false"/>
          <w:u w:val="none"/>
          <w:rtl w:val="true"/>
        </w:rPr>
        <w:t>כ’ שאין בכור נקדש למפרע אם כבר נאכל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/>
          <w:b/>
          <w:bCs/>
          <w:u w:val="none"/>
          <w:rtl w:val="true"/>
        </w:rPr>
        <w:t>ר</w:t>
      </w:r>
      <w:r>
        <w:rPr>
          <w:rFonts w:cs="Shofar"/>
          <w:b/>
          <w:bCs/>
          <w:u w:val="none"/>
          <w:rtl w:val="true"/>
        </w:rPr>
        <w:t>"</w:t>
      </w:r>
      <w:r>
        <w:rPr>
          <w:rFonts w:cs="Shofar"/>
          <w:b/>
          <w:b/>
          <w:bCs/>
          <w:u w:val="none"/>
          <w:rtl w:val="true"/>
        </w:rPr>
        <w:t>ש</w:t>
      </w:r>
      <w:r>
        <w:rPr>
          <w:rFonts w:cs="Shofar"/>
          <w:b w:val="false"/>
          <w:b w:val="false"/>
          <w:bCs w:val="false"/>
          <w:u w:val="none"/>
          <w:rtl w:val="true"/>
        </w:rPr>
        <w:t xml:space="preserve"> כ’ שכל למפרע הוא רק מכאן ולהבא למפרע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u w:val="none"/>
          <w:rtl w:val="true"/>
        </w:rPr>
        <w:t>אז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צריך להיות דבר שהוא שם</w:t>
      </w:r>
      <w:r>
        <w:rPr>
          <w:rFonts w:cs="Shofar"/>
          <w:b w:val="false"/>
          <w:bCs w:val="false"/>
          <w:u w:val="none"/>
          <w:rtl w:val="true"/>
        </w:rPr>
        <w:t>.</w:t>
      </w:r>
      <w:r>
        <w:rPr>
          <w:rStyle w:val="FootnoteAnchor"/>
          <w:rFonts w:cs="Shofar"/>
          <w:b w:val="false"/>
          <w:bCs w:val="false"/>
          <w:u w:val="none"/>
          <w:rtl w:val="true"/>
        </w:rPr>
        <w:footnoteReference w:id="7"/>
      </w:r>
      <w:r>
        <w:rPr>
          <w:rFonts w:cs="Shofar"/>
          <w:b w:val="false"/>
          <w:bCs w:val="false"/>
          <w:u w:val="non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u w:val="none"/>
          <w:rtl w:val="true"/>
        </w:rPr>
        <w:t>מבאר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אז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למהכ’</w:t>
      </w:r>
      <w:r>
        <w:rPr>
          <w:rFonts w:cs="Shofar"/>
          <w:b/>
          <w:b/>
          <w:bCs/>
          <w:u w:val="none"/>
          <w:rtl w:val="true"/>
        </w:rPr>
        <w:t xml:space="preserve"> רמב</w:t>
      </w:r>
      <w:r>
        <w:rPr>
          <w:rFonts w:cs="Shofar"/>
          <w:b/>
          <w:bCs/>
          <w:u w:val="none"/>
          <w:rtl w:val="true"/>
        </w:rPr>
        <w:t>"</w:t>
      </w:r>
      <w:r>
        <w:rPr>
          <w:rFonts w:cs="Shofar"/>
          <w:b/>
          <w:b/>
          <w:bCs/>
          <w:u w:val="none"/>
          <w:rtl w:val="true"/>
        </w:rPr>
        <w:t>ם</w:t>
      </w:r>
      <w:r>
        <w:rPr>
          <w:rFonts w:cs="Shofar"/>
          <w:b w:val="false"/>
          <w:b w:val="false"/>
          <w:bCs w:val="false"/>
          <w:u w:val="none"/>
          <w:rtl w:val="true"/>
        </w:rPr>
        <w:t xml:space="preserve"> שצריכה לשהות אשה לתנאי להתקיים אף שידוע שיהיה נתקיים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u w:val="none"/>
          <w:rtl w:val="true"/>
        </w:rPr>
        <w:t xml:space="preserve">מבאר שהוא מפני שלא חל למפרע עד שבא הזמן </w:t>
      </w:r>
      <w:r>
        <w:rPr>
          <w:rFonts w:cs="Shofar"/>
          <w:b w:val="false"/>
          <w:bCs w:val="false"/>
          <w:u w:val="none"/>
          <w:rtl w:val="true"/>
        </w:rPr>
        <w:t>(</w:t>
      </w:r>
      <w:r>
        <w:rPr>
          <w:rFonts w:cs="Shofar"/>
          <w:b w:val="false"/>
          <w:b w:val="false"/>
          <w:bCs w:val="false"/>
          <w:u w:val="none"/>
          <w:rtl w:val="true"/>
        </w:rPr>
        <w:t>שהתנאי הוא חלק מן הסיבה</w:t>
      </w:r>
      <w:r>
        <w:rPr>
          <w:rFonts w:cs="Shofar"/>
          <w:b w:val="false"/>
          <w:bCs w:val="false"/>
          <w:u w:val="none"/>
          <w:rtl w:val="true"/>
        </w:rPr>
        <w:t xml:space="preserve">), </w:t>
      </w:r>
      <w:r>
        <w:rPr>
          <w:rFonts w:cs="Shofar"/>
          <w:b w:val="false"/>
          <w:b w:val="false"/>
          <w:bCs w:val="false"/>
          <w:u w:val="none"/>
          <w:rtl w:val="true"/>
        </w:rPr>
        <w:t>שהוא רק מכאן ולהבא למפרע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/>
          <w:b/>
          <w:bCs/>
          <w:u w:val="none"/>
          <w:rtl w:val="true"/>
        </w:rPr>
        <w:t>רשב</w:t>
      </w:r>
      <w:r>
        <w:rPr>
          <w:rFonts w:cs="Shofar"/>
          <w:b/>
          <w:bCs/>
          <w:u w:val="none"/>
          <w:rtl w:val="true"/>
        </w:rPr>
        <w:t>"</w:t>
      </w:r>
      <w:r>
        <w:rPr>
          <w:rFonts w:cs="Shofar"/>
          <w:b/>
          <w:b/>
          <w:bCs/>
          <w:u w:val="none"/>
          <w:rtl w:val="true"/>
        </w:rPr>
        <w:t>א</w:t>
      </w:r>
      <w:r>
        <w:rPr>
          <w:rFonts w:cs="Shofar"/>
          <w:b w:val="false"/>
          <w:b w:val="false"/>
          <w:bCs w:val="false"/>
          <w:u w:val="none"/>
          <w:rtl w:val="true"/>
        </w:rPr>
        <w:t xml:space="preserve"> מדיק משיטת שמואל שבקידושים מכאן ולאחר ל’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שלאחר ל’ יום וקיום התנאי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פקעי קדושי שני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וחלים קדושי ראשון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u w:val="none"/>
          <w:rtl w:val="true"/>
        </w:rPr>
        <w:t>משמע שלא חלים עד אז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u w:val="none"/>
          <w:rtl w:val="true"/>
        </w:rPr>
        <w:t>אז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אי אפשר ליתן גט עד אז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u w:val="none"/>
          <w:rtl w:val="true"/>
        </w:rPr>
        <w:t>לכן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צ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u w:val="none"/>
          <w:rtl w:val="true"/>
        </w:rPr>
        <w:t>ל דבר שם לחול עליו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u w:val="none"/>
          <w:rtl w:val="true"/>
        </w:rPr>
        <w:t>היה אפשר לת’ שאחר שכבר בא לידה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אינו דיבור אלא מעשה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u w:val="none"/>
          <w:rtl w:val="true"/>
        </w:rPr>
        <w:t xml:space="preserve">כן משמע מגמרא שאומר 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u w:val="none"/>
          <w:rtl w:val="true"/>
        </w:rPr>
        <w:t>עד דאתי גיטא לידה דיבור הוא</w:t>
      </w:r>
      <w:r>
        <w:rPr>
          <w:rFonts w:cs="Shofar"/>
          <w:b w:val="false"/>
          <w:bCs w:val="false"/>
          <w:u w:val="none"/>
          <w:rtl w:val="true"/>
        </w:rPr>
        <w:t xml:space="preserve">.” </w:t>
      </w:r>
      <w:r>
        <w:rPr>
          <w:rFonts w:cs="Shofar"/>
          <w:b w:val="false"/>
          <w:b w:val="false"/>
          <w:bCs w:val="false"/>
          <w:u w:val="none"/>
          <w:rtl w:val="true"/>
        </w:rPr>
        <w:t>לשון ריטב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u w:val="none"/>
          <w:rtl w:val="true"/>
        </w:rPr>
        <w:t>א משמע כר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u w:val="none"/>
          <w:rtl w:val="true"/>
        </w:rPr>
        <w:t>א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ולכן אומר שאמר לעדים לכתוב וליתן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u w:val="none"/>
          <w:rtl w:val="true"/>
        </w:rPr>
        <w:t>נראה שהוא מפני שצריך שדבר הוא בעולם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u w:val="none"/>
          <w:rtl w:val="true"/>
        </w:rPr>
        <w:t>אם היה רק שליח על כתיבה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אי אפשר לבטל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שכבר נגמר השליחות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/>
          <w:b/>
          <w:bCs/>
          <w:u w:val="none"/>
          <w:rtl w:val="true"/>
        </w:rPr>
        <w:t>רא</w:t>
      </w:r>
      <w:r>
        <w:rPr>
          <w:rFonts w:cs="Shofar"/>
          <w:b/>
          <w:bCs/>
          <w:u w:val="none"/>
          <w:rtl w:val="true"/>
        </w:rPr>
        <w:t>"</w:t>
      </w:r>
      <w:r>
        <w:rPr>
          <w:rFonts w:cs="Shofar"/>
          <w:b/>
          <w:b/>
          <w:bCs/>
          <w:u w:val="none"/>
          <w:rtl w:val="true"/>
        </w:rPr>
        <w:t xml:space="preserve">ש </w:t>
      </w:r>
      <w:r>
        <w:rPr>
          <w:rFonts w:cs="Shofar"/>
          <w:b w:val="false"/>
          <w:b w:val="false"/>
          <w:bCs w:val="false"/>
          <w:u w:val="none"/>
          <w:rtl w:val="true"/>
        </w:rPr>
        <w:t>בכונס סתם אחר תנאי שבלי מה שאמר בבנ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u w:val="none"/>
          <w:rtl w:val="true"/>
        </w:rPr>
        <w:t>ג וראובן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לומדים שיש כוח בתנאי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שהוא דיבור נגד מעשה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ואין בו אלא חידושו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u w:val="none"/>
          <w:rtl w:val="true"/>
        </w:rPr>
        <w:t>אז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דיברו יכול לבטל דיבור של התנאי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/>
          <w:b/>
          <w:bCs/>
          <w:u w:val="none"/>
          <w:rtl w:val="true"/>
        </w:rPr>
        <w:t>ר</w:t>
      </w:r>
      <w:r>
        <w:rPr>
          <w:rFonts w:cs="Shofar"/>
          <w:b/>
          <w:bCs/>
          <w:u w:val="none"/>
          <w:rtl w:val="true"/>
        </w:rPr>
        <w:t>"</w:t>
      </w:r>
      <w:r>
        <w:rPr>
          <w:rFonts w:cs="Shofar"/>
          <w:b/>
          <w:b/>
          <w:bCs/>
          <w:u w:val="none"/>
          <w:rtl w:val="true"/>
        </w:rPr>
        <w:t>א</w:t>
      </w:r>
      <w:r>
        <w:rPr>
          <w:rFonts w:cs="Shofar"/>
          <w:b w:val="false"/>
          <w:b w:val="false"/>
          <w:bCs w:val="false"/>
          <w:u w:val="none"/>
          <w:rtl w:val="true"/>
        </w:rPr>
        <w:t xml:space="preserve"> כ’ שדנים בתנאים למפרע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u w:val="none"/>
          <w:rtl w:val="true"/>
        </w:rPr>
        <w:t>אם כן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קידושין כבר בטלים ע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u w:val="none"/>
          <w:rtl w:val="true"/>
        </w:rPr>
        <w:t>י תנאי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ואז דיבור כבר חל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ואז צ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u w:val="none"/>
          <w:rtl w:val="true"/>
        </w:rPr>
        <w:t>ל שמבטל למפרע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/>
          <w:b/>
          <w:bCs/>
          <w:u w:val="none"/>
          <w:rtl w:val="true"/>
        </w:rPr>
        <w:t>רשב</w:t>
      </w:r>
      <w:r>
        <w:rPr>
          <w:rFonts w:cs="Shofar"/>
          <w:b/>
          <w:bCs/>
          <w:u w:val="none"/>
          <w:rtl w:val="true"/>
        </w:rPr>
        <w:t>"</w:t>
      </w:r>
      <w:r>
        <w:rPr>
          <w:rFonts w:cs="Shofar"/>
          <w:b/>
          <w:b/>
          <w:bCs/>
          <w:u w:val="none"/>
          <w:rtl w:val="true"/>
        </w:rPr>
        <w:t xml:space="preserve">א </w:t>
      </w:r>
      <w:r>
        <w:rPr>
          <w:rFonts w:cs="Shofar"/>
          <w:b w:val="false"/>
          <w:b w:val="false"/>
          <w:bCs w:val="false"/>
          <w:u w:val="none"/>
          <w:rtl w:val="true"/>
        </w:rPr>
        <w:t>דן במבטל ביטול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u w:val="none"/>
          <w:rtl w:val="true"/>
        </w:rPr>
        <w:t>כ’ שלא שייך ביטול אחר ביטול רק בדיבור המביא לידי מעשה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ולא של ביטול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u w:val="none"/>
          <w:rtl w:val="true"/>
        </w:rPr>
        <w:t>מוכרח שלא סובר כרא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u w:val="none"/>
          <w:rtl w:val="true"/>
        </w:rPr>
        <w:t>ש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שזה ביטול על ביטול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u w:val="none"/>
          <w:rtl w:val="true"/>
        </w:rPr>
        <w:t>אם למפרע הוא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קשה ל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u w:val="none"/>
          <w:rtl w:val="true"/>
        </w:rPr>
        <w:t>ל יוכל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u w:val="none"/>
          <w:rtl w:val="true"/>
        </w:rPr>
        <w:t>צ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u w:val="none"/>
          <w:rtl w:val="true"/>
        </w:rPr>
        <w:t>ל שהוא מכאן ולהבא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ואי אפשר לבטל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אלא צ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u w:val="none"/>
          <w:rtl w:val="true"/>
        </w:rPr>
        <w:t>ל שהוא מכאן ולהבא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וכיון שכבר נתבטל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אי אפשר לעשות שיחול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/>
          <w:b/>
          <w:bCs/>
          <w:u w:val="none"/>
          <w:rtl w:val="true"/>
        </w:rPr>
        <w:t>רשב</w:t>
      </w:r>
      <w:r>
        <w:rPr>
          <w:rFonts w:cs="Shofar"/>
          <w:b/>
          <w:bCs/>
          <w:u w:val="none"/>
          <w:rtl w:val="true"/>
        </w:rPr>
        <w:t>"</w:t>
      </w:r>
      <w:r>
        <w:rPr>
          <w:rFonts w:cs="Shofar"/>
          <w:b/>
          <w:b/>
          <w:bCs/>
          <w:u w:val="none"/>
          <w:rtl w:val="true"/>
        </w:rPr>
        <w:t>א</w:t>
      </w:r>
      <w:r>
        <w:rPr>
          <w:rFonts w:cs="Shofar"/>
          <w:b w:val="false"/>
          <w:b w:val="false"/>
          <w:bCs w:val="false"/>
          <w:u w:val="none"/>
          <w:rtl w:val="true"/>
        </w:rPr>
        <w:t xml:space="preserve"> בחידושיו לא משמע כן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שכ’ באשה שחזרה ואח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u w:val="none"/>
          <w:rtl w:val="true"/>
        </w:rPr>
        <w:t>כ נתרצה שרשב</w:t>
      </w:r>
      <w:r>
        <w:rPr>
          <w:rFonts w:cs="Shofar"/>
          <w:b w:val="false"/>
          <w:bCs w:val="false"/>
          <w:u w:val="none"/>
          <w:rtl w:val="true"/>
        </w:rPr>
        <w:t>"</w:t>
      </w:r>
      <w:r>
        <w:rPr>
          <w:rFonts w:cs="Shofar"/>
          <w:b w:val="false"/>
          <w:b w:val="false"/>
          <w:bCs w:val="false"/>
          <w:u w:val="none"/>
          <w:rtl w:val="true"/>
        </w:rPr>
        <w:t>א לא מהני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u w:val="none"/>
          <w:rtl w:val="true"/>
        </w:rPr>
        <w:t>יש שמדייקים מזה שאם הוא מכאן ולהבא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לא מסתבר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ורק אם הוא למפרע מובן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u w:val="none"/>
          <w:rtl w:val="true"/>
        </w:rPr>
        <w:t>היה אפשר לומר שרק אומר שאין מקור לזה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שכל הענין שדיבור שני חזק מחודש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u w:val="none"/>
          <w:rtl w:val="true"/>
        </w:rPr>
        <w:t>אולי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אז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אי אפשר לעשות על ידי זה חלות</w:t>
      </w:r>
      <w:r>
        <w:rPr>
          <w:rFonts w:cs="Shofar"/>
          <w:b w:val="false"/>
          <w:bCs w:val="false"/>
          <w:u w:val="non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u w:val="none"/>
          <w:rtl w:val="true"/>
        </w:rPr>
        <w:t>אז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אפשר לכל צד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שלא אומר שהמושג של אתי דיבור קשה בעשיית חלות</w:t>
      </w:r>
      <w:r>
        <w:rPr>
          <w:rFonts w:cs="Shofar"/>
          <w:b w:val="false"/>
          <w:bCs w:val="false"/>
          <w:u w:val="non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u w:val="none"/>
          <w:rtl w:val="true"/>
        </w:rPr>
        <w:t>אלא שאין מקור</w:t>
      </w:r>
      <w:r>
        <w:rPr>
          <w:rFonts w:cs="Shofar"/>
          <w:b w:val="false"/>
          <w:bCs w:val="false"/>
          <w:u w:val="none"/>
          <w:rtl w:val="true"/>
        </w:rPr>
        <w:t>.</w:t>
      </w:r>
    </w:p>
    <w:sectPr>
      <w:footnotePr>
        <w:numFmt w:val="decimal"/>
      </w:footnotePr>
      <w:type w:val="nextPage"/>
      <w:pgSz w:w="12240" w:h="15840"/>
      <w:pgMar w:left="360" w:right="360" w:gutter="0" w:header="0" w:top="360" w:footer="0" w:bottom="360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חבורה ראשון הוא ב</w:t>
      </w:r>
      <w:r>
        <w:rPr/>
        <w:t>pdf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הדרך שאמרו הוא שיכולים לדעת שהיה הריצה ריצה שהיה מגלה דעת</w:t>
      </w:r>
      <w:r>
        <w:rPr>
          <w:rtl w:val="true"/>
        </w:rPr>
        <w:t xml:space="preserve">. </w:t>
      </w:r>
      <w:r>
        <w:rPr>
          <w:rtl w:val="true"/>
        </w:rPr>
        <w:t>אמר שאולי הוא רק מפני שאז נמצא שיש יותר פרופורשיין של רצים שמבטלים</w:t>
      </w:r>
      <w:r>
        <w:rPr>
          <w:rtl w:val="true"/>
        </w:rPr>
        <w:t xml:space="preserve">. </w:t>
      </w:r>
      <w:r>
        <w:rPr>
          <w:rtl w:val="true"/>
        </w:rPr>
        <w:t>זה לא יהני</w:t>
      </w:r>
      <w:r>
        <w:rPr>
          <w:rtl w:val="true"/>
        </w:rPr>
        <w:t xml:space="preserve">, </w:t>
      </w:r>
      <w:r>
        <w:rPr>
          <w:rtl w:val="true"/>
        </w:rPr>
        <w:t>שצריך להיות גילוי שאפשר להבין אז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אפשר לומר שמחדש כמה צריך</w:t>
      </w:r>
      <w:r>
        <w:rPr>
          <w:rtl w:val="true"/>
        </w:rPr>
        <w:t>.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אולי יכלו בשאר ציורים רק כיון שמשנה באר בזה</w:t>
      </w:r>
      <w:r>
        <w:rPr>
          <w:rtl w:val="true"/>
        </w:rPr>
        <w:t>.</w:t>
      </w:r>
    </w:p>
  </w:footnote>
  <w:footnote w:id="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דן בזה אם הוא שעשה מעשה בו</w:t>
      </w:r>
      <w:r>
        <w:rPr>
          <w:rtl w:val="true"/>
        </w:rPr>
        <w:t xml:space="preserve">, </w:t>
      </w:r>
      <w:r>
        <w:rPr>
          <w:rtl w:val="true"/>
        </w:rPr>
        <w:t>או שגילה אותו</w:t>
      </w:r>
      <w:r>
        <w:rPr>
          <w:rtl w:val="true"/>
        </w:rPr>
        <w:t>.</w:t>
      </w:r>
    </w:p>
  </w:footnote>
  <w:footnote w:id="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הבנתי למה צריך להיות דבר שם</w:t>
      </w:r>
      <w:r>
        <w:rPr>
          <w:rtl w:val="true"/>
        </w:rPr>
        <w:t xml:space="preserve">, </w:t>
      </w:r>
      <w:r>
        <w:rPr>
          <w:rtl w:val="true"/>
        </w:rPr>
        <w:t>שיאמר שכל התוצאות הם כעין זה</w:t>
      </w:r>
      <w:r>
        <w:rPr>
          <w:rtl w:val="true"/>
        </w:rPr>
        <w:t>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  <w:lang w:val="zxx" w:eastAsia="zxx" w:bidi="zxx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</TotalTime>
  <Application>LibreOffice/7.3.2.2$Windows_X86_64 LibreOffice_project/49f2b1bff42cfccbd8f788c8dc32c1c309559be0</Application>
  <AppVersion>15.0000</AppVersion>
  <Pages>1</Pages>
  <Words>739</Words>
  <Characters>3048</Characters>
  <CharactersWithSpaces>3776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2022-11-13T15:34:39Z</dcterms:created>
  <dc:creator/>
  <dc:description/>
  <dc:language>en-US</dc:language>
  <cp:lastModifiedBy/>
  <dcterms:modified xsi:type="dcterms:W3CDTF">2022-11-24T22:11:25Z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