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bidi="he-IL"/>
        </w:rPr>
        <w:t>בראשית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כתיב שה’ ברא את האדם בצלם אלהים ובדמות דיוקנו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צריך לבאר איך אדם יכול להיות בדמות דיוקנו של ה’ כיון שאין לה’ דמות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נראה לבאר ש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דמות דיוקנו של ה’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 xml:space="preserve">אינו אומר 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הדמות שיש לה’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שאין דמות לה’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אלא רצה לומר דמות דיוקנו של אותו איש של ה’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והוא שכמו שנראה ה’ לו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כן הוא האדם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מי שחושב על ה’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מי שמרגיש ה’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להיות אדון כל ולהיות אלהים ממש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הרי הוא דומה לו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ומקיים מה שאמרו חז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 לדמות לה’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וקונה מדות אלו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להפך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אם אדם חושב על ה’ להיות מי שאינו חנון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אף הוא לא יהיה כן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אז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נמצא שמה שאדם חושב על ה’ יש לו כוח לפעול עליו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</w:rPr>
        <w:t xml:space="preserve">אומר גמרא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ס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</w:rPr>
        <w:t>וטה ש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בא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 xml:space="preserve"> יוסף לבית פוטיפער לחטוא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 xml:space="preserve">רואים מכאן דרשה דומה של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דמות דיוקנו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.” 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נראה לבאר הסיבה שמהות האדם תלוי בחושבו על ה’ שהוא שאם אדם חושב על ה’ להיות מי שאינו חנון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מדה כנגד מידה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לא יתן ה’ אותו מידה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ה’ נוהג עמו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כמו שאמר גבי יוסף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כאילו אינו חנון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ועושה אותו דומה לה’ שאינו חנון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זה מפני שכשחושב על אדם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נעשה כך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center"/>
        <w:rPr>
          <w:lang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bidi="he-IL"/>
        </w:rPr>
        <w:t>נח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נח עסק בבניין התיבה לזמן רב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למאה ועשרים שנה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חז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 מבארים לנו שרצה ה’ שיעסוק לכל כך זמן כיון שאז יראו אותו בני אדם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ישאלו לו מה עושה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ויגידו להם שיהיה מבול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ושצריכים לשוב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קשה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אחרי מאה שנה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לכאורה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ידעו כבר מה עושה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ואז לא יועיל בנינו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נראה לבאר שלא היה רק כדי שיאמר להם שיהיה מבול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אלא כדיש יראו שיש מי שעדיין מנסה להשיב אותם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נמצא שהיה חושב עליהם לבני אדם שיכולים לשוב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כיון שכן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יוכלו לחשוב על עצמם לבני אדם שיכולים לעשות רצון ה’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אז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bidi="he-IL"/>
        </w:rPr>
        <w:t>עדיין היה תקווה שישובו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</w:rPr>
        <w:t xml:space="preserve">אומר גמרא </w:t>
      </w:r>
      <w:r>
        <w:rPr>
          <w:rFonts w:ascii="Shofar" w:hAnsi="Shofar"/>
          <w:sz w:val="24"/>
          <w:sz w:val="24"/>
          <w:szCs w:val="24"/>
          <w:rtl w:val="true"/>
          <w:lang w:bidi="he-IL"/>
        </w:rPr>
        <w:t>ס</w:t>
      </w:r>
      <w:r>
        <w:rPr>
          <w:rFonts w:ascii="Shofar" w:hAnsi="Shofar"/>
          <w:sz w:val="24"/>
          <w:sz w:val="24"/>
          <w:szCs w:val="24"/>
          <w:rtl w:val="true"/>
        </w:rPr>
        <w:t>וטה ש</w:t>
      </w:r>
      <w:r>
        <w:rPr>
          <w:rFonts w:ascii="Shofar" w:hAnsi="Shofar"/>
          <w:sz w:val="24"/>
          <w:sz w:val="24"/>
          <w:szCs w:val="24"/>
          <w:rtl w:val="true"/>
          <w:lang w:bidi="he-IL"/>
        </w:rPr>
        <w:t>בא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 xml:space="preserve">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רואים מכאן יסוד חשוב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: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הכל תלוי באיך אדם חושב על עצמו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חשוב ונצרך הוא לחשוב על אחרים לטוב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שאם יראו איך הוא חושב עליהם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אף הם יחשבו על עצמם כך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ואז יהיו יכולים להתגבר כמו שעשה יוסף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bidi="he-IL"/>
        </w:rPr>
        <w:t>לך לך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אברהם לחם עם ארבעה מלכים והיה יכול לכבוש אותם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 xml:space="preserve">מבאר גמרא בתענית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כא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שהיה לו עפר מיוחד 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,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כשנזרק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היה נהפך לרמחים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קשה איך היה אברהם יכול לבטוח על נס כזה וללחום שלא בדרך הטבע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נראה לבאר שהיה אברהם חושב על עצמו להיות מי שה’ עמו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ומי שה’ לוחם בעדו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כיון שכן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היה בוודאי נוצח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וממש לא היה לו יכולת שלא לנצח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לא היה סומך על הנס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אלא היה פשוט לו שה’ יעזור בעדו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</w:rPr>
        <w:t xml:space="preserve">אומר גמרא </w:t>
      </w:r>
      <w:r>
        <w:rPr>
          <w:rFonts w:ascii="Shofar" w:hAnsi="Shofar"/>
          <w:sz w:val="24"/>
          <w:sz w:val="24"/>
          <w:szCs w:val="24"/>
          <w:rtl w:val="true"/>
          <w:lang w:bidi="he-IL"/>
        </w:rPr>
        <w:t>ס</w:t>
      </w:r>
      <w:r>
        <w:rPr>
          <w:rFonts w:ascii="Shofar" w:hAnsi="Shofar"/>
          <w:sz w:val="24"/>
          <w:sz w:val="24"/>
          <w:szCs w:val="24"/>
          <w:rtl w:val="true"/>
        </w:rPr>
        <w:t>וטה ש</w:t>
      </w:r>
      <w:r>
        <w:rPr>
          <w:rFonts w:ascii="Shofar" w:hAnsi="Shofar"/>
          <w:sz w:val="24"/>
          <w:sz w:val="24"/>
          <w:szCs w:val="24"/>
          <w:rtl w:val="true"/>
          <w:lang w:bidi="he-IL"/>
        </w:rPr>
        <w:t>בא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 xml:space="preserve">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>
          <w:b w:val="false"/>
          <w:b w:val="false"/>
          <w:bCs w:val="false"/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רואים מכאן יסוד חשוב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: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הכל תלוי באיך אדם חושב על עצמו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חשוב ונצרך הוא לחשוב על אחרים לטוב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שאם יראו איך הוא חושב עליהם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אף הם יחשבו על עצמם כך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ואז יהיו יכולים להתגבר כמו שעשה יוסף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center"/>
        <w:rPr/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</w:rPr>
        <w:t>וישב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</w:rPr>
        <w:t xml:space="preserve">אומר גמרא </w:t>
      </w:r>
      <w:r>
        <w:rPr>
          <w:rFonts w:ascii="Shofar" w:hAnsi="Shofar"/>
          <w:sz w:val="24"/>
          <w:sz w:val="24"/>
          <w:szCs w:val="24"/>
          <w:rtl w:val="true"/>
          <w:lang w:bidi="he-IL"/>
        </w:rPr>
        <w:t>ס</w:t>
      </w:r>
      <w:r>
        <w:rPr>
          <w:rFonts w:ascii="Shofar" w:hAnsi="Shofar"/>
          <w:sz w:val="24"/>
          <w:sz w:val="24"/>
          <w:szCs w:val="24"/>
          <w:rtl w:val="true"/>
        </w:rPr>
        <w:t>וטה ש</w:t>
      </w:r>
      <w:r>
        <w:rPr>
          <w:rFonts w:ascii="Shofar" w:hAnsi="Shofar"/>
          <w:sz w:val="24"/>
          <w:sz w:val="24"/>
          <w:szCs w:val="24"/>
          <w:rtl w:val="true"/>
          <w:lang w:bidi="he-IL"/>
        </w:rPr>
        <w:t>בא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 xml:space="preserve">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רואים מכאן יסוד חשוב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: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הכל תלוי באיך אדם חושב על עצמו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לכן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חשוב ונצרך הוא לחשוב על אחרים לטוב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שאם יראו איך הוא חושב עליהם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אף הם יחשבו על עצמם כך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ואז יהיו יכולים להתגבר כמו שעשה יוסף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center"/>
        <w:rPr>
          <w:b/>
          <w:b/>
          <w:bCs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bidi="he-IL"/>
        </w:rPr>
        <w:t>תרומה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יודעים שעל הארון היו כרובים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גמרא מפרש שכרובים היו ציורים של קטנים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והיו מחבקים זה את זה להראות חיבת ה’ לישראל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צריך לבאר למה במקום הכי קדוש ובהראת אהבת ה’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נקט קטנים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נראה לבאר שקטן הוא מי שמגדיל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הוא מי שלא רק די לא להשאר במצבו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אלא רוצה ומנסה להיות יותר גדול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וכמעט בעל כרחו נשתנה ומגדיל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ועוד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שאין קטן מי שהיה לפני שנה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אם היה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לפני שנה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צועק בכל זמן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אולי אחר שנה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יהיה כבר יותר כגדול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ולא יצעוק כלל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 xml:space="preserve">כך אומר הכתוב כשאומר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נער ישראל ואהבו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ישראל הם לעולם גודלים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ולא ממעטים את עצמם מפני מה שחטאו לפני שנה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הכרובים הם קטנים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אומר גמרא סוטה שבא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יש לדון מה ראה אביו ביוסף שגרם שלא היה יוסף חוטא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 xml:space="preserve">נראה לבאר שידע יעקב את יוסף רק כשהיה נער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עד שהיה בן שבעה עשר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נראה שראה יוסף מה שחשב עליו אביו לנער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להיות אדם שהוא לעולם משתנה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ולעולם גודל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כיון שראה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היה יכול להציל את עצמו מחטא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center"/>
        <w:rPr/>
      </w:pPr>
      <w:r>
        <w:rPr>
          <w:rFonts w:ascii="Shofar" w:hAnsi="Shofar"/>
          <w:b/>
          <w:b/>
          <w:bCs/>
          <w:rtl w:val="true"/>
          <w:lang w:bidi="he-IL"/>
        </w:rPr>
        <w:t>קדושים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אומר קרא</w:t>
      </w:r>
      <w:r>
        <w:rPr>
          <w:rFonts w:cs="Shofar" w:ascii="Shofar" w:hAnsi="Shofar"/>
          <w:b w:val="false"/>
          <w:bCs w:val="false"/>
          <w:rtl w:val="true"/>
          <w:lang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ואהבת לרעך כמותך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צריך לבאר מה בכלל מצווה 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נראה לבאר שאין המצווה רק לאהוב את חברך כעצמך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אין זה שייך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שאין אדם יכול לאהוב את אחר כעצמו ממש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אלא נראה שהדרך לקרא קרא זה הוא שאומר שצריך לאהוב את חברך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ואיך עושה כן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?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כמותך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!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תחשב עליו כמו שאתה חושב על חברך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כמו שאדם חושב על עצמו ומכסה פשעיו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כך תחשב על חברך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ואיזה אהבה יש בזה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?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יש אהבה גדולה בזה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שכשאדם חושב עליו לטוב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יחשב חברו על עצמו יותר לטוב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כיון שחושב על עצמו לטוב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bidi="he-IL"/>
        </w:rPr>
        <w:t>יהיה יותר טוב</w:t>
      </w:r>
      <w:r>
        <w:rPr>
          <w:rFonts w:cs="Shofar" w:ascii="Shofar" w:hAnsi="Shofar"/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</w:rPr>
        <w:t>רואים יסוד זה מיוסף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אומר גמרא סוטה שבא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רואים מכאן שמה שאדם חושב על עצמו הוא חשוב מאד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 xml:space="preserve">לא היה יוסף יכול לסלק את עצמו מחטא עד שהיה יכול לחשוב על עצמו 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על ידי דמות דיוקן שלו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שלא היה לו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sz w:val="24"/>
          <w:szCs w:val="24"/>
          <w:lang w:val="en-US" w:bidi="he-IL"/>
        </w:rPr>
      </w:pPr>
      <w:r>
        <w:rPr>
          <w:rFonts w:cs="Shofar" w:ascii="Shofar" w:hAnsi="Shofar"/>
          <w:sz w:val="24"/>
          <w:szCs w:val="24"/>
          <w:rtl w:val="true"/>
          <w:lang w:val="en-US" w:bidi="he-IL"/>
        </w:rPr>
      </w:r>
    </w:p>
    <w:p>
      <w:pPr>
        <w:pStyle w:val="Normal"/>
        <w:bidi w:val="1"/>
        <w:jc w:val="center"/>
        <w:rPr/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</w:rPr>
        <w:t>שלח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</w:rPr>
        <w:t>אמרו מרגלים</w:t>
      </w:r>
      <w:r>
        <w:rPr>
          <w:rFonts w:cs="Shofar" w:ascii="Shofar" w:hAnsi="Shofar"/>
          <w:sz w:val="24"/>
          <w:szCs w:val="24"/>
          <w:rtl w:val="true"/>
          <w:lang w:bidi="he-IL"/>
        </w:rPr>
        <w:t>, “</w:t>
      </w:r>
      <w:r>
        <w:rPr>
          <w:rFonts w:ascii="Shofar" w:hAnsi="Shofar"/>
          <w:sz w:val="24"/>
          <w:sz w:val="24"/>
          <w:szCs w:val="24"/>
          <w:rtl w:val="true"/>
        </w:rPr>
        <w:t>ונהי בעינינו כחגבים</w:t>
      </w:r>
      <w:r>
        <w:rPr>
          <w:rFonts w:cs="Shofar" w:ascii="Shofar" w:hAnsi="Shofar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</w:rPr>
        <w:t>וכן היינו בעיניהם</w:t>
      </w:r>
      <w:r>
        <w:rPr>
          <w:rFonts w:cs="Shofar" w:ascii="Shofar" w:hAnsi="Shofar"/>
          <w:sz w:val="24"/>
          <w:szCs w:val="24"/>
          <w:rtl w:val="true"/>
          <w:lang w:bidi="he-IL"/>
        </w:rPr>
        <w:t xml:space="preserve">.” </w:t>
      </w:r>
      <w:r>
        <w:rPr>
          <w:rFonts w:ascii="Shofar" w:hAnsi="Shofar"/>
          <w:sz w:val="24"/>
          <w:sz w:val="24"/>
          <w:szCs w:val="24"/>
          <w:rtl w:val="true"/>
        </w:rPr>
        <w:t>קשה איך ידעו מה היו בעיני בני ארץ כנען</w:t>
      </w:r>
      <w:r>
        <w:rPr>
          <w:rFonts w:cs="Shofar" w:ascii="Shofar" w:hAnsi="Shofar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</w:rPr>
        <w:t>שמעתי משום גדול הדור אחד</w:t>
      </w:r>
      <w:r>
        <w:rPr>
          <w:rStyle w:val="FootnoteAnchor"/>
          <w:rFonts w:ascii="Shofar" w:hAnsi="Shofar"/>
          <w:sz w:val="24"/>
          <w:sz w:val="24"/>
          <w:szCs w:val="24"/>
          <w:rtl w:val="true"/>
        </w:rPr>
        <w:footnoteReference w:id="2"/>
      </w:r>
      <w:r>
        <w:rPr>
          <w:rFonts w:ascii="Shofar" w:hAnsi="Shofar"/>
          <w:sz w:val="24"/>
          <w:sz w:val="24"/>
          <w:szCs w:val="24"/>
          <w:rtl w:val="true"/>
        </w:rPr>
        <w:t xml:space="preserve"> שתחלת הקרא מפרש סוף הקרא</w:t>
      </w:r>
      <w:r>
        <w:rPr>
          <w:rFonts w:cs="Shofar" w:ascii="Shofar" w:hAnsi="Shofar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</w:rPr>
        <w:t>כיון שהיו בעיניהם כחגבים</w:t>
      </w:r>
      <w:r>
        <w:rPr>
          <w:rFonts w:cs="Shofar" w:ascii="Shofar" w:hAnsi="Shofar"/>
          <w:sz w:val="24"/>
          <w:szCs w:val="24"/>
          <w:rtl w:val="true"/>
          <w:lang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</w:rPr>
        <w:t>חשבו שכן היו בעיני מרגלים</w:t>
      </w:r>
      <w:r>
        <w:rPr>
          <w:rFonts w:cs="Shofar" w:ascii="Shofar" w:hAnsi="Shofar"/>
          <w:sz w:val="24"/>
          <w:szCs w:val="24"/>
          <w:rtl w:val="true"/>
          <w:lang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</w:rPr>
        <w:t>מה שאדם חושב על עצמו חשוב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 xml:space="preserve"> הוא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שגורם איך יחשב על דברים אחרים 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,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על פיהם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איך ינהג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</w:rPr>
        <w:t>רואים יסוד זה מיוסף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אומר גמרא סוטה שבא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רואים מכאן שמה שאדם חושב על חברו עושה שחברו חושב כן על עצמו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ומה שחושב על עצמו חשוב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 xml:space="preserve">לא היה יוסף יכול לסלק את עצמו מחטא עד שהיה יכול לחשוב על עצמו 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על ידי דמות דיוקן שלו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שלא היה לו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center"/>
        <w:rPr/>
      </w:pPr>
      <w:r>
        <w:rPr>
          <w:rFonts w:ascii="Shofar" w:hAnsi="Shofar"/>
          <w:b/>
          <w:b/>
          <w:bCs/>
          <w:rtl w:val="true"/>
          <w:lang w:bidi="he-IL"/>
        </w:rPr>
        <w:t>בלק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  <w:lang w:bidi="he-IL"/>
        </w:rPr>
        <w:t>כשקוראים פרשה זה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חייבים אנחנו להקשות איך היה שבלעם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שזכה לנבואה עצומה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היה איש כל כך רע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ואיך חטא נגד ה’ כל כך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נראה שיש לבאר על לפי קושיא אחרת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 xml:space="preserve">הפסוק קורא לבלעם </w:t>
      </w:r>
      <w:r>
        <w:rPr>
          <w:rFonts w:cs="Shofar" w:ascii="Shofar" w:hAnsi="Shofar"/>
          <w:rtl w:val="true"/>
          <w:lang w:bidi="he-IL"/>
        </w:rPr>
        <w:t>"</w:t>
      </w:r>
      <w:r>
        <w:rPr>
          <w:rFonts w:ascii="Shofar" w:hAnsi="Shofar"/>
          <w:rtl w:val="true"/>
          <w:lang w:bidi="he-IL"/>
        </w:rPr>
        <w:t>שתום עין</w:t>
      </w:r>
      <w:r>
        <w:rPr>
          <w:rFonts w:cs="Shofar" w:ascii="Shofar" w:hAnsi="Shofar"/>
          <w:rtl w:val="true"/>
          <w:lang w:bidi="he-IL"/>
        </w:rPr>
        <w:t xml:space="preserve">,” </w:t>
      </w:r>
      <w:r>
        <w:rPr>
          <w:rFonts w:ascii="Shofar" w:hAnsi="Shofar"/>
          <w:rtl w:val="true"/>
          <w:lang w:bidi="he-IL"/>
        </w:rPr>
        <w:t>שהיה סומא בעין אחד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קשה למה אומר לנו זה</w:t>
      </w:r>
      <w:r>
        <w:rPr>
          <w:rFonts w:cs="Shofar" w:ascii="Shofar" w:hAnsi="Shofar"/>
          <w:rtl w:val="true"/>
          <w:lang w:bidi="he-IL"/>
        </w:rPr>
        <w:t xml:space="preserve">; </w:t>
      </w:r>
      <w:r>
        <w:rPr>
          <w:rFonts w:ascii="Shofar" w:hAnsi="Shofar"/>
          <w:rtl w:val="true"/>
          <w:lang w:bidi="he-IL"/>
        </w:rPr>
        <w:t>מה לנו ביכולתו לראות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  <w:lang w:bidi="he-IL"/>
        </w:rPr>
        <w:t>נראה שלא אומר שהיה ממש סומא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אלא סומא בראיית פרספקטיב שלו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שהיה ראייתו על עצמו סמוי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שלא היה רואת את עצמו לטוב</w:t>
      </w:r>
      <w:r>
        <w:rPr>
          <w:rFonts w:cs="Shofar" w:ascii="Shofar" w:hAnsi="Shofar"/>
          <w:rtl w:val="true"/>
          <w:lang w:bidi="he-IL"/>
        </w:rPr>
        <w:t xml:space="preserve">- </w:t>
      </w:r>
      <w:r>
        <w:rPr>
          <w:rFonts w:ascii="Shofar" w:hAnsi="Shofar"/>
          <w:rtl w:val="true"/>
          <w:lang w:bidi="he-IL"/>
        </w:rPr>
        <w:t>וזהו מה שגרם שהיה כל כך רע</w:t>
      </w:r>
      <w:r>
        <w:rPr>
          <w:rFonts w:cs="Shofar" w:ascii="Shofar" w:hAnsi="Shofar"/>
          <w:rtl w:val="true"/>
          <w:lang w:bidi="he-IL"/>
        </w:rPr>
        <w:t xml:space="preserve">. </w:t>
      </w:r>
      <w:r>
        <w:rPr>
          <w:rFonts w:ascii="Shofar" w:hAnsi="Shofar"/>
          <w:rtl w:val="true"/>
          <w:lang w:bidi="he-IL"/>
        </w:rPr>
        <w:t>אף אם אדם מדבר לשכינה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הוא רק יכול להיות צדיק אם יכול לראות בעצמו טוב</w:t>
      </w:r>
      <w:r>
        <w:rPr>
          <w:rFonts w:cs="Shofar" w:ascii="Shofar" w:hAnsi="Shofar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אומר גמרא סוטה שבא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רואים מכאן שמה שאדם חושב על עצמו חשוב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 xml:space="preserve">לא היה יוסף יכול לסלק את עצמו מחטא עד שהיה יכול לחשוב על עצמו 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על ידי דמות דיוקן שלו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שלא היה לו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  <w:lang w:bidi="he-IL"/>
        </w:rPr>
        <w:t>שופטים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כשזקנים עוסקים בעגלה ערופה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חייבים לומר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ידינו לו שפכו את הדם הזה</w:t>
      </w:r>
      <w:r>
        <w:rPr>
          <w:b w:val="false"/>
          <w:bCs w:val="false"/>
          <w:rtl w:val="true"/>
          <w:lang w:bidi="he-IL"/>
        </w:rPr>
        <w:t xml:space="preserve">.” </w:t>
      </w:r>
      <w:r>
        <w:rPr>
          <w:b w:val="false"/>
          <w:b w:val="false"/>
          <w:bCs w:val="false"/>
          <w:rtl w:val="true"/>
          <w:lang w:bidi="he-IL"/>
        </w:rPr>
        <w:t>קשה מהו ההוה אמינא שהזקנים הרגוהו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באר האלטר מקאלם שהענין הוא שאילו היו מלווים אותו ונותנים לו מזון וצידה לדרך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רואה בעצמו שהוא אדם חשוב כיון שזקני העיר כבדוהו כל כך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כיון שהיה רואה על עצמו חשויבות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היה נהרג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היה בורח או היה רודף את רודפיו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כיון שלא חשבוהו למכובד וחשוב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היה יכול לחשוב כן על עצמו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אומר גמרא סוטה שבא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רואים מכאן שמה שאדם חושב על חברו עושה שחברו חושב כן על עצמו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ומה שחושב על עצמו חשוב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 xml:space="preserve">לא היה יוסף יכול לסלק את עצמו מחטא עד שהיה יכול לחשוב על עצמו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על ידי דמות דיוקן שלו של אביו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שלא היה לו לחטוא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כי תבא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 xml:space="preserve">אומר קרא שקללות של תוכחה באים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תחת אשר לא עבדת את ה’ אלקיך בשמחה ובטוב לבב</w:t>
      </w:r>
      <w:r>
        <w:rPr>
          <w:b w:val="false"/>
          <w:bCs w:val="false"/>
          <w:rtl w:val="true"/>
          <w:lang w:bidi="he-IL"/>
        </w:rPr>
        <w:t xml:space="preserve">.” </w:t>
      </w:r>
      <w:r>
        <w:rPr>
          <w:b w:val="false"/>
          <w:b w:val="false"/>
          <w:bCs w:val="false"/>
          <w:rtl w:val="true"/>
          <w:lang w:bidi="he-IL"/>
        </w:rPr>
        <w:t>קשה איך ייענשו עונש חמורה כזה על עבירה קלה כזה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עשו את המצוות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רק לא עשו אותם בשמחה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רב משה פיינשטין שאל שאלה עצומה</w:t>
      </w:r>
      <w:r>
        <w:rPr>
          <w:b w:val="false"/>
          <w:bCs w:val="false"/>
          <w:rtl w:val="true"/>
          <w:lang w:bidi="he-IL"/>
        </w:rPr>
        <w:t xml:space="preserve">: </w:t>
      </w:r>
      <w:r>
        <w:rPr>
          <w:b w:val="false"/>
          <w:b w:val="false"/>
          <w:bCs w:val="false"/>
          <w:rtl w:val="true"/>
          <w:lang w:bidi="he-IL"/>
        </w:rPr>
        <w:t>ידוע שבאו כמה יהודים לאמריקא ומסרו נפשם בעד שבת ובעד יהדותם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למעשה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היו בניהם לבסוף יהודים דתיים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התנכרו מיד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צריכים לשאול איך זה קרה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באר רב משה שקרה כיון שהיו אביהם שמסרו נפשם כל כך אומרים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איז שבער צו זיין א איד</w:t>
      </w:r>
      <w:r>
        <w:rPr>
          <w:b w:val="false"/>
          <w:bCs w:val="false"/>
          <w:rtl w:val="true"/>
          <w:lang w:bidi="he-IL"/>
        </w:rPr>
        <w:t xml:space="preserve">,” </w:t>
      </w:r>
      <w:r>
        <w:rPr>
          <w:b w:val="false"/>
          <w:b w:val="false"/>
          <w:bCs w:val="false"/>
          <w:rtl w:val="true"/>
          <w:lang w:bidi="he-IL"/>
        </w:rPr>
        <w:t>ולא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איז גשמק צו זיין א איד</w:t>
      </w:r>
      <w:r>
        <w:rPr>
          <w:b w:val="false"/>
          <w:bCs w:val="false"/>
          <w:rtl w:val="true"/>
          <w:lang w:bidi="he-IL"/>
        </w:rPr>
        <w:t xml:space="preserve">.” </w:t>
      </w:r>
      <w:r>
        <w:rPr>
          <w:b w:val="false"/>
          <w:b w:val="false"/>
          <w:bCs w:val="false"/>
          <w:rtl w:val="true"/>
          <w:lang w:bidi="he-IL"/>
        </w:rPr>
        <w:t>כיון שמעו שלא היה שמחה ביהדות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הבנים נתנכרו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על פי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לומר שאם אדם לא עובד את ה’ בשמחה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עומד עבודתו להיבטל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כיון שכן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בני ישראל נענשים על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אומר גמרא סוטה שבא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צריך לבאר איך ראה אותו אביו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נראה לבאר על פי המשך של הגמרא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גמרא ממשיך לומר שאמר לו אותו דמות שאם יחטא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יהיה שמו מחוי מן החושן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קשה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מה לו בזה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אין מצווה להיות החושן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גם לא מסתבר שיוסף הצדיק ירצה בכבוד כזה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נראה שהענין היה שדמותו שהראהו יעקב היה של איש חשק למצוות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איש שהיה שמח במצוות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איש שרצה במצוות לא כיון שצריך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ולא כדי ליטול שכר או כבוד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אלא אך ורק מפני שהם מצוות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כיון שהכיר יוסף שאביו חשב עליו לאיש כזה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אף הוא היה יכול לחשוב על עצמו לאיש כזה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והיה יכול לעמוד כנגד יצרו ושלא לחטוא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center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וילך</w:t>
      </w:r>
    </w:p>
    <w:p>
      <w:pPr>
        <w:pStyle w:val="Normal"/>
        <w:bidi w:val="1"/>
        <w:jc w:val="left"/>
        <w:rPr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כתיב בפסוק</w:t>
      </w:r>
      <w:r>
        <w:rPr>
          <w:b w:val="false"/>
          <w:bCs w:val="false"/>
          <w:rtl w:val="true"/>
          <w:lang w:bidi="he-IL"/>
        </w:rPr>
        <w:t>, ,</w:t>
      </w:r>
      <w:r>
        <w:rPr>
          <w:b w:val="false"/>
          <w:b w:val="false"/>
          <w:bCs w:val="false"/>
          <w:rtl w:val="true"/>
          <w:lang w:bidi="he-IL"/>
        </w:rPr>
        <w:t>ואתה כתבו לכם את השירה הזאת…</w:t>
      </w:r>
      <w:r>
        <w:rPr>
          <w:b w:val="false"/>
          <w:bCs w:val="false"/>
          <w:rtl w:val="true"/>
          <w:lang w:bidi="he-IL"/>
        </w:rPr>
        <w:t xml:space="preserve">.” </w:t>
      </w:r>
      <w:r>
        <w:rPr>
          <w:b w:val="false"/>
          <w:b w:val="false"/>
          <w:bCs w:val="false"/>
          <w:rtl w:val="true"/>
          <w:lang w:bidi="he-IL"/>
        </w:rPr>
        <w:t xml:space="preserve">תמוה הוא למש שינה מלשון יחיד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אתה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 xml:space="preserve">וללשון רבים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לכם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יש להסביר שכל אחד ואחד צריך לכתוב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אומר לשון יחיד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אומר לשון רבים כיון שבכתיבת התורה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ובאמת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בכל קיום התורה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אפשר שרק על ידי מה שבני אדם אחרים חושבים עליו להיות איש שמקיים מצוות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חברו חושב עליו לטוב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ורבו חושב עליו לטוב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ואשתו חושב עליו לטוב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ורק אז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יכול לקיים מצוות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אומר כאן לשון רבים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מקיים מצווה רק מפני שהוא מורכב ממחשבת כמה בני אדם עליו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אומר גמרא סוטה שבא יוסף לבית פוטיפער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בא לו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צריכים אנו לבאר למה לא חטא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מה גרם דמות דיוקנו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יש לבאר שלא ראה דמותו של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אלא ראה דמותו של אביו שלו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והוא שראה איך ראה אביו אותו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ראה אביו אותו לאיש תם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לבחור טוב וירא שמים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כיון שראה שכן חשב עליו אביו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sz w:val="24"/>
          <w:sz w:val="24"/>
          <w:szCs w:val="24"/>
          <w:rtl w:val="true"/>
          <w:lang w:val="en-US" w:bidi="he-IL"/>
        </w:rPr>
        <w:t>היה יכול להתגבר בעצמו שלא לחטוא</w:t>
      </w:r>
      <w:r>
        <w:rPr>
          <w:rFonts w:cs="Shofar" w:ascii="Shofar" w:hAnsi="Shofar"/>
          <w:sz w:val="24"/>
          <w:szCs w:val="24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>
          <w:lang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רואים מכאן שמה שבני אדם חושב על אחד עושה שאותו אחד חושב כן על עצמו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ושרק אז יכול להציל את עצמו מחטא כיוסף הצדיק</w:t>
      </w:r>
      <w:r>
        <w:rPr>
          <w:rFonts w:ascii="Shofar" w:hAnsi="Shofar"/>
          <w:b w:val="false"/>
          <w:bCs w:val="false"/>
          <w:sz w:val="24"/>
          <w:szCs w:val="24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  <w:lang w:bidi="he-IL"/>
        </w:rPr>
        <w:t>ויקהל</w:t>
      </w:r>
      <w:r>
        <w:rPr>
          <w:rFonts w:cs="Shofar" w:ascii="Shofar" w:hAnsi="Shofar"/>
          <w:rtl w:val="true"/>
          <w:lang w:bidi="he-IL"/>
        </w:rPr>
        <w:t xml:space="preserve">- </w:t>
      </w:r>
      <w:r>
        <w:rPr>
          <w:rFonts w:ascii="Shofar" w:hAnsi="Shofar"/>
          <w:rtl w:val="true"/>
          <w:lang w:bidi="he-IL"/>
        </w:rPr>
        <w:t>נדיב לב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  <w:lang w:bidi="he-IL"/>
        </w:rPr>
        <w:t>תרומה</w:t>
      </w:r>
      <w:r>
        <w:rPr>
          <w:rFonts w:cs="Shofar" w:ascii="Shofar" w:hAnsi="Shofar"/>
          <w:rtl w:val="true"/>
          <w:lang w:bidi="he-IL"/>
        </w:rPr>
        <w:t xml:space="preserve">- </w:t>
      </w:r>
      <w:r>
        <w:rPr>
          <w:rFonts w:ascii="Shofar" w:hAnsi="Shofar"/>
          <w:rtl w:val="true"/>
          <w:lang w:bidi="he-IL"/>
        </w:rPr>
        <w:t>כרובים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  <w:lang w:bidi="he-IL"/>
        </w:rPr>
        <w:t>ספירה</w:t>
      </w:r>
      <w:r>
        <w:rPr>
          <w:rFonts w:cs="Shofar" w:ascii="Shofar" w:hAnsi="Shofar"/>
          <w:rtl w:val="true"/>
          <w:lang w:bidi="he-IL"/>
        </w:rPr>
        <w:t xml:space="preserve">- </w:t>
      </w:r>
      <w:r>
        <w:rPr>
          <w:rFonts w:ascii="Shofar" w:hAnsi="Shofar"/>
          <w:rtl w:val="true"/>
          <w:lang w:bidi="he-IL"/>
        </w:rPr>
        <w:t>ר’ ויליג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  <w:lang w:bidi="he-IL"/>
        </w:rPr>
        <w:t>ראה אהרן הטוב בכל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  <w:lang w:bidi="he-IL"/>
        </w:rPr>
        <w:t xml:space="preserve">יונתן של </w:t>
      </w:r>
      <w:r>
        <w:rPr>
          <w:rFonts w:cs="Shofar" w:ascii="Shofar" w:hAnsi="Shofar"/>
          <w:lang w:bidi="he-IL"/>
        </w:rPr>
        <w:t>leader</w:t>
      </w:r>
      <w:r>
        <w:rPr>
          <w:rFonts w:cs="Shofar" w:ascii="Shofar" w:hAnsi="Shofar"/>
          <w:rtl w:val="true"/>
          <w:lang w:bidi="he-IL"/>
        </w:rPr>
        <w:t xml:space="preserve"> (</w:t>
      </w:r>
      <w:r>
        <w:rPr>
          <w:rFonts w:ascii="Shofar" w:hAnsi="Shofar"/>
          <w:rtl w:val="true"/>
          <w:lang w:bidi="he-IL"/>
        </w:rPr>
        <w:t>חטא משה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ויקח רומח</w:t>
      </w:r>
      <w:r>
        <w:rPr>
          <w:rFonts w:cs="Shofar" w:ascii="Shofar" w:hAnsi="Shofar"/>
          <w:rtl w:val="true"/>
          <w:lang w:bidi="he-IL"/>
        </w:rPr>
        <w:t xml:space="preserve">, </w:t>
      </w:r>
      <w:r>
        <w:rPr>
          <w:rFonts w:ascii="Shofar" w:hAnsi="Shofar"/>
          <w:rtl w:val="true"/>
          <w:lang w:bidi="he-IL"/>
        </w:rPr>
        <w:t>אליהו</w:t>
      </w:r>
      <w:r>
        <w:rPr>
          <w:rFonts w:cs="Shofar" w:ascii="Shofar" w:hAnsi="Shofar"/>
          <w:rtl w:val="true"/>
          <w:lang w:bidi="he-IL"/>
        </w:rPr>
        <w:t xml:space="preserve">)- </w:t>
      </w:r>
      <w:r>
        <w:rPr>
          <w:rFonts w:ascii="Shofar" w:hAnsi="Shofar"/>
          <w:rtl w:val="true"/>
          <w:lang w:bidi="he-IL"/>
        </w:rPr>
        <w:t>יהושע היה מיוסף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  <w:lang w:bidi="he-IL"/>
        </w:rPr>
        <w:t>במקום אשר ישחט את העולה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  <w:lang w:bidi="he-IL"/>
        </w:rPr>
        <w:t>אספקלריה המאירה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שלש רגלים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 xml:space="preserve">דיוקנן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bidi="he-IL"/>
        </w:rPr>
        <w:t>ירושלמי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bidi="he-IL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945" w:footer="1134" w:bottom="1693"/>
      <w:pgNumType w:fmt="decimal"/>
      <w:formProt w:val="false"/>
      <w:textDirection w:val="lrTb"/>
      <w:bidi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Shofar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lang w:bidi="he-IL"/>
      </w:rPr>
    </w:pPr>
    <w:r>
      <w:rPr>
        <w:rtl w:val="true"/>
        <w:lang w:bidi="he-IL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cs="Shofar"/>
          <w:rtl w:val="true"/>
          <w:lang w:val="en-US" w:bidi="he-IL"/>
        </w:rPr>
        <w:t xml:space="preserve"> </w:t>
      </w:r>
      <w:r>
        <w:rPr>
          <w:rtl w:val="true"/>
          <w:lang w:val="en-US" w:bidi="he-IL"/>
        </w:rPr>
        <w:t xml:space="preserve">עיין בגמרא פסחים </w:t>
      </w:r>
      <w:r>
        <w:rPr>
          <w:rFonts w:cs="Shofar"/>
          <w:rtl w:val="true"/>
          <w:lang w:val="en-US" w:bidi="he-IL"/>
        </w:rPr>
        <w:t>(</w:t>
      </w:r>
      <w:r>
        <w:rPr>
          <w:rtl w:val="true"/>
          <w:lang w:val="en-US" w:bidi="he-IL"/>
        </w:rPr>
        <w:t>סוף פרק שלישי</w:t>
      </w:r>
      <w:r>
        <w:rPr>
          <w:rFonts w:cs="Shofar"/>
          <w:rtl w:val="true"/>
          <w:lang w:val="en-US" w:bidi="he-IL"/>
        </w:rPr>
        <w:t>).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Yiddishkeit AlefAlefAlef Bold"/>
        <w:spacing w:val="30"/>
        <w:sz w:val="44"/>
        <w:szCs w:val="44"/>
        <w:lang w:bidi="he-IL"/>
      </w:rPr>
    </w:pPr>
    <w:r>
      <w:rPr>
        <w:rFonts w:cs="Yiddishkeit AlefAlefAlef Bold"/>
        <w:spacing w:val="30"/>
        <w:sz w:val="44"/>
        <w:sz w:val="44"/>
        <w:szCs w:val="44"/>
        <w:rtl w:val="true"/>
      </w:rPr>
      <w:t>נכפל במאה</w:t>
    </w:r>
  </w:p>
</w:hdr>
</file>

<file path=word/settings.xml><?xml version="1.0" encoding="utf-8"?>
<w:settings xmlns:w="http://schemas.openxmlformats.org/wordprocessingml/2006/main">
  <w:zoom w:percent="8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/>
    <w:lsdException w:name="Table Grid 2" w:uiPriority="0" w:semiHidden="0" w:unhideWhenUsed="0" w:qFormat="1"/>
    <w:lsdException w:name="Table Grid 3" w:uiPriority="0" w:semiHidden="0" w:unhideWhenUsed="0" w:qFormat="1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 w:qFormat="1"/>
    <w:lsdException w:name="Table Grid 7" w:uiPriority="0" w:semiHidden="0" w:unhideWhenUsed="0" w:qFormat="1"/>
    <w:lsdException w:name="Table Grid 8" w:uiPriority="0" w:semiHidden="0" w:unhideWhenUsed="0" w:qFormat="1"/>
    <w:lsdException w:name="Table List 1" w:uiPriority="0" w:semiHidden="0" w:unhideWhenUsed="0"/>
    <w:lsdException w:name="Table List 2" w:uiPriority="0" w:semiHidden="0" w:unhideWhenUsed="0" w:qFormat="1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 w:qFormat="1"/>
    <w:lsdException w:name="Table Subtle 2" w:uiPriority="0" w:semiHidden="0" w:unhideWhenUsed="0"/>
    <w:lsdException w:name="Table Web 1" w:uiPriority="0" w:semiHidden="0" w:unhideWhenUsed="0" w:qFormat="1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 w:qFormat="1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 w:qFormat="1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 w:qFormat="1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 w:qFormat="1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 w:qFormat="1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 w:qFormat="1"/>
    <w:lsdException w:name="Light Grid Accent 3" w:uiPriority="62" w:semiHidden="0" w:unhideWhenUsed="0"/>
    <w:lsdException w:name="Medium Shading 1 Accent 3" w:uiPriority="63" w:semiHidden="0" w:unhideWhenUsed="0" w:qFormat="1"/>
    <w:lsdException w:name="Medium Shading 2 Accent 3" w:uiPriority="64" w:semiHidden="0" w:unhideWhenUsed="0"/>
    <w:lsdException w:name="Medium List 1 Accent 3" w:uiPriority="65" w:semiHidden="0" w:unhideWhenUsed="0" w:qFormat="1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 w:qFormat="1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 w:qFormat="1"/>
    <w:lsdException w:name="Medium List 1 Accent 6" w:uiPriority="65" w:semiHidden="0" w:unhideWhenUsed="0" w:qFormat="1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 w:qFormat="1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FootnoteCharacters">
    <w:name w:val="Footnote Characters"/>
    <w:basedOn w:val="DefaultParagraphFont"/>
    <w:uiPriority w:val="0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ascii="Times New Roman" w:hAnsi="Times New Roman"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uiPriority w:val="0"/>
    <w:qFormat/>
    <w:pPr>
      <w:suppressLineNumbers/>
    </w:pPr>
    <w:rPr/>
  </w:style>
  <w:style w:type="paragraph" w:styleId="Footnote">
    <w:name w:val="Footnote Text"/>
    <w:basedOn w:val="Normal"/>
    <w:uiPriority w:val="0"/>
    <w:qFormat/>
    <w:pPr>
      <w:bidi w:val="1"/>
      <w:snapToGrid w:val="false"/>
      <w:jc w:val="right"/>
    </w:pPr>
    <w:rPr>
      <w:sz w:val="18"/>
      <w:szCs w:val="18"/>
    </w:rPr>
  </w:style>
  <w:style w:type="paragraph" w:styleId="Header">
    <w:name w:val="Header"/>
    <w:basedOn w:val="HeaderandFooter"/>
    <w:uiPriority w:val="0"/>
    <w:pPr>
      <w:suppressLineNumbers/>
    </w:pPr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שיח שי</Template>
  <TotalTime>58</TotalTime>
  <Application>LibreOffice/7.3.2.2$Windows_X86_64 LibreOffice_project/49f2b1bff42cfccbd8f788c8dc32c1c309559be0</Application>
  <AppVersion>15.0000</AppVersion>
  <Pages>4</Pages>
  <Words>2193</Words>
  <Characters>8553</Characters>
  <CharactersWithSpaces>10688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2022-07-08T19:13:00Z</dcterms:created>
  <dc:creator>User</dc:creator>
  <dc:description/>
  <dc:language>en-US</dc:language>
  <cp:lastModifiedBy/>
  <dcterms:modified xsi:type="dcterms:W3CDTF">2022-11-05T21:48:00Z</dcterms:modified>
  <cp:revision>15</cp:revision>
  <dc:subject/>
  <dc:title>שיח שי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7F05C6D366CF4EDD844F156A6DCEA56D</vt:lpwstr>
  </property>
  <property fmtid="{D5CDD505-2E9C-101B-9397-08002B2CF9AE}" pid="3" name="KSOProductBuildVer">
    <vt:lpwstr>1033-11.2.0.11074</vt:lpwstr>
  </property>
</Properties>
</file>