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center"/>
        <w:rPr/>
      </w:pPr>
      <w:r>
        <w:rPr>
          <w:rtl w:val="true"/>
        </w:rPr>
        <w:t>גנזים</w:t>
      </w:r>
      <w:r>
        <w:rPr>
          <w:rStyle w:val="FootnoteAnchor"/>
          <w:rtl w:val="true"/>
        </w:rPr>
        <w:footnoteReference w:id="2"/>
      </w:r>
    </w:p>
    <w:p>
      <w:pPr>
        <w:pStyle w:val="Normal"/>
        <w:bidi w:val="1"/>
        <w:jc w:val="left"/>
        <w:rPr/>
      </w:pPr>
      <w:r>
        <w:rPr>
          <w:rtl w:val="true"/>
        </w:rPr>
        <w:t>יש לי צד</w:t>
      </w:r>
      <w:r>
        <w:rPr>
          <w:rtl w:val="true"/>
        </w:rPr>
        <w:t xml:space="preserve">- </w:t>
      </w:r>
      <w:r>
        <w:rPr>
          <w:rtl w:val="true"/>
        </w:rPr>
        <w:t>ויש להז</w:t>
      </w:r>
      <w:r>
        <w:rPr>
          <w:rtl w:val="true"/>
        </w:rPr>
        <w:t xml:space="preserve">' </w:t>
      </w:r>
      <w:r>
        <w:rPr>
          <w:rtl w:val="true"/>
        </w:rPr>
        <w:t>זה</w:t>
      </w:r>
      <w:r>
        <w:rPr>
          <w:rtl w:val="true"/>
        </w:rPr>
        <w:t xml:space="preserve">- </w:t>
      </w:r>
      <w:r>
        <w:rPr>
          <w:rtl w:val="true"/>
        </w:rPr>
        <w:t>שנסתם מרבי</w:t>
      </w:r>
      <w:r>
        <w:rPr>
          <w:rtl w:val="true"/>
        </w:rPr>
        <w:t xml:space="preserve">, </w:t>
      </w:r>
      <w:r>
        <w:rPr>
          <w:rtl w:val="true"/>
        </w:rPr>
        <w:t>והל</w:t>
      </w:r>
      <w:r>
        <w:rPr>
          <w:rtl w:val="true"/>
        </w:rPr>
        <w:t xml:space="preserve">' </w:t>
      </w:r>
      <w:r>
        <w:rPr>
          <w:rtl w:val="true"/>
        </w:rPr>
        <w:t>כמותו כיון שנקבלו</w:t>
      </w:r>
      <w:r>
        <w:rPr>
          <w:rtl w:val="true"/>
        </w:rPr>
        <w:t xml:space="preserve">, </w:t>
      </w:r>
      <w:r>
        <w:rPr>
          <w:rtl w:val="true"/>
        </w:rPr>
        <w:t>שנכ</w:t>
      </w:r>
      <w:r>
        <w:rPr>
          <w:rtl w:val="true"/>
        </w:rPr>
        <w:t xml:space="preserve">' </w:t>
      </w:r>
      <w:r>
        <w:rPr>
          <w:rtl w:val="true"/>
        </w:rPr>
        <w:t>בסתם</w:t>
      </w:r>
      <w:r>
        <w:rPr>
          <w:rtl w:val="true"/>
        </w:rPr>
        <w:t xml:space="preserve">.  </w:t>
      </w:r>
      <w:r>
        <w:rPr>
          <w:rtl w:val="true"/>
        </w:rPr>
        <w:t>גם י</w:t>
      </w:r>
      <w:r>
        <w:rPr>
          <w:rtl w:val="true"/>
        </w:rPr>
        <w:t>"</w:t>
      </w:r>
      <w:r>
        <w:rPr>
          <w:rtl w:val="true"/>
        </w:rPr>
        <w:t>ל שהל</w:t>
      </w:r>
      <w:r>
        <w:rPr>
          <w:rtl w:val="true"/>
        </w:rPr>
        <w:t xml:space="preserve">' </w:t>
      </w:r>
      <w:r>
        <w:rPr>
          <w:rtl w:val="true"/>
        </w:rPr>
        <w:t>כמותם כיון שיש חשש שיהא בני אדם נוהגים כן</w:t>
      </w:r>
      <w:r>
        <w:rPr>
          <w:rtl w:val="true"/>
        </w:rPr>
        <w:t xml:space="preserve">, </w:t>
      </w:r>
      <w:r>
        <w:rPr>
          <w:rtl w:val="true"/>
        </w:rPr>
        <w:t>ובוודאי לא יעשה שה</w:t>
      </w:r>
      <w:r>
        <w:rPr>
          <w:rtl w:val="true"/>
        </w:rPr>
        <w:t xml:space="preserve">' </w:t>
      </w:r>
      <w:r>
        <w:rPr>
          <w:rtl w:val="true"/>
        </w:rPr>
        <w:t>יטעם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אין יום הכיפורים על לאו</w:t>
      </w:r>
      <w:r>
        <w:rPr>
          <w:rtl w:val="true"/>
        </w:rPr>
        <w:t xml:space="preserve">, </w:t>
      </w:r>
      <w:r>
        <w:rPr>
          <w:rtl w:val="true"/>
        </w:rPr>
        <w:t>ואז גמרא כריתות גבי אשם תלוי קשה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רומיים לא מצאו</w:t>
      </w:r>
      <w:r>
        <w:rPr>
          <w:rtl w:val="true"/>
        </w:rPr>
        <w:t xml:space="preserve">- </w:t>
      </w:r>
      <w:r>
        <w:rPr>
          <w:rtl w:val="true"/>
        </w:rPr>
        <w:t>אולי מקום קבורה ראשונה</w:t>
      </w:r>
      <w:r>
        <w:rPr>
          <w:rStyle w:val="FootnoteAnchor"/>
          <w:rtl w:val="true"/>
        </w:rPr>
        <w:footnoteReference w:id="3"/>
      </w:r>
    </w:p>
    <w:p>
      <w:pPr>
        <w:pStyle w:val="Normal"/>
        <w:bidi w:val="1"/>
        <w:jc w:val="left"/>
        <w:rPr/>
      </w:pPr>
      <w:r>
        <w:rPr>
          <w:rtl w:val="true"/>
        </w:rPr>
        <w:t>דוד לא מוחל למשה</w:t>
      </w:r>
      <w:r>
        <w:rPr>
          <w:rStyle w:val="FootnoteAnchor"/>
          <w:rtl w:val="true"/>
        </w:rPr>
        <w:footnoteReference w:id="4"/>
      </w:r>
    </w:p>
    <w:p>
      <w:pPr>
        <w:pStyle w:val="Normal"/>
        <w:bidi w:val="1"/>
        <w:jc w:val="left"/>
        <w:rPr/>
      </w:pPr>
      <w:r>
        <w:rPr>
          <w:rtl w:val="true"/>
        </w:rPr>
        <w:t>נקרא רבי ורצה נקרא רבי ולא מצא</w:t>
      </w:r>
    </w:p>
    <w:p>
      <w:pPr>
        <w:pStyle w:val="Normal"/>
        <w:bidi w:val="1"/>
        <w:jc w:val="left"/>
        <w:rPr/>
      </w:pPr>
      <w:r>
        <w:rPr>
          <w:rtl w:val="true"/>
        </w:rPr>
        <w:t>רב אשי כתובות סט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רק נעשה בכור </w:t>
      </w:r>
      <w:r>
        <w:rPr>
          <w:rtl w:val="true"/>
        </w:rPr>
        <w:t>(</w:t>
      </w:r>
      <w:r>
        <w:rPr>
          <w:rtl w:val="true"/>
        </w:rPr>
        <w:t>עיקר</w:t>
      </w:r>
      <w:r>
        <w:rPr>
          <w:rtl w:val="true"/>
        </w:rPr>
        <w:t xml:space="preserve">) </w:t>
      </w:r>
      <w:r>
        <w:rPr>
          <w:rtl w:val="true"/>
        </w:rPr>
        <w:t>לאחר זמן</w:t>
      </w:r>
      <w:r>
        <w:rPr>
          <w:rtl w:val="true"/>
        </w:rPr>
        <w:t>)</w:t>
      </w:r>
    </w:p>
    <w:p>
      <w:pPr>
        <w:pStyle w:val="Normal"/>
        <w:bidi w:val="1"/>
        <w:jc w:val="left"/>
        <w:rPr/>
      </w:pPr>
      <w:r>
        <w:rPr>
          <w:rtl w:val="true"/>
        </w:rPr>
        <w:t>כלל ופרט</w:t>
      </w:r>
      <w:r>
        <w:rPr>
          <w:rtl w:val="true"/>
        </w:rPr>
        <w:t xml:space="preserve">- </w:t>
      </w:r>
      <w:r>
        <w:rPr>
          <w:rtl w:val="true"/>
        </w:rPr>
        <w:t>רשי שבועות ז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אומר גמרא שאומר שה</w:t>
      </w:r>
      <w:r>
        <w:rPr>
          <w:rtl w:val="true"/>
        </w:rPr>
        <w:t xml:space="preserve">' </w:t>
      </w:r>
      <w:r>
        <w:rPr>
          <w:rtl w:val="true"/>
        </w:rPr>
        <w:t xml:space="preserve">בעל הקדש </w:t>
      </w:r>
      <w:r>
        <w:rPr>
          <w:rtl w:val="true"/>
        </w:rPr>
        <w:t>(</w:t>
      </w:r>
      <w:r>
        <w:rPr>
          <w:rtl w:val="true"/>
        </w:rPr>
        <w:t>אין פריה ורביה</w:t>
      </w:r>
      <w:r>
        <w:rPr>
          <w:rtl w:val="true"/>
        </w:rPr>
        <w:t>.... )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אבא בר רב חייא בר אבא </w:t>
      </w:r>
      <w:r>
        <w:rPr>
          <w:rtl w:val="true"/>
        </w:rPr>
        <w:t>(</w:t>
      </w:r>
      <w:r>
        <w:rPr>
          <w:rtl w:val="true"/>
        </w:rPr>
        <w:t>ע</w:t>
      </w:r>
      <w:r>
        <w:rPr>
          <w:rtl w:val="true"/>
        </w:rPr>
        <w:t>"</w:t>
      </w:r>
      <w:r>
        <w:rPr>
          <w:rtl w:val="true"/>
        </w:rPr>
        <w:t>ז יג</w:t>
      </w:r>
      <w:r>
        <w:rPr>
          <w:rtl w:val="true"/>
        </w:rPr>
        <w:t>:)</w:t>
      </w:r>
    </w:p>
    <w:p>
      <w:pPr>
        <w:pStyle w:val="Normal"/>
        <w:bidi w:val="1"/>
        <w:jc w:val="left"/>
        <w:rPr/>
      </w:pPr>
      <w:r>
        <w:rPr>
          <w:rtl w:val="true"/>
        </w:rPr>
        <w:t>לא מעלים גוי</w:t>
      </w:r>
      <w:r>
        <w:rPr>
          <w:rtl w:val="true"/>
        </w:rPr>
        <w:t xml:space="preserve">- </w:t>
      </w:r>
      <w:r>
        <w:rPr>
          <w:rtl w:val="true"/>
        </w:rPr>
        <w:t>מניחים שהוא גזל</w:t>
      </w:r>
      <w:r>
        <w:rPr>
          <w:rtl w:val="true"/>
        </w:rPr>
        <w:t xml:space="preserve">, </w:t>
      </w:r>
      <w:r>
        <w:rPr>
          <w:rtl w:val="true"/>
        </w:rPr>
        <w:t>וחייב מיתה</w:t>
      </w:r>
      <w:r>
        <w:rPr>
          <w:rtl w:val="true"/>
        </w:rPr>
        <w:t xml:space="preserve">? </w:t>
      </w:r>
      <w:r>
        <w:rPr>
          <w:rtl w:val="true"/>
        </w:rPr>
        <w:t>עיין רשי סנהדרין</w:t>
      </w:r>
      <w:r>
        <w:rPr>
          <w:rtl w:val="true"/>
        </w:rPr>
        <w:t xml:space="preserve">. </w:t>
      </w:r>
      <w:r>
        <w:rPr>
          <w:rtl w:val="true"/>
        </w:rPr>
        <w:t>יש לדון אם ע</w:t>
      </w:r>
      <w:r>
        <w:rPr>
          <w:rtl w:val="true"/>
        </w:rPr>
        <w:t>"</w:t>
      </w:r>
      <w:r>
        <w:rPr>
          <w:rtl w:val="true"/>
        </w:rPr>
        <w:t>ז קאי</w:t>
      </w:r>
      <w:r>
        <w:rPr>
          <w:rtl w:val="true"/>
        </w:rPr>
        <w:t xml:space="preserve">. </w:t>
      </w:r>
      <w:r>
        <w:rPr>
          <w:rtl w:val="true"/>
        </w:rPr>
        <w:t>יש להעיר שעבד מניחים כן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מש</w:t>
      </w:r>
      <w:r>
        <w:rPr>
          <w:rtl w:val="true"/>
        </w:rPr>
        <w:t>"</w:t>
      </w:r>
      <w:r>
        <w:rPr>
          <w:rtl w:val="true"/>
        </w:rPr>
        <w:t>א תוס</w:t>
      </w:r>
      <w:r>
        <w:rPr>
          <w:rtl w:val="true"/>
        </w:rPr>
        <w:t xml:space="preserve">' </w:t>
      </w:r>
      <w:r>
        <w:rPr>
          <w:rtl w:val="true"/>
        </w:rPr>
        <w:t>יכו</w:t>
      </w:r>
      <w:r>
        <w:rPr>
          <w:rtl w:val="true"/>
        </w:rPr>
        <w:t>"</w:t>
      </w:r>
      <w:r>
        <w:rPr>
          <w:rtl w:val="true"/>
        </w:rPr>
        <w:t>ל חילוק בין זה לקידושין</w:t>
      </w:r>
      <w:r>
        <w:rPr>
          <w:rtl w:val="true"/>
        </w:rPr>
        <w:t>.</w:t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bidi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אלו דברים שרשמתי ב</w:t>
      </w:r>
      <w:r>
        <w:rPr>
          <w:rtl w:val="true"/>
        </w:rPr>
        <w:t>"</w:t>
      </w:r>
      <w:r>
        <w:rPr>
          <w:rtl w:val="true"/>
        </w:rPr>
        <w:t>נוט</w:t>
      </w:r>
      <w:r>
        <w:rPr>
          <w:rtl w:val="true"/>
        </w:rPr>
        <w:t>"</w:t>
      </w:r>
      <w:r>
        <w:rPr>
          <w:rtl w:val="true"/>
        </w:rPr>
        <w:t>ס</w:t>
      </w:r>
      <w:r>
        <w:rPr>
          <w:rtl w:val="true"/>
        </w:rPr>
        <w:t xml:space="preserve">" </w:t>
      </w:r>
      <w:r>
        <w:rPr>
          <w:rtl w:val="true"/>
        </w:rPr>
        <w:t>במהירות</w:t>
      </w:r>
      <w:r>
        <w:rPr>
          <w:rtl w:val="true"/>
        </w:rPr>
        <w:t xml:space="preserve">, </w:t>
      </w:r>
      <w:r>
        <w:rPr>
          <w:rtl w:val="true"/>
        </w:rPr>
        <w:t>ואין אני יודע כל כך מה אומרים</w:t>
      </w:r>
      <w:r>
        <w:rPr>
          <w:rtl w:val="true"/>
        </w:rPr>
        <w:t xml:space="preserve">, </w:t>
      </w:r>
      <w:r>
        <w:rPr>
          <w:rtl w:val="true"/>
        </w:rPr>
        <w:t>בכל פעם</w:t>
      </w:r>
      <w:r>
        <w:rPr>
          <w:rtl w:val="true"/>
        </w:rPr>
        <w:t>.</w:t>
      </w:r>
    </w:p>
  </w:footnote>
  <w:footnote w:id="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קאי על מה שראיתי בספר אחד</w:t>
      </w:r>
      <w:r>
        <w:rPr>
          <w:rtl w:val="true"/>
        </w:rPr>
        <w:t xml:space="preserve">, </w:t>
      </w:r>
      <w:r>
        <w:rPr>
          <w:rtl w:val="true"/>
        </w:rPr>
        <w:t>שאחר קבורת משה היה נכנס עצמו לא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.</w:t>
      </w:r>
    </w:p>
  </w:footnote>
  <w:footnote w:id="4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שייך לאותו ענין</w:t>
      </w:r>
      <w:r>
        <w:rPr>
          <w:rtl w:val="true"/>
        </w:rPr>
        <w:t xml:space="preserve">. </w:t>
      </w:r>
      <w:r>
        <w:rPr>
          <w:rtl w:val="true"/>
        </w:rPr>
        <w:t>מכוון לגמרא בסוף פסחים</w:t>
      </w:r>
      <w:r>
        <w:rPr>
          <w:rtl w:val="true"/>
        </w:rPr>
        <w:t>.</w:t>
      </w:r>
    </w:p>
  </w:footnote>
</w:footnotes>
</file>

<file path=word/settings.xml><?xml version="1.0" encoding="utf-8"?>
<w:settings xmlns:w="http://schemas.openxmlformats.org/wordprocessingml/2006/main">
  <w:zoom w:percent="12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Shofar"/>
        <w:kern w:val="2"/>
        <w:sz w:val="24"/>
        <w:szCs w:val="24"/>
        <w:lang w:val="en-US" w:eastAsia="zh-CN" w:bidi="he-IL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Shofar"/>
      <w:color w:val="auto"/>
      <w:kern w:val="2"/>
      <w:sz w:val="24"/>
      <w:szCs w:val="24"/>
      <w:lang w:val="en-US" w:eastAsia="zh-CN" w:bidi="he-IL"/>
    </w:rPr>
  </w:style>
  <w:style w:type="character" w:styleId="FootnoteCharacters">
    <w:name w:val="Footnote Characters"/>
    <w:qFormat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Times New Roman" w:hAnsi="Times New Roman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Times New Roman" w:hAnsi="Times New Roman"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Shofar"/>
      <w:lang w:val="zxx" w:eastAsia="zxx" w:bidi="zxx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LibreOffice/7.3.2.2$Windows_X86_64 LibreOffice_project/49f2b1bff42cfccbd8f788c8dc32c1c309559be0</Application>
  <AppVersion>15.0000</AppVersion>
  <Pages>1</Pages>
  <Words>159</Words>
  <Characters>631</Characters>
  <CharactersWithSpaces>775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2023-01-22T17:29:24Z</dcterms:created>
  <dc:creator/>
  <dc:description/>
  <dc:language>en-US</dc:language>
  <cp:lastModifiedBy/>
  <dcterms:modified xsi:type="dcterms:W3CDTF">2023-01-22T17:34:38Z</dcterms:modified>
  <cp:revision>1</cp:revision>
  <dc:subject/>
  <dc:title/>
</cp:coreProperties>
</file>