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15EE" w14:textId="326E4516" w:rsidR="00883523" w:rsidRPr="00D906F5" w:rsidRDefault="00883523" w:rsidP="00883523">
      <w:pPr>
        <w:pStyle w:val="Heading1"/>
        <w:bidi/>
        <w:rPr>
          <w:rFonts w:asciiTheme="majorBidi" w:hAnsiTheme="majorBidi"/>
          <w:b/>
          <w:bCs/>
          <w:color w:val="auto"/>
          <w:sz w:val="24"/>
          <w:szCs w:val="24"/>
          <w:rtl/>
        </w:rPr>
      </w:pPr>
      <w:r w:rsidRPr="00D906F5">
        <w:rPr>
          <w:rFonts w:asciiTheme="majorBidi" w:hAnsiTheme="majorBidi"/>
          <w:b/>
          <w:bCs/>
          <w:color w:val="auto"/>
          <w:sz w:val="24"/>
          <w:szCs w:val="24"/>
          <w:rtl/>
        </w:rPr>
        <w:t>ציורי איסור:</w:t>
      </w:r>
    </w:p>
    <w:p w14:paraId="4F2C71EA" w14:textId="57D09626" w:rsidR="004629F5" w:rsidRPr="00D906F5" w:rsidRDefault="004629F5" w:rsidP="00883523">
      <w:pPr>
        <w:bidi/>
        <w:rPr>
          <w:rFonts w:asciiTheme="majorBidi" w:hAnsiTheme="majorBidi" w:cstheme="majorBidi"/>
          <w:rtl/>
        </w:rPr>
      </w:pPr>
      <w:r w:rsidRPr="00D906F5">
        <w:rPr>
          <w:rFonts w:asciiTheme="majorBidi" w:hAnsiTheme="majorBidi" w:cstheme="majorBidi"/>
          <w:rtl/>
        </w:rPr>
        <w:t>ש"ך –</w:t>
      </w:r>
    </w:p>
    <w:p w14:paraId="5207A417" w14:textId="242F98B4" w:rsidR="004629F5" w:rsidRPr="00D906F5" w:rsidRDefault="004629F5" w:rsidP="004629F5">
      <w:pPr>
        <w:bidi/>
        <w:rPr>
          <w:rFonts w:asciiTheme="majorBidi" w:hAnsiTheme="majorBidi" w:cstheme="majorBidi"/>
          <w:rtl/>
        </w:rPr>
      </w:pPr>
      <w:r w:rsidRPr="00D906F5">
        <w:rPr>
          <w:rFonts w:asciiTheme="majorBidi" w:hAnsiTheme="majorBidi" w:cstheme="majorBidi"/>
          <w:rtl/>
        </w:rPr>
        <w:t xml:space="preserve">רשב"א (וכן הלכה) – יש </w:t>
      </w:r>
      <w:r w:rsidR="00886BBC" w:rsidRPr="00D906F5">
        <w:rPr>
          <w:rFonts w:asciiTheme="majorBidi" w:hAnsiTheme="majorBidi" w:cstheme="majorBidi"/>
          <w:rtl/>
        </w:rPr>
        <w:t>חמש</w:t>
      </w:r>
      <w:r w:rsidRPr="00D906F5">
        <w:rPr>
          <w:rFonts w:asciiTheme="majorBidi" w:hAnsiTheme="majorBidi" w:cstheme="majorBidi"/>
          <w:rtl/>
        </w:rPr>
        <w:t xml:space="preserve"> ציורים שבו אסור:</w:t>
      </w:r>
    </w:p>
    <w:p w14:paraId="39D45F8F" w14:textId="150D644D" w:rsidR="004629F5" w:rsidRPr="00D906F5" w:rsidRDefault="004629F5" w:rsidP="004629F5">
      <w:pPr>
        <w:pStyle w:val="ListParagraph"/>
        <w:numPr>
          <w:ilvl w:val="0"/>
          <w:numId w:val="1"/>
        </w:numPr>
        <w:bidi/>
        <w:rPr>
          <w:rFonts w:asciiTheme="majorBidi" w:hAnsiTheme="majorBidi" w:cstheme="majorBidi"/>
        </w:rPr>
      </w:pPr>
      <w:r w:rsidRPr="00D906F5">
        <w:rPr>
          <w:rFonts w:asciiTheme="majorBidi" w:hAnsiTheme="majorBidi" w:cstheme="majorBidi"/>
          <w:rtl/>
        </w:rPr>
        <w:t>אם ניתן בו דבר לח</w:t>
      </w:r>
      <w:r w:rsidRPr="00D906F5">
        <w:rPr>
          <w:rStyle w:val="FootnoteReference"/>
          <w:rFonts w:asciiTheme="majorBidi" w:hAnsiTheme="majorBidi" w:cstheme="majorBidi"/>
          <w:rtl/>
        </w:rPr>
        <w:footnoteReference w:id="1"/>
      </w:r>
      <w:r w:rsidRPr="00D906F5">
        <w:rPr>
          <w:rFonts w:asciiTheme="majorBidi" w:hAnsiTheme="majorBidi" w:cstheme="majorBidi"/>
          <w:rtl/>
        </w:rPr>
        <w:t>, אפילו אם הדבר היה צונן</w:t>
      </w:r>
      <w:r w:rsidR="006970FD" w:rsidRPr="00D906F5">
        <w:rPr>
          <w:rFonts w:asciiTheme="majorBidi" w:hAnsiTheme="majorBidi" w:cstheme="majorBidi"/>
          <w:rtl/>
        </w:rPr>
        <w:t xml:space="preserve"> (אף לא מלוח וכבוש)</w:t>
      </w:r>
      <w:r w:rsidR="006970FD" w:rsidRPr="00D906F5">
        <w:rPr>
          <w:rStyle w:val="FootnoteReference"/>
          <w:rFonts w:asciiTheme="majorBidi" w:hAnsiTheme="majorBidi" w:cstheme="majorBidi"/>
          <w:rtl/>
        </w:rPr>
        <w:footnoteReference w:id="2"/>
      </w:r>
      <w:r w:rsidR="006970FD" w:rsidRPr="00D906F5">
        <w:rPr>
          <w:rFonts w:asciiTheme="majorBidi" w:hAnsiTheme="majorBidi" w:cstheme="majorBidi"/>
          <w:rtl/>
        </w:rPr>
        <w:t>, אפילו באיסור חמץ</w:t>
      </w:r>
      <w:r w:rsidR="006970FD" w:rsidRPr="00D906F5">
        <w:rPr>
          <w:rStyle w:val="FootnoteReference"/>
          <w:rFonts w:asciiTheme="majorBidi" w:hAnsiTheme="majorBidi" w:cstheme="majorBidi"/>
          <w:rtl/>
        </w:rPr>
        <w:footnoteReference w:id="3"/>
      </w:r>
      <w:r w:rsidR="006970FD" w:rsidRPr="00D906F5">
        <w:rPr>
          <w:rFonts w:asciiTheme="majorBidi" w:hAnsiTheme="majorBidi" w:cstheme="majorBidi"/>
          <w:rtl/>
        </w:rPr>
        <w:t>, אם הכלי לא הודח ולא קונח, אפילו אם אינו כלי חרס</w:t>
      </w:r>
      <w:r w:rsidR="006970FD" w:rsidRPr="00D906F5">
        <w:rPr>
          <w:rStyle w:val="FootnoteReference"/>
          <w:rFonts w:asciiTheme="majorBidi" w:hAnsiTheme="majorBidi" w:cstheme="majorBidi"/>
          <w:rtl/>
        </w:rPr>
        <w:footnoteReference w:id="4"/>
      </w:r>
      <w:r w:rsidR="006970FD" w:rsidRPr="00D906F5">
        <w:rPr>
          <w:rFonts w:asciiTheme="majorBidi" w:hAnsiTheme="majorBidi" w:cstheme="majorBidi"/>
          <w:rtl/>
        </w:rPr>
        <w:t>, אפילו אם אינו בן יומו</w:t>
      </w:r>
      <w:r w:rsidR="006970FD" w:rsidRPr="00D906F5">
        <w:rPr>
          <w:rStyle w:val="FootnoteReference"/>
          <w:rFonts w:asciiTheme="majorBidi" w:hAnsiTheme="majorBidi" w:cstheme="majorBidi"/>
          <w:rtl/>
        </w:rPr>
        <w:footnoteReference w:id="5"/>
      </w:r>
      <w:r w:rsidR="006B595A" w:rsidRPr="00D906F5">
        <w:rPr>
          <w:rFonts w:asciiTheme="majorBidi" w:hAnsiTheme="majorBidi" w:cstheme="majorBidi"/>
          <w:rtl/>
        </w:rPr>
        <w:t xml:space="preserve">, </w:t>
      </w:r>
      <w:r w:rsidR="00B674FA" w:rsidRPr="00D906F5">
        <w:rPr>
          <w:rFonts w:asciiTheme="majorBidi" w:hAnsiTheme="majorBidi" w:cstheme="majorBidi"/>
          <w:rtl/>
        </w:rPr>
        <w:t>אפילו אם ה</w:t>
      </w:r>
      <w:r w:rsidR="006B595A" w:rsidRPr="00D906F5">
        <w:rPr>
          <w:rFonts w:asciiTheme="majorBidi" w:hAnsiTheme="majorBidi" w:cstheme="majorBidi"/>
          <w:rtl/>
        </w:rPr>
        <w:t xml:space="preserve">אוכל שני היה </w:t>
      </w:r>
      <w:r w:rsidR="00B674FA" w:rsidRPr="00D906F5">
        <w:rPr>
          <w:rFonts w:asciiTheme="majorBidi" w:hAnsiTheme="majorBidi" w:cstheme="majorBidi"/>
          <w:rtl/>
        </w:rPr>
        <w:t>יבש</w:t>
      </w:r>
      <w:r w:rsidR="006B595A" w:rsidRPr="00D906F5">
        <w:rPr>
          <w:rStyle w:val="FootnoteReference"/>
          <w:rFonts w:asciiTheme="majorBidi" w:hAnsiTheme="majorBidi" w:cstheme="majorBidi"/>
          <w:rtl/>
        </w:rPr>
        <w:footnoteReference w:id="6"/>
      </w:r>
      <w:r w:rsidR="00B674FA" w:rsidRPr="00D906F5">
        <w:rPr>
          <w:rFonts w:asciiTheme="majorBidi" w:hAnsiTheme="majorBidi" w:cstheme="majorBidi"/>
          <w:rtl/>
        </w:rPr>
        <w:t>, אפילו אם אוכל שני לא היה חריף</w:t>
      </w:r>
      <w:r w:rsidR="00B674FA" w:rsidRPr="00D906F5">
        <w:rPr>
          <w:rStyle w:val="FootnoteReference"/>
          <w:rFonts w:asciiTheme="majorBidi" w:hAnsiTheme="majorBidi" w:cstheme="majorBidi"/>
          <w:rtl/>
        </w:rPr>
        <w:footnoteReference w:id="7"/>
      </w:r>
      <w:r w:rsidR="00B674FA" w:rsidRPr="00D906F5">
        <w:rPr>
          <w:rFonts w:asciiTheme="majorBidi" w:hAnsiTheme="majorBidi" w:cstheme="majorBidi"/>
          <w:rtl/>
        </w:rPr>
        <w:t>, אפילו אם אוכל שני לא היה חם</w:t>
      </w:r>
      <w:r w:rsidR="00B674FA" w:rsidRPr="00D906F5">
        <w:rPr>
          <w:rStyle w:val="FootnoteReference"/>
          <w:rFonts w:asciiTheme="majorBidi" w:hAnsiTheme="majorBidi" w:cstheme="majorBidi"/>
          <w:rtl/>
        </w:rPr>
        <w:footnoteReference w:id="8"/>
      </w:r>
      <w:r w:rsidR="00B674FA" w:rsidRPr="00D906F5">
        <w:rPr>
          <w:rFonts w:asciiTheme="majorBidi" w:hAnsiTheme="majorBidi" w:cstheme="majorBidi"/>
          <w:rtl/>
        </w:rPr>
        <w:t>, אפילו אם משתמש בו עראי</w:t>
      </w:r>
      <w:r w:rsidR="00B674FA" w:rsidRPr="00D906F5">
        <w:rPr>
          <w:rStyle w:val="FootnoteReference"/>
          <w:rFonts w:asciiTheme="majorBidi" w:hAnsiTheme="majorBidi" w:cstheme="majorBidi"/>
          <w:rtl/>
        </w:rPr>
        <w:footnoteReference w:id="9"/>
      </w:r>
      <w:r w:rsidR="00B674FA" w:rsidRPr="00D906F5">
        <w:rPr>
          <w:rFonts w:asciiTheme="majorBidi" w:hAnsiTheme="majorBidi" w:cstheme="majorBidi"/>
          <w:rtl/>
        </w:rPr>
        <w:t>.</w:t>
      </w:r>
    </w:p>
    <w:p w14:paraId="59C9F931" w14:textId="1791BFDE" w:rsidR="004629F5" w:rsidRPr="00D906F5" w:rsidRDefault="0030561C" w:rsidP="004629F5">
      <w:pPr>
        <w:pStyle w:val="ListParagraph"/>
        <w:numPr>
          <w:ilvl w:val="0"/>
          <w:numId w:val="1"/>
        </w:numPr>
        <w:bidi/>
        <w:rPr>
          <w:rFonts w:asciiTheme="majorBidi" w:hAnsiTheme="majorBidi" w:cstheme="majorBidi"/>
        </w:rPr>
      </w:pPr>
      <w:r w:rsidRPr="00D906F5">
        <w:rPr>
          <w:rFonts w:asciiTheme="majorBidi" w:hAnsiTheme="majorBidi" w:cstheme="majorBidi"/>
          <w:rtl/>
        </w:rPr>
        <w:t>אם ניתן בו אפילו דבר יבש</w:t>
      </w:r>
      <w:r w:rsidRPr="00D906F5">
        <w:rPr>
          <w:rStyle w:val="FootnoteReference"/>
          <w:rFonts w:asciiTheme="majorBidi" w:hAnsiTheme="majorBidi" w:cstheme="majorBidi"/>
          <w:rtl/>
        </w:rPr>
        <w:footnoteReference w:id="10"/>
      </w:r>
      <w:r w:rsidRPr="00D906F5">
        <w:rPr>
          <w:rFonts w:asciiTheme="majorBidi" w:hAnsiTheme="majorBidi" w:cstheme="majorBidi"/>
          <w:rtl/>
        </w:rPr>
        <w:t>, אם ניתן בו בבית שאור, חמין, או מלוח וכבוש</w:t>
      </w:r>
      <w:r w:rsidRPr="00D906F5">
        <w:rPr>
          <w:rStyle w:val="FootnoteReference"/>
          <w:rFonts w:asciiTheme="majorBidi" w:hAnsiTheme="majorBidi" w:cstheme="majorBidi"/>
          <w:rtl/>
        </w:rPr>
        <w:footnoteReference w:id="11"/>
      </w:r>
      <w:r w:rsidR="006B51DB" w:rsidRPr="00D906F5">
        <w:rPr>
          <w:rFonts w:asciiTheme="majorBidi" w:hAnsiTheme="majorBidi" w:cstheme="majorBidi"/>
          <w:rtl/>
        </w:rPr>
        <w:t>, אפילו באיסור חמץ, אפילו אם הכלי קונח או הודח</w:t>
      </w:r>
      <w:r w:rsidR="006B51DB" w:rsidRPr="00D906F5">
        <w:rPr>
          <w:rStyle w:val="FootnoteReference"/>
          <w:rFonts w:asciiTheme="majorBidi" w:hAnsiTheme="majorBidi" w:cstheme="majorBidi"/>
          <w:rtl/>
        </w:rPr>
        <w:footnoteReference w:id="12"/>
      </w:r>
      <w:r w:rsidR="006B51DB" w:rsidRPr="00D906F5">
        <w:rPr>
          <w:rFonts w:asciiTheme="majorBidi" w:hAnsiTheme="majorBidi" w:cstheme="majorBidi"/>
          <w:rtl/>
        </w:rPr>
        <w:t>, אפילו שלא בכלי חרס, אפילו אם אינו בן יומו, אם האוכל שני היה לח, ואם האוכל שני היה חריף, אפילו אם אוכל שני היה צונן</w:t>
      </w:r>
      <w:r w:rsidR="006B51DB" w:rsidRPr="00D906F5">
        <w:rPr>
          <w:rStyle w:val="FootnoteReference"/>
          <w:rFonts w:asciiTheme="majorBidi" w:hAnsiTheme="majorBidi" w:cstheme="majorBidi"/>
          <w:rtl/>
        </w:rPr>
        <w:footnoteReference w:id="13"/>
      </w:r>
      <w:r w:rsidR="006B51DB" w:rsidRPr="00D906F5">
        <w:rPr>
          <w:rFonts w:asciiTheme="majorBidi" w:hAnsiTheme="majorBidi" w:cstheme="majorBidi"/>
          <w:rtl/>
        </w:rPr>
        <w:t>, אפילו אם משתמש בו עראי.</w:t>
      </w:r>
    </w:p>
    <w:p w14:paraId="0D0A41EB" w14:textId="5BB8F0A5" w:rsidR="006B51DB" w:rsidRPr="00D906F5" w:rsidRDefault="006B51DB" w:rsidP="006B51DB">
      <w:pPr>
        <w:pStyle w:val="ListParagraph"/>
        <w:numPr>
          <w:ilvl w:val="0"/>
          <w:numId w:val="1"/>
        </w:numPr>
        <w:bidi/>
        <w:rPr>
          <w:rFonts w:asciiTheme="majorBidi" w:hAnsiTheme="majorBidi" w:cstheme="majorBidi"/>
        </w:rPr>
      </w:pPr>
      <w:r w:rsidRPr="00D906F5">
        <w:rPr>
          <w:rFonts w:asciiTheme="majorBidi" w:hAnsiTheme="majorBidi" w:cstheme="majorBidi"/>
          <w:rtl/>
        </w:rPr>
        <w:t>אם ניתן בו דבר יבש, אם ניתן בו בבית שאור, חמין, או מלוח וכבוש</w:t>
      </w:r>
      <w:r w:rsidR="00051E36" w:rsidRPr="00D906F5">
        <w:rPr>
          <w:rStyle w:val="FootnoteReference"/>
          <w:rFonts w:asciiTheme="majorBidi" w:hAnsiTheme="majorBidi" w:cstheme="majorBidi"/>
          <w:rtl/>
        </w:rPr>
        <w:footnoteReference w:id="14"/>
      </w:r>
      <w:r w:rsidRPr="00D906F5">
        <w:rPr>
          <w:rFonts w:asciiTheme="majorBidi" w:hAnsiTheme="majorBidi" w:cstheme="majorBidi"/>
          <w:rtl/>
        </w:rPr>
        <w:t>, אפילו באיסור חמץ, אפילו אם הכלי קונח או הודח</w:t>
      </w:r>
      <w:r w:rsidRPr="00D906F5">
        <w:rPr>
          <w:rStyle w:val="FootnoteReference"/>
          <w:rFonts w:asciiTheme="majorBidi" w:hAnsiTheme="majorBidi" w:cstheme="majorBidi"/>
          <w:rtl/>
        </w:rPr>
        <w:footnoteReference w:id="15"/>
      </w:r>
      <w:r w:rsidRPr="00D906F5">
        <w:rPr>
          <w:rFonts w:asciiTheme="majorBidi" w:hAnsiTheme="majorBidi" w:cstheme="majorBidi"/>
          <w:rtl/>
        </w:rPr>
        <w:t xml:space="preserve">, </w:t>
      </w:r>
      <w:r w:rsidR="00051E36" w:rsidRPr="00D906F5">
        <w:rPr>
          <w:rFonts w:asciiTheme="majorBidi" w:hAnsiTheme="majorBidi" w:cstheme="majorBidi"/>
          <w:rtl/>
        </w:rPr>
        <w:t>בכלי חרס, אפילו אם אינו בן יומו</w:t>
      </w:r>
      <w:r w:rsidR="00051E36" w:rsidRPr="00D906F5">
        <w:rPr>
          <w:rStyle w:val="FootnoteReference"/>
          <w:rFonts w:asciiTheme="majorBidi" w:hAnsiTheme="majorBidi" w:cstheme="majorBidi"/>
          <w:rtl/>
        </w:rPr>
        <w:footnoteReference w:id="16"/>
      </w:r>
      <w:r w:rsidR="00051E36" w:rsidRPr="00D906F5">
        <w:rPr>
          <w:rFonts w:asciiTheme="majorBidi" w:hAnsiTheme="majorBidi" w:cstheme="majorBidi"/>
          <w:rtl/>
        </w:rPr>
        <w:t>, אם האוכל שני לח</w:t>
      </w:r>
      <w:r w:rsidR="00051E36" w:rsidRPr="00D906F5">
        <w:rPr>
          <w:rStyle w:val="FootnoteReference"/>
          <w:rFonts w:asciiTheme="majorBidi" w:hAnsiTheme="majorBidi" w:cstheme="majorBidi"/>
          <w:rtl/>
        </w:rPr>
        <w:footnoteReference w:id="17"/>
      </w:r>
      <w:r w:rsidR="00051E36" w:rsidRPr="00D906F5">
        <w:rPr>
          <w:rFonts w:asciiTheme="majorBidi" w:hAnsiTheme="majorBidi" w:cstheme="majorBidi"/>
          <w:rtl/>
        </w:rPr>
        <w:t>, אפילו אם האוכל שני אינו חריף, אפילו אם אוכל שני צונן, אפילו אם משתמש בו עראי.</w:t>
      </w:r>
    </w:p>
    <w:p w14:paraId="2C7CF97F" w14:textId="301F3DBE" w:rsidR="00051E36" w:rsidRPr="00D906F5" w:rsidRDefault="00051E36" w:rsidP="00051E36">
      <w:pPr>
        <w:pStyle w:val="ListParagraph"/>
        <w:numPr>
          <w:ilvl w:val="0"/>
          <w:numId w:val="1"/>
        </w:numPr>
        <w:bidi/>
        <w:rPr>
          <w:rFonts w:asciiTheme="majorBidi" w:hAnsiTheme="majorBidi" w:cstheme="majorBidi"/>
        </w:rPr>
      </w:pPr>
      <w:r w:rsidRPr="00D906F5">
        <w:rPr>
          <w:rFonts w:asciiTheme="majorBidi" w:hAnsiTheme="majorBidi" w:cstheme="majorBidi"/>
          <w:rtl/>
        </w:rPr>
        <w:t xml:space="preserve">אם ניתן בו </w:t>
      </w:r>
      <w:r w:rsidR="00B74E03" w:rsidRPr="00D906F5">
        <w:rPr>
          <w:rFonts w:asciiTheme="majorBidi" w:hAnsiTheme="majorBidi" w:cstheme="majorBidi"/>
          <w:rtl/>
        </w:rPr>
        <w:t xml:space="preserve"> אפילו </w:t>
      </w:r>
      <w:r w:rsidRPr="00D906F5">
        <w:rPr>
          <w:rFonts w:asciiTheme="majorBidi" w:hAnsiTheme="majorBidi" w:cstheme="majorBidi"/>
          <w:rtl/>
        </w:rPr>
        <w:t>דבר יבש, אם ניתן בו בבית שאור, חמין, או מלוח וכבוש, אפילו באיסור ח</w:t>
      </w:r>
      <w:r w:rsidR="005755BA" w:rsidRPr="00D906F5">
        <w:rPr>
          <w:rFonts w:asciiTheme="majorBidi" w:hAnsiTheme="majorBidi" w:cstheme="majorBidi"/>
          <w:rtl/>
        </w:rPr>
        <w:t>מ</w:t>
      </w:r>
      <w:r w:rsidRPr="00D906F5">
        <w:rPr>
          <w:rFonts w:asciiTheme="majorBidi" w:hAnsiTheme="majorBidi" w:cstheme="majorBidi"/>
          <w:rtl/>
        </w:rPr>
        <w:t>ץ, אפילו אם הכלי קונח או הודח</w:t>
      </w:r>
      <w:r w:rsidRPr="00D906F5">
        <w:rPr>
          <w:rStyle w:val="FootnoteReference"/>
          <w:rFonts w:asciiTheme="majorBidi" w:hAnsiTheme="majorBidi" w:cstheme="majorBidi"/>
          <w:rtl/>
        </w:rPr>
        <w:footnoteReference w:id="18"/>
      </w:r>
      <w:r w:rsidRPr="00D906F5">
        <w:rPr>
          <w:rFonts w:asciiTheme="majorBidi" w:hAnsiTheme="majorBidi" w:cstheme="majorBidi"/>
          <w:rtl/>
        </w:rPr>
        <w:t>, אפילו שלא בכלי חרס, א</w:t>
      </w:r>
      <w:r w:rsidR="00886BBC" w:rsidRPr="00D906F5">
        <w:rPr>
          <w:rFonts w:asciiTheme="majorBidi" w:hAnsiTheme="majorBidi" w:cstheme="majorBidi"/>
          <w:rtl/>
        </w:rPr>
        <w:t>ם הוא בן יומו</w:t>
      </w:r>
      <w:r w:rsidRPr="00D906F5">
        <w:rPr>
          <w:rStyle w:val="FootnoteReference"/>
          <w:rFonts w:asciiTheme="majorBidi" w:hAnsiTheme="majorBidi" w:cstheme="majorBidi"/>
          <w:rtl/>
        </w:rPr>
        <w:footnoteReference w:id="19"/>
      </w:r>
      <w:r w:rsidR="00886BBC" w:rsidRPr="00D906F5">
        <w:rPr>
          <w:rFonts w:asciiTheme="majorBidi" w:hAnsiTheme="majorBidi" w:cstheme="majorBidi"/>
          <w:rtl/>
        </w:rPr>
        <w:t>, אפילו אם אוכל שני יבש, אפילו אם אוכל שני לא היה חריף, אם אוכל שני חם</w:t>
      </w:r>
      <w:r w:rsidR="00886BBC" w:rsidRPr="00D906F5">
        <w:rPr>
          <w:rStyle w:val="FootnoteReference"/>
          <w:rFonts w:asciiTheme="majorBidi" w:hAnsiTheme="majorBidi" w:cstheme="majorBidi"/>
          <w:rtl/>
        </w:rPr>
        <w:footnoteReference w:id="20"/>
      </w:r>
      <w:r w:rsidR="00886BBC" w:rsidRPr="00D906F5">
        <w:rPr>
          <w:rFonts w:asciiTheme="majorBidi" w:hAnsiTheme="majorBidi" w:cstheme="majorBidi"/>
          <w:rtl/>
        </w:rPr>
        <w:t>, אפילו אם משתמש בו עראי.</w:t>
      </w:r>
    </w:p>
    <w:p w14:paraId="4C4DBEA8" w14:textId="37129298" w:rsidR="00886BBC" w:rsidRPr="00D906F5" w:rsidRDefault="00886BBC" w:rsidP="00886BBC">
      <w:pPr>
        <w:pStyle w:val="ListParagraph"/>
        <w:numPr>
          <w:ilvl w:val="0"/>
          <w:numId w:val="1"/>
        </w:numPr>
        <w:bidi/>
        <w:rPr>
          <w:rFonts w:asciiTheme="majorBidi" w:hAnsiTheme="majorBidi" w:cstheme="majorBidi"/>
        </w:rPr>
      </w:pPr>
      <w:r w:rsidRPr="00D906F5">
        <w:rPr>
          <w:rFonts w:asciiTheme="majorBidi" w:hAnsiTheme="majorBidi" w:cstheme="majorBidi"/>
          <w:rtl/>
        </w:rPr>
        <w:t>באותו אופן שאסור אם אוכל שני חם, אסור להשתמש בו בקביעות אם אוכל שני צונן, מגזירה שישתמש בו כשהוא חם.</w:t>
      </w:r>
    </w:p>
    <w:p w14:paraId="2397A09A" w14:textId="2E62CF78" w:rsidR="00886BBC" w:rsidRPr="00D906F5" w:rsidRDefault="00886BBC" w:rsidP="00886BBC">
      <w:pPr>
        <w:bidi/>
        <w:rPr>
          <w:rFonts w:asciiTheme="majorBidi" w:hAnsiTheme="majorBidi" w:cstheme="majorBidi"/>
          <w:rtl/>
        </w:rPr>
      </w:pPr>
      <w:r w:rsidRPr="00D906F5">
        <w:rPr>
          <w:rFonts w:asciiTheme="majorBidi" w:hAnsiTheme="majorBidi" w:cstheme="majorBidi"/>
          <w:rtl/>
        </w:rPr>
        <w:lastRenderedPageBreak/>
        <w:t>לפי הש"ך, כשאסר בעה"ע לתת בכלי של איסור דבר של היתר שאין דרכו להדיח, כוונתו היה לאסור ציור ראשון.</w:t>
      </w:r>
    </w:p>
    <w:p w14:paraId="56F49297" w14:textId="0ED04F2E" w:rsidR="00896DBB" w:rsidRPr="00D906F5" w:rsidRDefault="00896DBB" w:rsidP="00896DBB">
      <w:pPr>
        <w:bidi/>
        <w:rPr>
          <w:rFonts w:asciiTheme="majorBidi" w:hAnsiTheme="majorBidi" w:cstheme="majorBidi"/>
          <w:rtl/>
        </w:rPr>
      </w:pPr>
      <w:r w:rsidRPr="00D906F5">
        <w:rPr>
          <w:rFonts w:asciiTheme="majorBidi" w:hAnsiTheme="majorBidi" w:cstheme="majorBidi"/>
          <w:rtl/>
        </w:rPr>
        <w:t>לפי הרמב"ם, מצאנו עוד ציור שאסור:</w:t>
      </w:r>
    </w:p>
    <w:p w14:paraId="2E33EDC9" w14:textId="3F0C5974" w:rsidR="00883523" w:rsidRPr="00D906F5" w:rsidRDefault="00896DBB" w:rsidP="00883523">
      <w:pPr>
        <w:pStyle w:val="ListParagraph"/>
        <w:numPr>
          <w:ilvl w:val="0"/>
          <w:numId w:val="3"/>
        </w:numPr>
        <w:bidi/>
        <w:rPr>
          <w:rFonts w:asciiTheme="majorBidi" w:hAnsiTheme="majorBidi" w:cstheme="majorBidi"/>
        </w:rPr>
      </w:pPr>
      <w:r w:rsidRPr="00D906F5">
        <w:rPr>
          <w:rFonts w:asciiTheme="majorBidi" w:hAnsiTheme="majorBidi" w:cstheme="majorBidi"/>
          <w:rtl/>
        </w:rPr>
        <w:t>אפילו אם דבר ראשון יבש, אם ניתן בבית שאור, חמין, או מלוח וכבוש, אפילו באיסור חמץ, אפילו אם הדיח, אפילו אם אינו בן יומו, אפילו אם אוכל שני יבש</w:t>
      </w:r>
      <w:r w:rsidRPr="00D906F5">
        <w:rPr>
          <w:rStyle w:val="FootnoteReference"/>
          <w:rFonts w:asciiTheme="majorBidi" w:hAnsiTheme="majorBidi" w:cstheme="majorBidi"/>
          <w:rtl/>
        </w:rPr>
        <w:footnoteReference w:id="21"/>
      </w:r>
      <w:r w:rsidR="00883523" w:rsidRPr="00D906F5">
        <w:rPr>
          <w:rFonts w:asciiTheme="majorBidi" w:hAnsiTheme="majorBidi" w:cstheme="majorBidi"/>
          <w:rtl/>
        </w:rPr>
        <w:t>, אפילו אם אוכל שני לא חריף</w:t>
      </w:r>
      <w:r w:rsidR="00883523" w:rsidRPr="00D906F5">
        <w:rPr>
          <w:rStyle w:val="FootnoteReference"/>
          <w:rFonts w:asciiTheme="majorBidi" w:hAnsiTheme="majorBidi" w:cstheme="majorBidi"/>
          <w:rtl/>
        </w:rPr>
        <w:footnoteReference w:id="22"/>
      </w:r>
      <w:r w:rsidR="00883523" w:rsidRPr="00D906F5">
        <w:rPr>
          <w:rFonts w:asciiTheme="majorBidi" w:hAnsiTheme="majorBidi" w:cstheme="majorBidi"/>
          <w:rtl/>
        </w:rPr>
        <w:t>, אפילו אם אוכל שני לא חם, אפילו אם משתמשים בו עראי.</w:t>
      </w:r>
    </w:p>
    <w:p w14:paraId="074BCFE0" w14:textId="6BF91F21" w:rsidR="00886BBC" w:rsidRPr="00D906F5" w:rsidRDefault="00886BBC" w:rsidP="00886BBC">
      <w:pPr>
        <w:bidi/>
        <w:rPr>
          <w:rFonts w:asciiTheme="majorBidi" w:hAnsiTheme="majorBidi" w:cstheme="majorBidi"/>
          <w:rtl/>
        </w:rPr>
      </w:pPr>
      <w:r w:rsidRPr="00D906F5">
        <w:rPr>
          <w:rFonts w:asciiTheme="majorBidi" w:hAnsiTheme="majorBidi" w:cstheme="majorBidi"/>
          <w:rtl/>
        </w:rPr>
        <w:t xml:space="preserve">ט"ז- יש </w:t>
      </w:r>
      <w:r w:rsidR="00896DBB" w:rsidRPr="00D906F5">
        <w:rPr>
          <w:rFonts w:asciiTheme="majorBidi" w:hAnsiTheme="majorBidi" w:cstheme="majorBidi"/>
          <w:rtl/>
        </w:rPr>
        <w:t>שני</w:t>
      </w:r>
      <w:r w:rsidRPr="00D906F5">
        <w:rPr>
          <w:rFonts w:asciiTheme="majorBidi" w:hAnsiTheme="majorBidi" w:cstheme="majorBidi"/>
          <w:rtl/>
        </w:rPr>
        <w:t xml:space="preserve"> ציורים שאוסר:</w:t>
      </w:r>
    </w:p>
    <w:p w14:paraId="00BA0DA5" w14:textId="1A93C9A9" w:rsidR="00886BBC" w:rsidRPr="00D906F5" w:rsidRDefault="00886BBC" w:rsidP="00886BBC">
      <w:pPr>
        <w:pStyle w:val="ListParagraph"/>
        <w:numPr>
          <w:ilvl w:val="0"/>
          <w:numId w:val="2"/>
        </w:numPr>
        <w:bidi/>
        <w:rPr>
          <w:rFonts w:asciiTheme="majorBidi" w:hAnsiTheme="majorBidi" w:cstheme="majorBidi"/>
        </w:rPr>
      </w:pPr>
      <w:r w:rsidRPr="00D906F5">
        <w:rPr>
          <w:rFonts w:asciiTheme="majorBidi" w:hAnsiTheme="majorBidi" w:cstheme="majorBidi"/>
          <w:rtl/>
        </w:rPr>
        <w:t>אפילו אם דבר ראשון יבש</w:t>
      </w:r>
      <w:r w:rsidRPr="00D906F5">
        <w:rPr>
          <w:rStyle w:val="FootnoteReference"/>
          <w:rFonts w:asciiTheme="majorBidi" w:hAnsiTheme="majorBidi" w:cstheme="majorBidi"/>
          <w:rtl/>
        </w:rPr>
        <w:footnoteReference w:id="23"/>
      </w:r>
      <w:r w:rsidR="005755BA" w:rsidRPr="00D906F5">
        <w:rPr>
          <w:rFonts w:asciiTheme="majorBidi" w:hAnsiTheme="majorBidi" w:cstheme="majorBidi"/>
          <w:rtl/>
        </w:rPr>
        <w:t xml:space="preserve">, אפילו אם נתן בצונן, </w:t>
      </w:r>
      <w:r w:rsidR="00474AD7" w:rsidRPr="00D906F5">
        <w:rPr>
          <w:rFonts w:asciiTheme="majorBidi" w:hAnsiTheme="majorBidi" w:cstheme="majorBidi"/>
          <w:rtl/>
        </w:rPr>
        <w:t>אפילו באיסור חמץ, אם הכלי לא נקי</w:t>
      </w:r>
      <w:r w:rsidR="00474AD7" w:rsidRPr="00D906F5">
        <w:rPr>
          <w:rStyle w:val="FootnoteReference"/>
          <w:rFonts w:asciiTheme="majorBidi" w:hAnsiTheme="majorBidi" w:cstheme="majorBidi"/>
          <w:rtl/>
        </w:rPr>
        <w:footnoteReference w:id="24"/>
      </w:r>
      <w:r w:rsidR="00474AD7" w:rsidRPr="00D906F5">
        <w:rPr>
          <w:rFonts w:asciiTheme="majorBidi" w:hAnsiTheme="majorBidi" w:cstheme="majorBidi"/>
          <w:rtl/>
        </w:rPr>
        <w:t>, אפילו שלא בכלי חרס, אפילו אם אינו בן יומו, אפילו אם אוכל שני יבש</w:t>
      </w:r>
      <w:r w:rsidR="00474AD7" w:rsidRPr="00D906F5">
        <w:rPr>
          <w:rStyle w:val="FootnoteReference"/>
          <w:rFonts w:asciiTheme="majorBidi" w:hAnsiTheme="majorBidi" w:cstheme="majorBidi"/>
          <w:rtl/>
        </w:rPr>
        <w:footnoteReference w:id="25"/>
      </w:r>
      <w:r w:rsidR="00474AD7" w:rsidRPr="00D906F5">
        <w:rPr>
          <w:rFonts w:asciiTheme="majorBidi" w:hAnsiTheme="majorBidi" w:cstheme="majorBidi"/>
          <w:rtl/>
        </w:rPr>
        <w:t>, אפילו אם אוכל שני לא חריף, אפילו אם אוכל שני לא חם, אפילו אם משתמשים בו עראי. סובר שאין בזה חידוש.</w:t>
      </w:r>
    </w:p>
    <w:p w14:paraId="2AB2E26E" w14:textId="231485F4" w:rsidR="000E3C2D" w:rsidRPr="00D906F5" w:rsidRDefault="00691786" w:rsidP="00896DBB">
      <w:pPr>
        <w:pStyle w:val="ListParagraph"/>
        <w:numPr>
          <w:ilvl w:val="0"/>
          <w:numId w:val="2"/>
        </w:numPr>
        <w:bidi/>
        <w:rPr>
          <w:rFonts w:asciiTheme="majorBidi" w:hAnsiTheme="majorBidi" w:cstheme="majorBidi"/>
        </w:rPr>
      </w:pPr>
      <w:r w:rsidRPr="00D906F5">
        <w:rPr>
          <w:rFonts w:asciiTheme="majorBidi" w:hAnsiTheme="majorBidi" w:cstheme="majorBidi"/>
          <w:rtl/>
        </w:rPr>
        <w:t>אפילו אם דבר ראשון יבש,</w:t>
      </w:r>
      <w:r w:rsidR="004B4E5C" w:rsidRPr="00D906F5">
        <w:rPr>
          <w:rFonts w:asciiTheme="majorBidi" w:hAnsiTheme="majorBidi" w:cstheme="majorBidi"/>
          <w:rtl/>
        </w:rPr>
        <w:t xml:space="preserve"> אם נתן בבית שאור, בחמין, או במלוח וכבוש</w:t>
      </w:r>
      <w:r w:rsidR="004B4E5C" w:rsidRPr="00D906F5">
        <w:rPr>
          <w:rStyle w:val="FootnoteReference"/>
          <w:rFonts w:asciiTheme="majorBidi" w:hAnsiTheme="majorBidi" w:cstheme="majorBidi"/>
          <w:rtl/>
        </w:rPr>
        <w:footnoteReference w:id="26"/>
      </w:r>
      <w:r w:rsidR="000E3C2D" w:rsidRPr="00D906F5">
        <w:rPr>
          <w:rFonts w:asciiTheme="majorBidi" w:hAnsiTheme="majorBidi" w:cstheme="majorBidi"/>
          <w:rtl/>
        </w:rPr>
        <w:t>, אפילו אם הדיח, אפילו שלא בכלי חרס, אפילו אם אינו בן יומו, אם אוכל שני לח, אפילו אם אוכל שני לא חריף, אפילו אם אוכל שני לא חם, אפילו אם משתמשים בו עראי.</w:t>
      </w:r>
      <w:r w:rsidR="00185B1C">
        <w:rPr>
          <w:rFonts w:asciiTheme="majorBidi" w:hAnsiTheme="majorBidi" w:cstheme="majorBidi" w:hint="cs"/>
          <w:rtl/>
        </w:rPr>
        <w:t xml:space="preserve"> ש"ך חולק בפירוש על זה.</w:t>
      </w:r>
    </w:p>
    <w:p w14:paraId="6AD6CF04" w14:textId="6CB62FE1" w:rsidR="00896DBB" w:rsidRPr="00D906F5" w:rsidRDefault="00896DBB" w:rsidP="00896DBB">
      <w:pPr>
        <w:bidi/>
        <w:rPr>
          <w:rFonts w:asciiTheme="majorBidi" w:hAnsiTheme="majorBidi" w:cstheme="majorBidi"/>
          <w:rtl/>
        </w:rPr>
      </w:pPr>
      <w:r w:rsidRPr="00D906F5">
        <w:rPr>
          <w:rFonts w:asciiTheme="majorBidi" w:hAnsiTheme="majorBidi" w:cstheme="majorBidi"/>
          <w:rtl/>
        </w:rPr>
        <w:t>לפי הט"ז, כשאסר בעה"ע לתת בכלי של איסור דבר של היתר שאין דרכו להדיח, כוונתו היה לאסור ציור שני.</w:t>
      </w:r>
    </w:p>
    <w:p w14:paraId="2AA0D6EE" w14:textId="5857F1E2" w:rsidR="00883523" w:rsidRPr="00D906F5" w:rsidRDefault="00883523" w:rsidP="00883523">
      <w:pPr>
        <w:pStyle w:val="Heading1"/>
        <w:bidi/>
        <w:rPr>
          <w:rFonts w:asciiTheme="majorBidi" w:hAnsiTheme="majorBidi"/>
          <w:b/>
          <w:bCs/>
          <w:color w:val="auto"/>
          <w:sz w:val="24"/>
          <w:szCs w:val="24"/>
          <w:rtl/>
        </w:rPr>
      </w:pPr>
      <w:r w:rsidRPr="00D906F5">
        <w:rPr>
          <w:rFonts w:asciiTheme="majorBidi" w:hAnsiTheme="majorBidi"/>
          <w:b/>
          <w:bCs/>
          <w:color w:val="auto"/>
          <w:sz w:val="24"/>
          <w:szCs w:val="24"/>
          <w:rtl/>
        </w:rPr>
        <w:t>ציורי היתר:</w:t>
      </w:r>
    </w:p>
    <w:p w14:paraId="1A5E5E37" w14:textId="2F7A9EC8" w:rsidR="00B6391B" w:rsidRPr="00D906F5" w:rsidRDefault="00B6391B" w:rsidP="00B6391B">
      <w:pPr>
        <w:bidi/>
        <w:rPr>
          <w:rFonts w:asciiTheme="majorBidi" w:hAnsiTheme="majorBidi" w:cstheme="majorBidi"/>
          <w:rtl/>
        </w:rPr>
      </w:pPr>
      <w:r w:rsidRPr="00D906F5">
        <w:rPr>
          <w:rFonts w:asciiTheme="majorBidi" w:hAnsiTheme="majorBidi" w:cstheme="majorBidi"/>
          <w:rtl/>
        </w:rPr>
        <w:t>ש"ך – מן הש"ך מוכרח שכל ציור אחר מותר, ממה שלא מוקים בעה"ע באותו ציור.</w:t>
      </w:r>
      <w:r w:rsidRPr="00D906F5">
        <w:rPr>
          <w:rStyle w:val="FootnoteReference"/>
          <w:rFonts w:asciiTheme="majorBidi" w:hAnsiTheme="majorBidi" w:cstheme="majorBidi"/>
          <w:rtl/>
        </w:rPr>
        <w:footnoteReference w:id="27"/>
      </w:r>
    </w:p>
    <w:p w14:paraId="7D1E56DC" w14:textId="2AF57FAC" w:rsidR="00B6391B" w:rsidRPr="00D906F5" w:rsidRDefault="00B6391B" w:rsidP="00B6391B">
      <w:pPr>
        <w:bidi/>
        <w:rPr>
          <w:rFonts w:asciiTheme="majorBidi" w:hAnsiTheme="majorBidi" w:cstheme="majorBidi"/>
          <w:rtl/>
        </w:rPr>
      </w:pPr>
      <w:r w:rsidRPr="00D906F5">
        <w:rPr>
          <w:rFonts w:asciiTheme="majorBidi" w:hAnsiTheme="majorBidi" w:cstheme="majorBidi"/>
          <w:rtl/>
        </w:rPr>
        <w:t>ט"ז – מן הט"ז יוצא שלש ציורי היתר:</w:t>
      </w:r>
    </w:p>
    <w:p w14:paraId="367FB007" w14:textId="5C7646BC" w:rsidR="00AE141D" w:rsidRPr="00D906F5" w:rsidRDefault="00B6391B" w:rsidP="00AE141D">
      <w:pPr>
        <w:pStyle w:val="ListParagraph"/>
        <w:numPr>
          <w:ilvl w:val="0"/>
          <w:numId w:val="5"/>
        </w:numPr>
        <w:bidi/>
        <w:rPr>
          <w:rFonts w:asciiTheme="majorBidi" w:hAnsiTheme="majorBidi" w:cstheme="majorBidi"/>
        </w:rPr>
      </w:pPr>
      <w:r w:rsidRPr="00D906F5">
        <w:rPr>
          <w:rFonts w:asciiTheme="majorBidi" w:hAnsiTheme="majorBidi" w:cstheme="majorBidi"/>
          <w:rtl/>
        </w:rPr>
        <w:t>אפילו אם ניתן בו דבר לח</w:t>
      </w:r>
      <w:r w:rsidRPr="00D906F5">
        <w:rPr>
          <w:rStyle w:val="FootnoteReference"/>
          <w:rFonts w:asciiTheme="majorBidi" w:hAnsiTheme="majorBidi" w:cstheme="majorBidi"/>
          <w:rtl/>
        </w:rPr>
        <w:footnoteReference w:id="28"/>
      </w:r>
      <w:r w:rsidRPr="00D906F5">
        <w:rPr>
          <w:rFonts w:asciiTheme="majorBidi" w:hAnsiTheme="majorBidi" w:cstheme="majorBidi"/>
          <w:rtl/>
        </w:rPr>
        <w:t>, אפילו אם נתן בבית שאור, בחמין או במלוח וכבוש, אם הדיח, אם אינו בכלי חרס</w:t>
      </w:r>
      <w:r w:rsidRPr="00D906F5">
        <w:rPr>
          <w:rStyle w:val="FootnoteReference"/>
          <w:rFonts w:asciiTheme="majorBidi" w:hAnsiTheme="majorBidi" w:cstheme="majorBidi"/>
          <w:rtl/>
        </w:rPr>
        <w:footnoteReference w:id="29"/>
      </w:r>
      <w:r w:rsidRPr="00D906F5">
        <w:rPr>
          <w:rFonts w:asciiTheme="majorBidi" w:hAnsiTheme="majorBidi" w:cstheme="majorBidi"/>
          <w:rtl/>
        </w:rPr>
        <w:t>, אפילו אם הוא בן יומו</w:t>
      </w:r>
      <w:r w:rsidRPr="00D906F5">
        <w:rPr>
          <w:rStyle w:val="FootnoteReference"/>
          <w:rFonts w:asciiTheme="majorBidi" w:hAnsiTheme="majorBidi" w:cstheme="majorBidi"/>
          <w:rtl/>
        </w:rPr>
        <w:footnoteReference w:id="30"/>
      </w:r>
      <w:r w:rsidRPr="00D906F5">
        <w:rPr>
          <w:rFonts w:asciiTheme="majorBidi" w:hAnsiTheme="majorBidi" w:cstheme="majorBidi"/>
          <w:rtl/>
        </w:rPr>
        <w:t xml:space="preserve">, אם אוכל שני </w:t>
      </w:r>
      <w:r w:rsidR="00F36E25" w:rsidRPr="00D906F5">
        <w:rPr>
          <w:rFonts w:asciiTheme="majorBidi" w:hAnsiTheme="majorBidi" w:cstheme="majorBidi"/>
          <w:rtl/>
        </w:rPr>
        <w:t>יבש</w:t>
      </w:r>
      <w:r w:rsidRPr="00D906F5">
        <w:rPr>
          <w:rFonts w:asciiTheme="majorBidi" w:hAnsiTheme="majorBidi" w:cstheme="majorBidi"/>
          <w:rtl/>
        </w:rPr>
        <w:t>, אפילו אם אוכל שני חריף</w:t>
      </w:r>
      <w:r w:rsidRPr="00D906F5">
        <w:rPr>
          <w:rStyle w:val="FootnoteReference"/>
          <w:rFonts w:asciiTheme="majorBidi" w:hAnsiTheme="majorBidi" w:cstheme="majorBidi"/>
          <w:rtl/>
        </w:rPr>
        <w:footnoteReference w:id="31"/>
      </w:r>
      <w:r w:rsidRPr="00D906F5">
        <w:rPr>
          <w:rFonts w:asciiTheme="majorBidi" w:hAnsiTheme="majorBidi" w:cstheme="majorBidi"/>
          <w:rtl/>
        </w:rPr>
        <w:t>, אם אוכל שני צונן, אם משתמשים בו עראי</w:t>
      </w:r>
      <w:r w:rsidRPr="00D906F5">
        <w:rPr>
          <w:rStyle w:val="FootnoteReference"/>
          <w:rFonts w:asciiTheme="majorBidi" w:hAnsiTheme="majorBidi" w:cstheme="majorBidi"/>
          <w:rtl/>
        </w:rPr>
        <w:footnoteReference w:id="32"/>
      </w:r>
      <w:r w:rsidRPr="00D906F5">
        <w:rPr>
          <w:rFonts w:asciiTheme="majorBidi" w:hAnsiTheme="majorBidi" w:cstheme="majorBidi"/>
          <w:rtl/>
        </w:rPr>
        <w:t>.</w:t>
      </w:r>
    </w:p>
    <w:p w14:paraId="1B592264" w14:textId="7E86D441" w:rsidR="00F36E25" w:rsidRPr="00D906F5" w:rsidRDefault="00F36E25" w:rsidP="00F36E25">
      <w:pPr>
        <w:pStyle w:val="ListParagraph"/>
        <w:numPr>
          <w:ilvl w:val="0"/>
          <w:numId w:val="5"/>
        </w:numPr>
        <w:bidi/>
        <w:rPr>
          <w:rFonts w:asciiTheme="majorBidi" w:hAnsiTheme="majorBidi" w:cstheme="majorBidi"/>
        </w:rPr>
      </w:pPr>
      <w:r w:rsidRPr="00D906F5">
        <w:rPr>
          <w:rFonts w:asciiTheme="majorBidi" w:hAnsiTheme="majorBidi" w:cstheme="majorBidi"/>
          <w:rtl/>
        </w:rPr>
        <w:t>אפילו אם ניתן בו דבר לח, אם היה צונן, אם הדיח, אם אינו בכלי חרס, אפילו אם הוא בן יומו, אפילו אם אוכל שני לח, אפילו אם אוכל שני חריף, אם אוכל שני צונן, אם משתמשים בו עראי.</w:t>
      </w:r>
    </w:p>
    <w:p w14:paraId="6EA84A99" w14:textId="70AEE610" w:rsidR="006B51DB" w:rsidRPr="000C6F4E" w:rsidRDefault="00F36E25" w:rsidP="000C6F4E">
      <w:pPr>
        <w:pStyle w:val="ListParagraph"/>
        <w:numPr>
          <w:ilvl w:val="0"/>
          <w:numId w:val="5"/>
        </w:numPr>
        <w:bidi/>
        <w:rPr>
          <w:rFonts w:asciiTheme="majorBidi" w:hAnsiTheme="majorBidi" w:cstheme="majorBidi"/>
          <w:rtl/>
        </w:rPr>
      </w:pPr>
      <w:r w:rsidRPr="000C6F4E">
        <w:rPr>
          <w:rFonts w:asciiTheme="majorBidi" w:hAnsiTheme="majorBidi" w:cstheme="majorBidi"/>
          <w:rtl/>
        </w:rPr>
        <w:t xml:space="preserve">אפילו אם ניתן בו דבר לח, </w:t>
      </w:r>
      <w:r w:rsidR="000E2B9A">
        <w:rPr>
          <w:rFonts w:asciiTheme="majorBidi" w:hAnsiTheme="majorBidi" w:cstheme="majorBidi" w:hint="cs"/>
          <w:rtl/>
        </w:rPr>
        <w:t>אם היה צונן</w:t>
      </w:r>
      <w:r w:rsidRPr="000C6F4E">
        <w:rPr>
          <w:rFonts w:asciiTheme="majorBidi" w:hAnsiTheme="majorBidi" w:cstheme="majorBidi"/>
          <w:rtl/>
        </w:rPr>
        <w:t>, אם הדיח, אם אינו בכלי חרס, אפילו אם הוא בן יומו, אם האוכל שני יבש</w:t>
      </w:r>
      <w:r w:rsidR="000E2B9A" w:rsidRPr="00D906F5">
        <w:rPr>
          <w:rStyle w:val="FootnoteReference"/>
          <w:rFonts w:asciiTheme="majorBidi" w:hAnsiTheme="majorBidi" w:cstheme="majorBidi"/>
          <w:rtl/>
        </w:rPr>
        <w:footnoteReference w:id="33"/>
      </w:r>
      <w:r w:rsidRPr="000C6F4E">
        <w:rPr>
          <w:rFonts w:asciiTheme="majorBidi" w:hAnsiTheme="majorBidi" w:cstheme="majorBidi"/>
          <w:rtl/>
        </w:rPr>
        <w:t xml:space="preserve">, אפילו אם אוכל שני חריף, אפילו אם אוכל שני </w:t>
      </w:r>
      <w:r w:rsidR="000E2B9A">
        <w:rPr>
          <w:rFonts w:asciiTheme="majorBidi" w:hAnsiTheme="majorBidi" w:cstheme="majorBidi" w:hint="cs"/>
          <w:rtl/>
        </w:rPr>
        <w:t>חם</w:t>
      </w:r>
      <w:r w:rsidRPr="000C6F4E">
        <w:rPr>
          <w:rFonts w:asciiTheme="majorBidi" w:hAnsiTheme="majorBidi" w:cstheme="majorBidi"/>
          <w:rtl/>
        </w:rPr>
        <w:t>, אם משתמשים בו עראי.</w:t>
      </w:r>
    </w:p>
    <w:sectPr w:rsidR="006B51DB" w:rsidRPr="000C6F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BDA01" w14:textId="77777777" w:rsidR="007C6131" w:rsidRDefault="007C6131" w:rsidP="004629F5">
      <w:pPr>
        <w:spacing w:after="0" w:line="240" w:lineRule="auto"/>
      </w:pPr>
      <w:r>
        <w:separator/>
      </w:r>
    </w:p>
  </w:endnote>
  <w:endnote w:type="continuationSeparator" w:id="0">
    <w:p w14:paraId="381E23BC" w14:textId="77777777" w:rsidR="007C6131" w:rsidRDefault="007C6131" w:rsidP="00462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1387D" w14:textId="77777777" w:rsidR="007C6131" w:rsidRDefault="007C6131" w:rsidP="004629F5">
      <w:pPr>
        <w:spacing w:after="0" w:line="240" w:lineRule="auto"/>
      </w:pPr>
      <w:r>
        <w:separator/>
      </w:r>
    </w:p>
  </w:footnote>
  <w:footnote w:type="continuationSeparator" w:id="0">
    <w:p w14:paraId="6CFA45DB" w14:textId="77777777" w:rsidR="007C6131" w:rsidRDefault="007C6131" w:rsidP="004629F5">
      <w:pPr>
        <w:spacing w:after="0" w:line="240" w:lineRule="auto"/>
      </w:pPr>
      <w:r>
        <w:continuationSeparator/>
      </w:r>
    </w:p>
  </w:footnote>
  <w:footnote w:id="1">
    <w:p w14:paraId="0EA3EBAE" w14:textId="775FB114" w:rsidR="004629F5" w:rsidRPr="00D906F5" w:rsidRDefault="004629F5" w:rsidP="006970FD">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איני יודע מהו הדין אם ניתן בו דבר יבש, שלא מדבר בו.</w:t>
      </w:r>
    </w:p>
  </w:footnote>
  <w:footnote w:id="2">
    <w:p w14:paraId="46C1C31D" w14:textId="74F7D148" w:rsidR="006970FD" w:rsidRPr="00D906F5" w:rsidRDefault="006970FD" w:rsidP="006970FD">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נראה, שכיון שהאיסור יהיה מפני שלא קנח והדיח אותו, נראה שהענין הוא הממשות שיש בו, וזה לא תלוי באם נתן בו חמין או צונן. אבל, לא מוכרח כן, שיש לומר שכשיש בו בליעות, הבליעות יוצאות, ומערבות עם הממשות שיש שם, ואז יותר אוסר. </w:t>
      </w:r>
    </w:p>
  </w:footnote>
  <w:footnote w:id="3">
    <w:p w14:paraId="5B12A3A5" w14:textId="53A6145D" w:rsidR="006970FD" w:rsidRPr="00D906F5" w:rsidRDefault="006970FD" w:rsidP="006970FD">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tl/>
        </w:rPr>
        <w:t xml:space="preserve"> </w:t>
      </w:r>
      <w:r w:rsidRPr="00D906F5">
        <w:rPr>
          <w:rFonts w:asciiTheme="majorBidi" w:hAnsiTheme="majorBidi" w:cstheme="majorBidi"/>
        </w:rPr>
        <w:t xml:space="preserve"> </w:t>
      </w:r>
      <w:r w:rsidRPr="00D906F5">
        <w:rPr>
          <w:rFonts w:asciiTheme="majorBidi" w:hAnsiTheme="majorBidi" w:cstheme="majorBidi"/>
          <w:rtl/>
        </w:rPr>
        <w:t>שהש"ך לא מודה לצד של הרמ"א לחלק בין איסור חמץ לאיסורים אחרים להקל באיסור חמץ.</w:t>
      </w:r>
    </w:p>
  </w:footnote>
  <w:footnote w:id="4">
    <w:p w14:paraId="525246D2" w14:textId="5D5ED79C" w:rsidR="006970FD" w:rsidRPr="00D906F5" w:rsidRDefault="006970FD" w:rsidP="006970FD">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זה מוכרח, שאוסר כלי חרס אף אם הודח. </w:t>
      </w:r>
    </w:p>
  </w:footnote>
  <w:footnote w:id="5">
    <w:p w14:paraId="0E9CB473" w14:textId="51F397D8" w:rsidR="006970FD" w:rsidRPr="00D906F5" w:rsidRDefault="006970FD" w:rsidP="006970FD">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נראה ממה שלא מזכיר אותו החילוק. גם נראה כן מסברה, שכאן הבעיה הוא הממשות שיש בו, ולא הטעם שנותן, ואז לא שייך בו נותן טעם לפגם (שלא מצאנו היתר נ"ט לפגם בהדחה).</w:t>
      </w:r>
    </w:p>
  </w:footnote>
  <w:footnote w:id="6">
    <w:p w14:paraId="47FEFBDE" w14:textId="4932B925" w:rsidR="006B595A" w:rsidRPr="00D906F5" w:rsidRDefault="006B595A" w:rsidP="006B595A">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w:t>
      </w:r>
      <w:r w:rsidR="00B674FA" w:rsidRPr="00D906F5">
        <w:rPr>
          <w:rFonts w:asciiTheme="majorBidi" w:hAnsiTheme="majorBidi" w:cstheme="majorBidi"/>
          <w:rtl/>
        </w:rPr>
        <w:t>כן נראה, ממה שמקשה על הרמ"א מהי"ת לחלק בין לח ויבש, שרק מצאנו חילוק בהם באופן אחד שנבאר לקמן בע"ה.</w:t>
      </w:r>
      <w:r w:rsidR="006B51DB" w:rsidRPr="00D906F5">
        <w:rPr>
          <w:rFonts w:asciiTheme="majorBidi" w:hAnsiTheme="majorBidi" w:cstheme="majorBidi"/>
          <w:rtl/>
        </w:rPr>
        <w:t xml:space="preserve"> אבל, גם מצדד לבאר תוס' ומרדכי לומר שמה שאוסר בדבר לח הוא בלא קינוח. אז, על כל פנים, יוצא שלפי תוס' יש חילוק בין דבר לח לדבר יבש בזה. אבל, גם מצדד נגד פירוש זה (ואולי, אז, לא צריכים הדין שחידש בו).</w:t>
      </w:r>
    </w:p>
  </w:footnote>
  <w:footnote w:id="7">
    <w:p w14:paraId="60ABA764" w14:textId="3A5D20BC" w:rsidR="00B674FA" w:rsidRPr="00D906F5" w:rsidRDefault="00B674FA" w:rsidP="00B674FA">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מוכרח, שלא מזכיר נקודה זו עד אופן אחר לקמן.</w:t>
      </w:r>
    </w:p>
  </w:footnote>
  <w:footnote w:id="8">
    <w:p w14:paraId="2C678773" w14:textId="0EAC0785" w:rsidR="00B674FA" w:rsidRPr="00D906F5" w:rsidRDefault="00B674FA" w:rsidP="00B674FA">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אומר בפירוש.</w:t>
      </w:r>
    </w:p>
  </w:footnote>
  <w:footnote w:id="9">
    <w:p w14:paraId="3DCD9BA4" w14:textId="59C3D7E5" w:rsidR="00B674FA" w:rsidRPr="00D906F5" w:rsidRDefault="00B674FA" w:rsidP="00B674FA">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מוכרח, שאוסר אף בלי כל זה, אם משתמש בו קבוע.</w:t>
      </w:r>
    </w:p>
  </w:footnote>
  <w:footnote w:id="10">
    <w:p w14:paraId="2CE55F15" w14:textId="1D18B686" w:rsidR="0030561C" w:rsidRPr="00D906F5" w:rsidRDefault="0030561C" w:rsidP="0030561C">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נראה, שהאיסור כאן יהיה מפני בלעיות, וזה לא תלוי בדבר לח ויבש.</w:t>
      </w:r>
    </w:p>
  </w:footnote>
  <w:footnote w:id="11">
    <w:p w14:paraId="209AA5B4" w14:textId="1789022A" w:rsidR="0030561C" w:rsidRPr="00D906F5" w:rsidRDefault="0030561C" w:rsidP="0030561C">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נראה שצריך אחד מהם, שזה יהיה אם קינח והדיח אותו. אז, לכאו' לא נשאר כלום עליו, וצריך לומר שאוסר מחמת בליעות. אין זה מוכרח, שיש לומר שכיון שיש דבר חריף, יכול לשאוב טעם מעט שנשאר אחרי קינוח והדחה. אבל, לא נראה כן. כיון שצריך אחד מהם, נראה שכולם שווים, שש"ך לא מחלק ביניהם.</w:t>
      </w:r>
    </w:p>
  </w:footnote>
  <w:footnote w:id="12">
    <w:p w14:paraId="589B24E8" w14:textId="41BC537D" w:rsidR="006B51DB" w:rsidRPr="00D906F5" w:rsidRDefault="006B51DB" w:rsidP="006B51DB">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שהש"ך משמע שמסיק כרא"ה שאין חילוק בין הדחה לקינוח.</w:t>
      </w:r>
    </w:p>
  </w:footnote>
  <w:footnote w:id="13">
    <w:p w14:paraId="63A53728" w14:textId="12621E8E" w:rsidR="006B51DB" w:rsidRPr="00D906F5" w:rsidRDefault="006B51DB" w:rsidP="006B51DB">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זה בפירוש בש"ך.</w:t>
      </w:r>
    </w:p>
  </w:footnote>
  <w:footnote w:id="14">
    <w:p w14:paraId="7FD8C46B" w14:textId="41A951FF" w:rsidR="00051E36" w:rsidRPr="00D906F5" w:rsidRDefault="00051E36" w:rsidP="00051E36">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נראה שצריכים זה, שנראה שבציור זה מדבר (שמדבר באופן שבישל בו בשר בחלב).</w:t>
      </w:r>
    </w:p>
  </w:footnote>
  <w:footnote w:id="15">
    <w:p w14:paraId="3C462F9F" w14:textId="419A1B64" w:rsidR="006B51DB" w:rsidRPr="00D906F5" w:rsidRDefault="006B51DB" w:rsidP="006B51DB">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לא אומר כן ממש בפירוש, אבל כן נראה מלשונו.</w:t>
      </w:r>
    </w:p>
  </w:footnote>
  <w:footnote w:id="16">
    <w:p w14:paraId="5E1A5ECB" w14:textId="58907C5B" w:rsidR="00051E36" w:rsidRPr="00D906F5" w:rsidRDefault="00051E36" w:rsidP="00051E36">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נראה ממה שלא מזכיר בן יומו.</w:t>
      </w:r>
    </w:p>
  </w:footnote>
  <w:footnote w:id="17">
    <w:p w14:paraId="4810C256" w14:textId="201B2FE7" w:rsidR="00051E36" w:rsidRPr="00D906F5" w:rsidRDefault="00051E36" w:rsidP="00051E36">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מביא מתוס' ומרדכי.</w:t>
      </w:r>
    </w:p>
  </w:footnote>
  <w:footnote w:id="18">
    <w:p w14:paraId="41902285" w14:textId="2C9066FB" w:rsidR="00051E36" w:rsidRPr="00D906F5" w:rsidRDefault="00051E36" w:rsidP="00051E36">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משמע מלשון ש"ך, וכן מוכרח, שמתיר בצונן, והרי אינו מותר בצונן אם לא קונח.</w:t>
      </w:r>
    </w:p>
  </w:footnote>
  <w:footnote w:id="19">
    <w:p w14:paraId="7150B4D5" w14:textId="37981870" w:rsidR="00051E36" w:rsidRPr="00D906F5" w:rsidRDefault="00051E36" w:rsidP="00051E36">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איני יודע אם צריך להיות בן יומו. מסברה, נראה שצריך להיות.</w:t>
      </w:r>
    </w:p>
  </w:footnote>
  <w:footnote w:id="20">
    <w:p w14:paraId="49798DD7" w14:textId="056D991D" w:rsidR="00886BBC" w:rsidRPr="00D906F5" w:rsidRDefault="00886BBC" w:rsidP="00886BBC">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זה מוציא בפירוש מן הגמ'.</w:t>
      </w:r>
    </w:p>
  </w:footnote>
  <w:footnote w:id="21">
    <w:p w14:paraId="41E188FF" w14:textId="2935D251" w:rsidR="00896DBB" w:rsidRPr="00D906F5" w:rsidRDefault="00896DBB" w:rsidP="00896DBB">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נראה, שבדר"כ מצה יבישה. </w:t>
      </w:r>
    </w:p>
  </w:footnote>
  <w:footnote w:id="22">
    <w:p w14:paraId="2E6FB51F" w14:textId="25E246C2" w:rsidR="00883523" w:rsidRPr="00D906F5" w:rsidRDefault="00883523" w:rsidP="00883523">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נראה, שמצה אינה חריף.</w:t>
      </w:r>
    </w:p>
  </w:footnote>
  <w:footnote w:id="23">
    <w:p w14:paraId="1174A5A4" w14:textId="28EF21E1" w:rsidR="00886BBC" w:rsidRPr="00D906F5" w:rsidRDefault="00886BBC" w:rsidP="00886BBC">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אינו אומר כן בפירוש, אבל כן נראה, ממה שלא מחלק.</w:t>
      </w:r>
    </w:p>
  </w:footnote>
  <w:footnote w:id="24">
    <w:p w14:paraId="71F0C8B8" w14:textId="04A925DF" w:rsidR="00474AD7" w:rsidRPr="00D906F5" w:rsidRDefault="00474AD7" w:rsidP="00474AD7">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יש לדון אם הט"ז סובר שקונח נחשב אינו נקי.</w:t>
      </w:r>
    </w:p>
  </w:footnote>
  <w:footnote w:id="25">
    <w:p w14:paraId="124FFDFC" w14:textId="7935102F" w:rsidR="00474AD7" w:rsidRPr="00D906F5" w:rsidRDefault="00474AD7" w:rsidP="00474AD7">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אינו אומר כן בפירוש, אבל כן נראה, ממה שלא מחלק.</w:t>
      </w:r>
    </w:p>
  </w:footnote>
  <w:footnote w:id="26">
    <w:p w14:paraId="313812D0" w14:textId="6B287F40" w:rsidR="004B4E5C" w:rsidRPr="00D906F5" w:rsidRDefault="004B4E5C" w:rsidP="004B4E5C">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הנחתי שלא מחלק, שלא מצאנו שיחלק.</w:t>
      </w:r>
    </w:p>
  </w:footnote>
  <w:footnote w:id="27">
    <w:p w14:paraId="370836A3" w14:textId="057FEE94" w:rsidR="00B6391B" w:rsidRPr="00D906F5" w:rsidRDefault="00B6391B" w:rsidP="00B6391B">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אין זה ממש מוכרח, שיש לומר שיש סיבה אחרת שלא רצה להוקים אותו בו, כמו שצריכים לומר בשאר ציורים שאוסר.</w:t>
      </w:r>
    </w:p>
  </w:footnote>
  <w:footnote w:id="28">
    <w:p w14:paraId="63EDB162" w14:textId="4DDFA6AC" w:rsidR="00B6391B" w:rsidRPr="00D906F5" w:rsidRDefault="00B6391B" w:rsidP="00B6391B">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נראה, שהט"ז לא מזכיר שום חילוק בין דבר לח לדבר יבש.</w:t>
      </w:r>
    </w:p>
  </w:footnote>
  <w:footnote w:id="29">
    <w:p w14:paraId="120E7F14" w14:textId="401883E1" w:rsidR="00B6391B" w:rsidRPr="00D906F5" w:rsidRDefault="00B6391B" w:rsidP="00B6391B">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איני יודע מה סובר בענין כלי חרס, אם מודה לש"ך שיש להחמיר יותר בו.</w:t>
      </w:r>
    </w:p>
  </w:footnote>
  <w:footnote w:id="30">
    <w:p w14:paraId="69B08C83" w14:textId="09F22ABC" w:rsidR="00B6391B" w:rsidRPr="00D906F5" w:rsidRDefault="00B6391B" w:rsidP="00B6391B">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נראה, ממה שלא מזכיר אותו.</w:t>
      </w:r>
    </w:p>
  </w:footnote>
  <w:footnote w:id="31">
    <w:p w14:paraId="04FE2B3F" w14:textId="33610626" w:rsidR="00B6391B" w:rsidRPr="00D906F5" w:rsidRDefault="00B6391B" w:rsidP="00B6391B">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כן נראה ממה שלא מזכיר נקודה זו.</w:t>
      </w:r>
    </w:p>
  </w:footnote>
  <w:footnote w:id="32">
    <w:p w14:paraId="445E6F15" w14:textId="3C921BFB" w:rsidR="00B6391B" w:rsidRPr="00D906F5" w:rsidRDefault="00B6391B" w:rsidP="00B6391B">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לא מזכיר הדין אם משתמשים בו קבוע.</w:t>
      </w:r>
    </w:p>
  </w:footnote>
  <w:footnote w:id="33">
    <w:p w14:paraId="00BCF8E4" w14:textId="368ABE9E" w:rsidR="000E2B9A" w:rsidRPr="00D906F5" w:rsidRDefault="000E2B9A" w:rsidP="000E2B9A">
      <w:pPr>
        <w:pStyle w:val="FootnoteText"/>
        <w:bidi/>
        <w:rPr>
          <w:rFonts w:asciiTheme="majorBidi" w:hAnsiTheme="majorBidi" w:cstheme="majorBidi"/>
          <w:rtl/>
        </w:rPr>
      </w:pPr>
      <w:r w:rsidRPr="00D906F5">
        <w:rPr>
          <w:rStyle w:val="FootnoteReference"/>
          <w:rFonts w:asciiTheme="majorBidi" w:hAnsiTheme="majorBidi" w:cstheme="majorBidi"/>
        </w:rPr>
        <w:footnoteRef/>
      </w:r>
      <w:r w:rsidRPr="00D906F5">
        <w:rPr>
          <w:rFonts w:asciiTheme="majorBidi" w:hAnsiTheme="majorBidi" w:cstheme="majorBidi"/>
        </w:rPr>
        <w:t xml:space="preserve"> </w:t>
      </w:r>
      <w:r w:rsidRPr="00D906F5">
        <w:rPr>
          <w:rFonts w:asciiTheme="majorBidi" w:hAnsiTheme="majorBidi" w:cstheme="majorBidi"/>
          <w:rtl/>
        </w:rPr>
        <w:t xml:space="preserve"> איני יודע אם יתיר גם אם אוכל שני לח. רק מזכיר היתר בציור שיבש.</w:t>
      </w:r>
      <w:r w:rsidR="00954750">
        <w:rPr>
          <w:rFonts w:asciiTheme="majorBidi" w:hAnsiTheme="majorBidi" w:cstheme="majorBidi" w:hint="cs"/>
          <w:rtl/>
        </w:rPr>
        <w:t xml:space="preserve"> לא נראה שיחלק, אבל ט"ז רק מדבר בדבר יבש.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24151"/>
    <w:multiLevelType w:val="hybridMultilevel"/>
    <w:tmpl w:val="96D4D1D6"/>
    <w:lvl w:ilvl="0" w:tplc="5E2E994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3725C8"/>
    <w:multiLevelType w:val="hybridMultilevel"/>
    <w:tmpl w:val="80F4AD06"/>
    <w:lvl w:ilvl="0" w:tplc="EECCA30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BC7744"/>
    <w:multiLevelType w:val="hybridMultilevel"/>
    <w:tmpl w:val="3D4C0C7C"/>
    <w:lvl w:ilvl="0" w:tplc="D9E85A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206F42"/>
    <w:multiLevelType w:val="hybridMultilevel"/>
    <w:tmpl w:val="3370DB72"/>
    <w:lvl w:ilvl="0" w:tplc="6ED07DE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5F3980"/>
    <w:multiLevelType w:val="hybridMultilevel"/>
    <w:tmpl w:val="D070111C"/>
    <w:lvl w:ilvl="0" w:tplc="7AC6627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2803157">
    <w:abstractNumId w:val="1"/>
  </w:num>
  <w:num w:numId="2" w16cid:durableId="1430809221">
    <w:abstractNumId w:val="0"/>
  </w:num>
  <w:num w:numId="3" w16cid:durableId="426853452">
    <w:abstractNumId w:val="2"/>
  </w:num>
  <w:num w:numId="4" w16cid:durableId="591664884">
    <w:abstractNumId w:val="4"/>
  </w:num>
  <w:num w:numId="5" w16cid:durableId="1471283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BF"/>
    <w:rsid w:val="00051E36"/>
    <w:rsid w:val="000C6F4E"/>
    <w:rsid w:val="000E2B9A"/>
    <w:rsid w:val="000E3C2D"/>
    <w:rsid w:val="0015250E"/>
    <w:rsid w:val="00185B1C"/>
    <w:rsid w:val="0023706D"/>
    <w:rsid w:val="002D16D5"/>
    <w:rsid w:val="0030561C"/>
    <w:rsid w:val="00374822"/>
    <w:rsid w:val="004629F5"/>
    <w:rsid w:val="00474AD7"/>
    <w:rsid w:val="004B4E5C"/>
    <w:rsid w:val="005755BA"/>
    <w:rsid w:val="005A2000"/>
    <w:rsid w:val="0065706B"/>
    <w:rsid w:val="006677EC"/>
    <w:rsid w:val="00673FAA"/>
    <w:rsid w:val="00691786"/>
    <w:rsid w:val="006970FD"/>
    <w:rsid w:val="006B51DB"/>
    <w:rsid w:val="006B595A"/>
    <w:rsid w:val="00722795"/>
    <w:rsid w:val="00771252"/>
    <w:rsid w:val="007C6131"/>
    <w:rsid w:val="00883523"/>
    <w:rsid w:val="00886BBC"/>
    <w:rsid w:val="00896DBB"/>
    <w:rsid w:val="00954750"/>
    <w:rsid w:val="00980B5C"/>
    <w:rsid w:val="00AE141D"/>
    <w:rsid w:val="00B34C42"/>
    <w:rsid w:val="00B6391B"/>
    <w:rsid w:val="00B674FA"/>
    <w:rsid w:val="00B74E03"/>
    <w:rsid w:val="00C060BF"/>
    <w:rsid w:val="00D85A4F"/>
    <w:rsid w:val="00D906F5"/>
    <w:rsid w:val="00F36E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55DFE"/>
  <w15:chartTrackingRefBased/>
  <w15:docId w15:val="{829F83F4-A547-4F78-810E-F2E65362A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0FD"/>
  </w:style>
  <w:style w:type="paragraph" w:styleId="Heading1">
    <w:name w:val="heading 1"/>
    <w:basedOn w:val="Normal"/>
    <w:next w:val="Normal"/>
    <w:link w:val="Heading1Char"/>
    <w:uiPriority w:val="9"/>
    <w:qFormat/>
    <w:rsid w:val="00C06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0BF"/>
    <w:rPr>
      <w:rFonts w:eastAsiaTheme="majorEastAsia" w:cstheme="majorBidi"/>
      <w:color w:val="272727" w:themeColor="text1" w:themeTint="D8"/>
    </w:rPr>
  </w:style>
  <w:style w:type="paragraph" w:styleId="Title">
    <w:name w:val="Title"/>
    <w:basedOn w:val="Normal"/>
    <w:next w:val="Normal"/>
    <w:link w:val="TitleChar"/>
    <w:uiPriority w:val="10"/>
    <w:qFormat/>
    <w:rsid w:val="00C06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0BF"/>
    <w:pPr>
      <w:spacing w:before="160"/>
      <w:jc w:val="center"/>
    </w:pPr>
    <w:rPr>
      <w:i/>
      <w:iCs/>
      <w:color w:val="404040" w:themeColor="text1" w:themeTint="BF"/>
    </w:rPr>
  </w:style>
  <w:style w:type="character" w:customStyle="1" w:styleId="QuoteChar">
    <w:name w:val="Quote Char"/>
    <w:basedOn w:val="DefaultParagraphFont"/>
    <w:link w:val="Quote"/>
    <w:uiPriority w:val="29"/>
    <w:rsid w:val="00C060BF"/>
    <w:rPr>
      <w:i/>
      <w:iCs/>
      <w:color w:val="404040" w:themeColor="text1" w:themeTint="BF"/>
    </w:rPr>
  </w:style>
  <w:style w:type="paragraph" w:styleId="ListParagraph">
    <w:name w:val="List Paragraph"/>
    <w:basedOn w:val="Normal"/>
    <w:uiPriority w:val="34"/>
    <w:qFormat/>
    <w:rsid w:val="00C060BF"/>
    <w:pPr>
      <w:ind w:left="720"/>
      <w:contextualSpacing/>
    </w:pPr>
  </w:style>
  <w:style w:type="character" w:styleId="IntenseEmphasis">
    <w:name w:val="Intense Emphasis"/>
    <w:basedOn w:val="DefaultParagraphFont"/>
    <w:uiPriority w:val="21"/>
    <w:qFormat/>
    <w:rsid w:val="00C060BF"/>
    <w:rPr>
      <w:i/>
      <w:iCs/>
      <w:color w:val="0F4761" w:themeColor="accent1" w:themeShade="BF"/>
    </w:rPr>
  </w:style>
  <w:style w:type="paragraph" w:styleId="IntenseQuote">
    <w:name w:val="Intense Quote"/>
    <w:basedOn w:val="Normal"/>
    <w:next w:val="Normal"/>
    <w:link w:val="IntenseQuoteChar"/>
    <w:uiPriority w:val="30"/>
    <w:qFormat/>
    <w:rsid w:val="00C06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0BF"/>
    <w:rPr>
      <w:i/>
      <w:iCs/>
      <w:color w:val="0F4761" w:themeColor="accent1" w:themeShade="BF"/>
    </w:rPr>
  </w:style>
  <w:style w:type="character" w:styleId="IntenseReference">
    <w:name w:val="Intense Reference"/>
    <w:basedOn w:val="DefaultParagraphFont"/>
    <w:uiPriority w:val="32"/>
    <w:qFormat/>
    <w:rsid w:val="00C060BF"/>
    <w:rPr>
      <w:b/>
      <w:bCs/>
      <w:smallCaps/>
      <w:color w:val="0F4761" w:themeColor="accent1" w:themeShade="BF"/>
      <w:spacing w:val="5"/>
    </w:rPr>
  </w:style>
  <w:style w:type="paragraph" w:styleId="FootnoteText">
    <w:name w:val="footnote text"/>
    <w:basedOn w:val="Normal"/>
    <w:link w:val="FootnoteTextChar"/>
    <w:uiPriority w:val="99"/>
    <w:semiHidden/>
    <w:unhideWhenUsed/>
    <w:rsid w:val="004629F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29F5"/>
    <w:rPr>
      <w:sz w:val="20"/>
      <w:szCs w:val="20"/>
    </w:rPr>
  </w:style>
  <w:style w:type="character" w:styleId="FootnoteReference">
    <w:name w:val="footnote reference"/>
    <w:basedOn w:val="DefaultParagraphFont"/>
    <w:uiPriority w:val="99"/>
    <w:semiHidden/>
    <w:unhideWhenUsed/>
    <w:rsid w:val="004629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29978-A1CC-49A4-BE6F-DCEF292FC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25</cp:revision>
  <dcterms:created xsi:type="dcterms:W3CDTF">2025-10-26T20:55:00Z</dcterms:created>
  <dcterms:modified xsi:type="dcterms:W3CDTF">2025-10-27T20:05:00Z</dcterms:modified>
</cp:coreProperties>
</file>