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  <w:lang w:val="he-IL"/>
        </w:rPr>
        <w:tab/>
      </w:r>
      <w:r>
        <w:rPr>
          <w:b/>
          <w:b/>
          <w:bCs/>
          <w:rtl w:val="true"/>
          <w:lang w:val="he-IL"/>
        </w:rPr>
        <w:t>חמשה</w:t>
      </w:r>
      <w:r>
        <w:rPr>
          <w:rtl w:val="true"/>
          <w:lang w:val="he-IL"/>
        </w:rPr>
        <w:t xml:space="preserve">- </w:t>
      </w:r>
      <w:r>
        <w:rPr>
          <w:b w:val="false"/>
          <w:b w:val="false"/>
          <w:bCs w:val="false"/>
          <w:rtl w:val="true"/>
          <w:lang w:val="he-IL"/>
        </w:rPr>
        <w:t>רבי יהודה</w:t>
      </w:r>
      <w:r>
        <w:rPr>
          <w:b w:val="false"/>
          <w:bCs w:val="false"/>
          <w:rtl w:val="true"/>
          <w:lang w:val="he-IL"/>
        </w:rPr>
        <w:t xml:space="preserve">- </w:t>
      </w:r>
      <w:r>
        <w:rPr>
          <w:b w:val="false"/>
          <w:b w:val="false"/>
          <w:bCs w:val="false"/>
          <w:rtl w:val="true"/>
          <w:lang w:val="he-IL"/>
        </w:rPr>
        <w:t>לכאו’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השש הוא ארבע שהכל מודים בו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וקטן שלא הגיע לעונת נדרים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וקטן שהגיע לעונת נדרים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יש לדון למה כל כך פשוט הוא לפני משה שרבי יהודה חלק אותם לשנים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לכאו’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הוא מפני שצריך דבר למעט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ויש לדון למה יכולים למעט מזה ולהניח שהם שנים</w:t>
      </w:r>
      <w:r>
        <w:rPr>
          <w:b w:val="false"/>
          <w:bCs w:val="false"/>
          <w:rtl w:val="true"/>
          <w:lang w:val="he-IL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 שממעט רבי יהודה מן המשנה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שתרומתו אינו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  <w:lang w:val="he-IL"/>
        </w:rPr>
        <w:tab/>
      </w:r>
      <w:r>
        <w:rPr>
          <w:b/>
          <w:b/>
          <w:bCs/>
          <w:rtl w:val="true"/>
          <w:lang w:val="he-IL"/>
        </w:rPr>
        <w:t>החרש</w:t>
      </w:r>
      <w:r>
        <w:rPr>
          <w:rtl w:val="true"/>
          <w:lang w:val="he-IL"/>
        </w:rPr>
        <w:t xml:space="preserve">- </w:t>
      </w:r>
      <w:r>
        <w:rPr>
          <w:b w:val="false"/>
          <w:b w:val="false"/>
          <w:bCs w:val="false"/>
          <w:rtl w:val="true"/>
          <w:lang w:val="he-IL"/>
        </w:rPr>
        <w:t>מה שאומר שנלמד ממה שצריך דעת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ולא מ”איש” קצת קשה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שיש מקומות שממעטים כל מי שאינו בר דעת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והוא מ”איש</w:t>
      </w:r>
      <w:r>
        <w:rPr>
          <w:b w:val="false"/>
          <w:bCs w:val="false"/>
          <w:rtl w:val="true"/>
          <w:lang w:val="he-IL"/>
        </w:rPr>
        <w:t xml:space="preserve">,” </w:t>
      </w:r>
      <w:r>
        <w:rPr>
          <w:b w:val="false"/>
          <w:b w:val="false"/>
          <w:bCs w:val="false"/>
          <w:rtl w:val="true"/>
          <w:lang w:val="he-IL"/>
        </w:rPr>
        <w:t>כמו גבי שליחות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אינו קשה למה כתוב קרא זה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שיש נפקא מינא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כמו שאומר גמרא לקמן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אבל קשה למה אומר גמרא כן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ותחשב</w:t>
      </w:r>
      <w:r>
        <w:rPr>
          <w:b w:val="false"/>
          <w:bCs w:val="false"/>
          <w:rtl w:val="true"/>
          <w:lang w:val="he-IL"/>
        </w:rPr>
        <w:t>.</w:t>
      </w:r>
    </w:p>
    <w:p>
      <w:pPr>
        <w:pStyle w:val="Normal"/>
        <w:rPr/>
      </w:pPr>
      <w:r>
        <w:rPr>
          <w:rtl w:val="true"/>
          <w:lang w:val="he-IL"/>
        </w:rPr>
        <w:tab/>
      </w:r>
      <w:r>
        <w:rPr>
          <w:b/>
          <w:b/>
          <w:bCs/>
          <w:rtl w:val="true"/>
          <w:lang w:val="he-IL"/>
        </w:rPr>
        <w:t>קשייתה</w:t>
      </w:r>
      <w:r>
        <w:rPr>
          <w:rtl w:val="true"/>
          <w:lang w:val="he-IL"/>
        </w:rPr>
        <w:t xml:space="preserve">- </w:t>
      </w:r>
      <w:r>
        <w:rPr>
          <w:b w:val="false"/>
          <w:b w:val="false"/>
          <w:bCs w:val="false"/>
          <w:rtl w:val="true"/>
          <w:lang w:val="he-IL"/>
        </w:rPr>
        <w:t>צריך ביאור למה לא נחשב כתוב בו מחשבה</w:t>
      </w:r>
      <w:r>
        <w:rPr>
          <w:b w:val="false"/>
          <w:bCs w:val="false"/>
          <w:rtl w:val="true"/>
          <w:lang w:val="he-IL"/>
        </w:rPr>
        <w:t xml:space="preserve">, </w:t>
      </w:r>
      <w:r>
        <w:rPr>
          <w:b w:val="false"/>
          <w:b w:val="false"/>
          <w:bCs w:val="false"/>
          <w:rtl w:val="true"/>
          <w:lang w:val="he-IL"/>
        </w:rPr>
        <w:t>כיון שכ’ בו</w:t>
      </w:r>
      <w:r>
        <w:rPr>
          <w:b w:val="false"/>
          <w:bCs w:val="false"/>
          <w:rtl w:val="true"/>
          <w:lang w:val="he-IL"/>
        </w:rPr>
        <w:t>, “</w:t>
      </w:r>
      <w:r>
        <w:rPr>
          <w:b w:val="false"/>
          <w:b w:val="false"/>
          <w:bCs w:val="false"/>
          <w:rtl w:val="true"/>
          <w:lang w:val="he-IL"/>
        </w:rPr>
        <w:t>וכתב לה</w:t>
      </w:r>
      <w:r>
        <w:rPr>
          <w:b w:val="false"/>
          <w:bCs w:val="false"/>
          <w:rtl w:val="true"/>
          <w:lang w:val="he-IL"/>
        </w:rPr>
        <w:t xml:space="preserve">.” </w:t>
      </w:r>
      <w:r>
        <w:rPr>
          <w:b w:val="false"/>
          <w:b w:val="false"/>
          <w:bCs w:val="false"/>
          <w:rtl w:val="true"/>
          <w:lang w:val="he-IL"/>
        </w:rPr>
        <w:t>ודע שפני משה קצת מבולבל כאן בביאורו</w:t>
      </w:r>
      <w:r>
        <w:rPr>
          <w:b w:val="false"/>
          <w:bCs w:val="false"/>
          <w:rtl w:val="true"/>
          <w:lang w:val="he-IL"/>
        </w:rPr>
        <w:t xml:space="preserve">- </w:t>
      </w:r>
      <w:r>
        <w:rPr>
          <w:b w:val="false"/>
          <w:b w:val="false"/>
          <w:bCs w:val="false"/>
          <w:rtl w:val="true"/>
          <w:lang w:val="he-IL"/>
        </w:rPr>
        <w:t>אם צריך מחשבה או שליחות</w:t>
      </w:r>
      <w:r>
        <w:rPr>
          <w:b w:val="false"/>
          <w:bCs w:val="false"/>
          <w:rtl w:val="true"/>
          <w:lang w:val="he-IL"/>
        </w:rPr>
        <w:t xml:space="preserve">. </w:t>
      </w:r>
      <w:r>
        <w:rPr>
          <w:b w:val="false"/>
          <w:b w:val="false"/>
          <w:bCs w:val="false"/>
          <w:rtl w:val="true"/>
          <w:lang w:val="he-IL"/>
        </w:rPr>
        <w:t>ותחשב</w:t>
      </w:r>
      <w:r>
        <w:rPr>
          <w:b w:val="false"/>
          <w:bCs w:val="false"/>
          <w:rtl w:val="true"/>
          <w:lang w:val="he-IL"/>
        </w:rPr>
        <w:t>.</w:t>
      </w:r>
    </w:p>
    <w:p>
      <w:pPr>
        <w:pStyle w:val="Normal"/>
        <w:rPr/>
      </w:pPr>
      <w:r>
        <w:rPr>
          <w:rtl w:val="true"/>
        </w:rPr>
        <w:t>ב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/>
          <w:bCs/>
          <w:rtl w:val="true"/>
        </w:rPr>
        <w:t>דלא כר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רק הביא משנה שאומר כן בפירוש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מכאן ולהבא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הצד שיחול מכאן ולהבא הוא שרק חל על ידי אב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על ידי 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וההפרשה של אב הוא מה שהסכים לבנו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עוד ראיה לשיטת רבי יהודה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יפות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בבבלי בפרק שני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מוכרח נגד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נאמר כמה שמפרש גמרא’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להביא 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נ’ שגמרא כאן סובר כאביי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ובזה מתרץ קושיית רבא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ו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/>
          <w:bCs/>
          <w:rtl w:val="true"/>
        </w:rPr>
        <w:t>מהו שיקרא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לא משיב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מזכיר שאלה אחר בנוגע קריאת שמע שהיה שאול לאליהו זכור לטוב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שאפשר לקרוא גמ’ שאומר ששאל את זה לאלהיו הנביא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והשיב לו הנביא שאם אדם קורא הוא זכור לטוב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זה אומר שאין חיוב עליו ממש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פטור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שהוא עדיין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אולי השיב שלהיפך הוא יותר טוב לקרוא שתוי משאינו שתוי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בענין אחד קצת צליל דעתו יותר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גם אפשר שגמ’ עכשיו משנה לומר שלא כך שאל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כך שאל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 קצת 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השיב כל כך לקושיית גמ’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ששאלתו היה פשוט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מהו תשובתו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הניח שכמו שאפשר לברך כשהוא שתוי גם יכול לקרוא קריאת שמע כשהוא שתךוי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שיש חילוק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צריך כוונה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ברכת המזון לא צריך כוונה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ואפי’ מדוממדם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שבאר בתשובת הגמרא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שיש על זה שלש הערות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מניח ששבעיה זה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שתייה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מחלקת תנאים בפרק שביעי של ברכות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ובפסחים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זהו המח’ בין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בשיעור ברכת המזון</w:t>
      </w:r>
      <w:r>
        <w:rPr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פשוט שזהו דין 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דיון שם הוא בשיעור ברכת המזון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הוא כזית או כביצה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והא שיעור דרבנן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אין זה כל כך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הכי ננמי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דרשה דרבנן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מביאים מקור מכאן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מביאים ראיה ממה שיכולים רבנן לומר שרק מברך כשהוא שתוי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זה מניח ששתייה של אותו קרא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שתיית 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שתיית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מסתבר כן כיון שאין שתיית 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מה תרומה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שאל לי א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בגיטין איך לומדים דין אומד מתרומה לת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דין אומד גבי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מאמדים שום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שאין לומדים מה שיכול לאמד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לומדים מה שצריך להיות במחשבה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במנין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ממילא יוצא שצריך לאמדו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חשבון זה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למה מזכיר שני הדינים בשני מילים 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הנכתשים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כיון שהם כבר נכתשים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כל כך גזל השבט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שעומד שמן לבוא מהם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המציאות לא כל כך פשוט לי מהו הציור שדך וכתש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ועומד השמן לצאת ולא כבר יצא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תמן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פשוט שסובר שזה במשנה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חילוק משניות שלו אינו כשלו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כמו שנמצא בפני משה של דפ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של עוז והדר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מפני גדר חטאת</w:t>
      </w:r>
      <w:r>
        <w:rPr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שרצה לומר שרוצים שיהיה טהור כשעושה השאר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וחוששים שיהיה טמא טיעשה אותו בטומאה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ויגע בו לטמא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גוזרים שצריך להפריש עוד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טהור כשנוגע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בנכתשים על נכתשים יהיה אותו גזירה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ודע שזה צריך להניח שלא חוששים בשמן על שמן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ששם אפשר שיעסוק בו עוד בטומאה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גזרו על זיתים סתם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שהיה לנו לגזור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שבין כך ובין כך יפריש אותו קודם שהוכשר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ויותר נראה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וזה לא יתרץ כל הקושיות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שרק גזרו שאין תרומתו תרומה כשלא היה לו לעשות כן מתחילה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מדבר שנגמר על דבר שלא נגמר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נראה מפני משה על המשנה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יזכיר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מזכיר 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של גמ</w:t>
      </w:r>
      <w:r>
        <w:rPr>
          <w:b w:val="false"/>
          <w:bCs w:val="false"/>
          <w:rtl w:val="true"/>
        </w:rPr>
        <w:t>'.</w:t>
      </w:r>
      <w:bookmarkStart w:id="0" w:name="_GoBack"/>
      <w:bookmarkEnd w:id="0"/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ז</w:t>
      </w:r>
    </w:p>
    <w:p>
      <w:pPr>
        <w:pStyle w:val="Normal"/>
        <w:rPr/>
      </w:pPr>
      <w:r>
        <w:rPr>
          <w:b/>
          <w:b/>
          <w:bCs/>
          <w:rtl w:val="true"/>
        </w:rPr>
        <w:t xml:space="preserve">יש כמה </w:t>
      </w:r>
      <w:r>
        <w:rPr>
          <w:b w:val="false"/>
          <w:b w:val="false"/>
          <w:bCs w:val="false"/>
          <w:rtl w:val="true"/>
        </w:rPr>
        <w:t>דברים בסוגיה זה לא הבנתי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הבנתי כל כך ראיית גמ’ שגדר מי חטאת חמור 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הבנתי כל כך דיחוי גמ’ לשיטת רבי יוסי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ט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/>
          <w:bCs/>
          <w:rtl w:val="true"/>
        </w:rPr>
        <w:t>מהו שיתרום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קצת צריך ביאור שחוששים שעושה מה שלא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חושב שיחול שאיזה אופן שמהני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זה נחשב 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יודע את ההלכה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הכסיל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מהו המשל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למה הביא קרא זה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שאין תרומה יכול להיות תרומה על שני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וקצת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זה הנקודה שחידש 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חידש שחוששים שיעשה כן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כמו שאין אדם יכול להיות כבר חלק מעצמו ואף מזונו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שהוא הכסיל בזה אינו מפני שלא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ונותן לעצמו מזון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מחסר החלק בו שצריך לאכול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מפני שהחסרון יותר גדול מן הרווח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אולי רק אומר שאף יש כסיל שאוכל את בשרו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קשה לצייר ככסיל שחושב שתרומה נעשה תרומה על שני טבלים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חוששים שלא חל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שאין בפיו כביצה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הענין הוא כך</w:t>
      </w:r>
      <w:r>
        <w:rPr>
          <w:b w:val="false"/>
          <w:bCs w:val="false"/>
          <w:rtl w:val="true"/>
        </w:rPr>
        <w:t xml:space="preserve">: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צריך אדם להפריש מטהור על הטמא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יכול לעשות שהטבל נטמא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יהיה תרומתו טמאה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להיות מוקפים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אילו היו יבשים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קל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יכול ליגע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יטמאו זא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לח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יטמא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שמשקים מטמאים משקים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תקנה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שצריך לעשות שבפיו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ביצה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ביצה נוגע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נטמא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אם פחות מכביצה לא נטמא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צ’ שאחד פחות מכביצה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 מטמא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צ’ שהמטמא הוא פחות מכביצה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צריך ביאור עדיין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רק מקנח אותו ומיבש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 יותר קשה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קשה למה מהני מה שאין בפיו כביצה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שיצטרף עם מה שאינו בפיו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נוגע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והמציאות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בטומאת 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שאילו נעשה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שלום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גלגל החוזר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מניחים שיעשה גלגל החוזר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טבולי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יעריב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רצה לומר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כשיעריב…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שאם יעריב שמשו קודם שיתנו כל התרומות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יד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מחודש לי שנחשב הכוהן המוציא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מוציאים ממון ממנו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 גמ’ 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גמ’ לקמן לומד ממה שמקילים לענין דימוע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גבי דימוע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ספק דרבנן 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הכל בטלים ברוב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מהו הדמיון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טו</w:t>
      </w:r>
      <w:r>
        <w:rPr>
          <w:rtl w:val="true"/>
        </w:rPr>
        <w:t>.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נ’ שגדול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בשנים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בחכמה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כמו שאומ’ בבלי גיטין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נט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אולי חולק ירושלמי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אם תרם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אין הפרש טעות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מפריש אילו ידע שהיה חברו מפריש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שזה ציור 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אחד הו 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וכיון ששל כל אחד 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 חברו היה חל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אילו הוה ידע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 קצת חלוק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שבזה הוא ידיעתו על מה קרה ובזה הוא ידיעתו או על מה יקרה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להעיר שאולי כיון שחד קרה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היה של טעות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ממילא מה שיבוא יחול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ראשון לא היה עושה אם ידע שחברו יעשה המעשה שהיה חל בלתי דין טעות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עדיין לא היה עושה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טז</w:t>
      </w:r>
      <w:r>
        <w:rPr>
          <w:rtl w:val="true"/>
        </w:rPr>
        <w:t>.</w:t>
      </w:r>
    </w:p>
    <w:p>
      <w:pPr>
        <w:pStyle w:val="Normal"/>
        <w:rPr/>
      </w:pPr>
      <w:r>
        <w:rPr>
          <w:b/>
          <w:b/>
          <w:bCs/>
          <w:rtl w:val="true"/>
        </w:rPr>
        <w:t>היה הבור קטן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מניח שכל זה הוא כשעושים פועלים שתי וערב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שכן עושים פועלים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שרק אם יש חשש גדולה של טומאה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לתרום לפני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 מהו ענין בור קטן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יותר עליל ליטמא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תיפתר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ששינה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וגילה שלא רוצה כיון ששינה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הרי שליחותו 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טז</w:t>
      </w:r>
      <w:r>
        <w:rPr>
          <w:rtl w:val="true"/>
        </w:rPr>
        <w:t>:</w:t>
      </w:r>
    </w:p>
    <w:p>
      <w:pPr>
        <w:pStyle w:val="Normal"/>
        <w:rPr/>
      </w:pPr>
      <w:r>
        <w:rPr>
          <w:b/>
          <w:b/>
          <w:bCs/>
          <w:rtl w:val="true"/>
        </w:rPr>
        <w:t>כאן וכאן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כל כך חילוק בין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שעיקר התירוץ הוא שווה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החילוק הוא אולי מה נקרא מצוי או כמה מצוי 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יז</w:t>
      </w:r>
      <w:r>
        <w:rPr>
          <w:rtl w:val="true"/>
        </w:rPr>
        <w:t>.</w:t>
      </w:r>
    </w:p>
    <w:p>
      <w:pPr>
        <w:pStyle w:val="Normal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לעיל אמר שמחלק ונותן צד צפוני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שהחילוק הולך ממזרח למערב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כאן אומר שנותן צד צפוני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החילוק ממזרח למערב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על אחד שהוא לארכו ועל אחד שהוא לרחבו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איך זה שייך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מן 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צריך להיות כשיטת אביי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כל מה דאמר רחמנא לא תעביד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עביד מהני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אפשר שסובר כרבא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אומר שלא ילקה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שאין מעשה ואין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כלאו שאין בו 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ילקה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שם בתמורה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שהק’ בשבלין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יעבור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שהופרש תרומה לאחר 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מאוחר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שניתן מיד בשעת חיובו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נ’ כן מפני משה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מאן דמר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איך רואים מכאן אותו דמיון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רבי אבוהו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רבי אבהו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ששמו הוא רבי אבוהו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מצאנו שרב אמי הוא רב אימי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ורבי אבהו הוא רבי אבוהו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טבל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למה מניחים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שאם מפריש מעצמו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הפרשה אחת ארוכה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וממילא לא נתקן כלל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השליח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הענין הוא אם נתנם ביחד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ששליח לא נתן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כן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אם רואה כן ממשנה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קצת 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אומר כן בפירוש במשנה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 רק אומר שכן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שסובר כבית שמאי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כולו מן החולין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קצת פשוט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צריך ביאור מהו הצד שלא לומר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מנין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מבואר שזה רק אסמכתא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והדין דרבנן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לא מסתברא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בפני משה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חוששים לאיבוד אחד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משמע שאז חוזר וניעור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בטל כל כך עד שלא יחזור כיון שיש יכולת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כולן נעשה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בסו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היה נראה לומר שאין סיבה להוכיח שמה שנפל הוא של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אומר שהוא עד שלא נשאר 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אף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מודה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כפי מה שבאר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 פורחות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שסובר שלא צריך להיות בכלל הספק כדי שיצטרפו לבטל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מח’ של לבנות ושחרות הוא רק אם הם דומים די לצרף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בטל מגעה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שיש בזה חידוש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אפשר לומר שביטול עושה שאין חפץ של איסור או טומאה נחשב שם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 w:val="false"/>
          <w:bCs w:val="false"/>
          <w:rtl w:val="true"/>
        </w:rPr>
        <w:t xml:space="preserve"> או נחשב של איסור ושל טומאה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מגמ’ זה לא נראה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אפשר לומר שאין הענין שדיני ביטול רק עושים ספק שיכולים לסמוך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ספק גבי משא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אולי הנעין הוא שאחד מן הדברים שגורמים ביטול הוא מה שיש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לענין טומאת משא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אין ביטל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אילו היה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בטל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היינו רק סומכים שאין 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היה נעשה שאין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ותבין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לא מצינו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שפירש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פירש שאמרו להם המימרא הזה בלי תמיהה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היו צריכים לומר יותר מ“ב“ש הודו לב“ה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 xml:space="preserve">נראה שאמרו כן מפני שכן שמעו את המאמר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על שאלה זה שמעו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יש לומר שאמרו כן להוסיף עוד מאמר</w:t>
      </w:r>
      <w:r>
        <w:rPr>
          <w:b w:val="false"/>
          <w:bCs w:val="false"/>
          <w:rtl w:val="true"/>
        </w:rPr>
        <w:t>..</w:t>
      </w:r>
    </w:p>
    <w:p>
      <w:pPr>
        <w:pStyle w:val="Normal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לולי 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בקל שאומר כן בתמיהה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שאומר שלא מצינו דבר אחר שמודה בית שמאי לבית הלל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מצאנו שבית הלל יודו לבית שמאי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יאמר לנו שאף כאן כן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שבית הלל הודו לבית שמאי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"/>
      </w:r>
    </w:p>
    <w:p>
      <w:pPr>
        <w:pStyle w:val="Normal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מביא ראיות נגד זה אחר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מביא ראיות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שמע לה… קלוח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במשנה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לפרש מהו ה“קילוח“ שנטמא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אם אין קילוח חיבור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נאמר שרק מה שנגע ממש נטמא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מה שנגע בהכרח הוא מעט מעט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כל הקילוח נחשב מחובר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לא מחובר למה שבכלים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לבאר קצת למה נחשב חיבור לקילוח יותר מלמה שהוא בכלים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הדמיון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רק עומד ללכת אל אותו מקום שזה עומד ללכת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הולך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אינה מדמעת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מניח שמשנה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כמו שפי’ פני משה על המשנה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שצריך שחולין יהיה כנגד אותו חלק של תרומה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מצטרף עם החולין שנפל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מהיכי תיתי לפרש את המשנה כן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דע שאף מה שאומר ר“י לא משמע שמצטרף עם החולין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לא צריך חולין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אין חולין ראשונים מבטלים את התרומה עד שהוא מצטרף עם דבר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ונעשה תערובת אחרת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יהיה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ברם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במנינים שאומר לביטול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שסובר שכדי לבטל ברוב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שהוא כפול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תפלוגתא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לחלק לומר ששם אכל באיסור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צריך להוציא מתחת 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אכל אחר מחילה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מהו כדון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בביאור 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את הדרשה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שהיה אפשר ללמוד מכאן שנתינת הקודש מהני לכל חומש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ושקרא מדבר בכל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גמ’ לא חושב שזה כל כך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דורש שהוא מדבר רק בציור שיש רק חיוב מחמת 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תמן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למה אינו מסויים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לא הבנתי דין הוספת חומש על חומש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נוגע לחוב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חיוב חדש על שכפר בחומש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יעשה שאינו מסויים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עיקר סעודה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שקלא וטריא זה הוא קצת קשה להבין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לפני 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שמקשה מה בינייהו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ואיזה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ומתרץ בחילוק לומדי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נותן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משיב שאין הכי נמי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יש חילוק לומדי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שזה יש לו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בדינים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שאין לו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אית חל מימר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קושיה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ציור לכל אלו שבמשנה לומר שאין חייבים בתרומה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מה מקשה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חילפא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אם נעשה לקט אחר שנופל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הוקבע לתרו“מ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 ראה פני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אידגן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הוא חלוק ממעשר שני וכדומה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אכל חלה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ר“ע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שלר“א פשוט הוא שיכול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גרוע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ר“א סובר שצריך להיות יפה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בוודאי לא יהני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ר“ע סובר שרק צריך להיות מאותו המין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מצאנו נחומרא לר“א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נראה שאומר שאף שואלים את זה לר“ע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אין משלמים מפירות חו“ל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מפ’ גמ’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מסתמא הוא מפני שאין תרומה יכול לחול עליהם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שלא היו חייבים בתרומה לעולם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מדאורייתא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אף שהם ממין של תרומה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continuous"/>
      <w:pgSz w:w="11906" w:h="16838"/>
      <w:pgMar w:left="1440" w:right="1440" w:gutter="0" w:header="0" w:top="1440" w:footer="0" w:bottom="1440"/>
      <w:cols w:num="2" w:space="720" w:equalWidth="true" w:sep="false"/>
      <w:formProt w:val="false"/>
      <w:textDirection w:val="lrTb"/>
      <w:bidi/>
      <w:bidi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hofar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rPr/>
      </w:pPr>
      <w:r>
        <w:rPr>
          <w:rStyle w:val="FootnoteCharacters"/>
        </w:rPr>
        <w:footnoteRef/>
      </w:r>
      <w:r>
        <w:rPr>
          <w:rtl w:val="true"/>
        </w:rPr>
        <w:t>איני יודע למה זה כל כך פשוט</w:t>
      </w:r>
      <w:r>
        <w:rPr>
          <w:rtl w:val="true"/>
        </w:rPr>
        <w:t xml:space="preserve">, </w:t>
      </w:r>
      <w:r>
        <w:rPr>
          <w:rtl w:val="true"/>
        </w:rPr>
        <w:t>שחושב אני שאוכל מטמא אוכל מדרבנן</w:t>
      </w:r>
      <w:r>
        <w:rPr>
          <w:rtl w:val="true"/>
        </w:rPr>
        <w:t xml:space="preserve">. </w:t>
      </w:r>
      <w:r>
        <w:rPr>
          <w:rtl w:val="true"/>
        </w:rPr>
        <w:t>אולי אין זה נכון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rPr/>
      </w:pPr>
      <w:r>
        <w:rPr>
          <w:rStyle w:val="FootnoteCharacters"/>
        </w:rPr>
        <w:footnoteRef/>
      </w:r>
      <w:r>
        <w:rPr>
          <w:rtl w:val="true"/>
        </w:rPr>
        <w:t>כן נראה לי</w:t>
      </w:r>
      <w:r>
        <w:rPr>
          <w:rtl w:val="true"/>
        </w:rPr>
        <w:t xml:space="preserve">, </w:t>
      </w:r>
      <w:r>
        <w:rPr>
          <w:rtl w:val="true"/>
        </w:rPr>
        <w:t>אבל איני יודע אם זה נכון</w:t>
      </w:r>
      <w:r>
        <w:rPr>
          <w:rtl w:val="true"/>
        </w:rPr>
        <w:t xml:space="preserve">, </w:t>
      </w:r>
      <w:r>
        <w:rPr>
          <w:rtl w:val="true"/>
        </w:rPr>
        <w:t>שאין זה ממש משקין</w:t>
      </w:r>
      <w:r>
        <w:rPr>
          <w:rtl w:val="true"/>
        </w:rPr>
        <w:t xml:space="preserve">, </w:t>
      </w:r>
      <w:r>
        <w:rPr>
          <w:rtl w:val="true"/>
        </w:rPr>
        <w:t>אלא הוא רק דבר לח</w:t>
      </w:r>
      <w:r>
        <w:rPr>
          <w:rtl w:val="true"/>
        </w:rPr>
        <w:t xml:space="preserve">. </w:t>
      </w:r>
      <w:r>
        <w:rPr>
          <w:rtl w:val="true"/>
        </w:rPr>
        <w:t>אולי הוא מפני שיאלו היה יבש</w:t>
      </w:r>
      <w:r>
        <w:rPr>
          <w:rtl w:val="true"/>
        </w:rPr>
        <w:t xml:space="preserve">, </w:t>
      </w:r>
      <w:r>
        <w:rPr>
          <w:rtl w:val="true"/>
        </w:rPr>
        <w:t>היה פשוט שלא יצרף</w:t>
      </w:r>
      <w:r>
        <w:rPr>
          <w:rtl w:val="true"/>
        </w:rPr>
        <w:t xml:space="preserve">, </w:t>
      </w:r>
      <w:r>
        <w:rPr>
          <w:rtl w:val="true"/>
        </w:rPr>
        <w:t>ואז לא יצטרך לחוש לגודל פיו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שיבש ר</w:t>
      </w:r>
      <w:r>
        <w:rPr>
          <w:rtl w:val="true"/>
        </w:rPr>
        <w:t>"</w:t>
      </w:r>
      <w:r>
        <w:rPr>
          <w:rtl w:val="true"/>
        </w:rPr>
        <w:t>ל שלא הוכשר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נראה שלא אפשר לומר שלא נחשב שם כבר מגמ’ לעיל</w:t>
      </w:r>
      <w:r>
        <w:rPr>
          <w:rtl w:val="true"/>
        </w:rPr>
        <w:t xml:space="preserve">, </w:t>
      </w:r>
      <w:r>
        <w:rPr>
          <w:rtl w:val="true"/>
        </w:rPr>
        <w:t>שאומר שיכול להיות שלענין אחד בטל</w:t>
      </w:r>
      <w:r>
        <w:rPr>
          <w:rtl w:val="true"/>
        </w:rPr>
        <w:t xml:space="preserve">, </w:t>
      </w:r>
      <w:r>
        <w:rPr>
          <w:rtl w:val="true"/>
        </w:rPr>
        <w:t>ולענין אחר אינו בטל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לשון תמיהה שכתבתי אינו כל כך דווקא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4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Arial" w:asciiTheme="minorHAnsi" w:cstheme="minorBidi" w:eastAsiaTheme="minorEastAsia" w:hAnsiTheme="minorHAnsi"/>
        <w:sz w:val="22"/>
        <w:szCs w:val="22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1"/>
      <w:spacing w:before="0" w:after="0"/>
      <w:jc w:val="left"/>
    </w:pPr>
    <w:rPr>
      <w:rFonts w:ascii="Shofar" w:hAnsi="Shofar" w:eastAsia="等线" w:cs="Shofar" w:eastAsiaTheme="minorEastAsia"/>
      <w:b/>
      <w:bCs/>
      <w:color w:val="auto"/>
      <w:kern w:val="0"/>
      <w:sz w:val="22"/>
      <w:szCs w:val="22"/>
      <w:lang w:val="en-US" w:eastAsia="zh-CN" w:bidi="he-I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等线 Light" w:cs="Times New Roman"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 Light" w:hAnsi="Calibri Light" w:eastAsia="等线 Light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Times New Roman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Linenumber">
    <w:name w:val="line number"/>
    <w:qFormat/>
    <w:rPr/>
  </w:style>
  <w:style w:type="character" w:styleId="NumberingSymbols" w:customStyle="1">
    <w:name w:val="Numbering Symbols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Shofar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等线" w:cs="Arial" w:asciiTheme="minorHAnsi" w:cstheme="minorBidi" w:eastAsiaTheme="minorEastAsia" w:hAnsiTheme="minorHAnsi"/>
      <w:color w:val="auto"/>
      <w:kern w:val="0"/>
      <w:sz w:val="22"/>
      <w:szCs w:val="22"/>
      <w:lang w:val="en-US" w:eastAsia="zh-CN" w:bidi="he-IL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before="0" w:after="300"/>
      <w:contextualSpacing/>
    </w:pPr>
    <w:rPr>
      <w:rFonts w:ascii="Calibri Light" w:hAnsi="Calibri Light" w:eastAsia="等线 Light" w:cs="Times New Roman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等线 Light" w:cs="Times New Roman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left="936" w:right="936" w:hanging="0"/>
    </w:pPr>
    <w:rPr>
      <w:b/>
      <w:bCs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qFormat/>
    <w:pPr/>
    <w:rPr>
      <w:bCs w:val="false"/>
      <w:iCs w:val="false"/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qFormat/>
    <w:pPr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/>
    <w:rPr>
      <w:rFonts w:ascii="Courier New" w:hAnsi="Courier New" w:cs="Courier New"/>
      <w:sz w:val="21"/>
      <w:szCs w:val="21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/>
    <w:rPr/>
  </w:style>
  <w:style w:type="paragraph" w:styleId="Footer">
    <w:name w:val="Footer"/>
    <w:basedOn w:val="Normal"/>
    <w:link w:val="FooterChar"/>
    <w:uiPriority w:val="99"/>
    <w:unhideWhenUsed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Application>LibreOffice/7.5.3.2$Windows_X86_64 LibreOffice_project/9f56dff12ba03b9acd7730a5a481eea045e468f3</Application>
  <AppVersion>15.0000</AppVersion>
  <Pages>3</Pages>
  <Words>2294</Words>
  <Characters>9173</Characters>
  <CharactersWithSpaces>11393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2023-06-11T11:03:00Z</dcterms:created>
  <dc:creator>שי הכהן</dc:creator>
  <dc:description/>
  <dc:language>en-US</dc:language>
  <cp:lastModifiedBy>שאול יואל הכהן חייט</cp:lastModifiedBy>
  <dcterms:modified xsi:type="dcterms:W3CDTF">2023-07-16T07:26:45Z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