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העיר</w:t>
      </w:r>
      <w:r>
        <w:rPr>
          <w:rtl w:val="true"/>
        </w:rPr>
        <w:t>’ שההו</w:t>
      </w:r>
      <w:r>
        <w:rPr>
          <w:rtl w:val="true"/>
        </w:rPr>
        <w:t>"</w:t>
      </w:r>
      <w:r>
        <w:rPr>
          <w:rtl w:val="true"/>
        </w:rPr>
        <w:t>א שלא יכול כה</w:t>
      </w:r>
      <w:r>
        <w:rPr>
          <w:rtl w:val="true"/>
        </w:rPr>
        <w:t>"</w:t>
      </w:r>
      <w:r>
        <w:rPr>
          <w:rtl w:val="true"/>
        </w:rPr>
        <w:t xml:space="preserve">ג לפרוע ראש סוטה מוזר </w:t>
      </w:r>
      <w:r>
        <w:rPr>
          <w:rtl w:val="true"/>
        </w:rPr>
        <w:t>.</w:t>
      </w:r>
      <w:r>
        <w:rPr>
          <w:rtl w:val="true"/>
        </w:rPr>
        <w:t xml:space="preserve">כ’ </w:t>
      </w:r>
      <w:r>
        <w:rPr>
          <w:b/>
          <w:b/>
          <w:bCs/>
          <w:rtl w:val="true"/>
        </w:rPr>
        <w:t>תוספתא</w:t>
      </w:r>
      <w:r>
        <w:rPr>
          <w:rtl w:val="true"/>
        </w:rPr>
        <w:t xml:space="preserve"> שהיו מגרילים מי היה צ’ לגלות ראשה</w:t>
      </w:r>
      <w:r>
        <w:rPr>
          <w:rtl w:val="true"/>
        </w:rPr>
        <w:t xml:space="preserve">, </w:t>
      </w:r>
      <w:r>
        <w:rPr>
          <w:rtl w:val="true"/>
        </w:rPr>
        <w:t>ואף אם נפל על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היה צריך</w:t>
      </w:r>
      <w:r>
        <w:rPr>
          <w:rtl w:val="true"/>
        </w:rPr>
        <w:t>. (</w:t>
      </w:r>
      <w:r>
        <w:rPr>
          <w:rtl w:val="true"/>
        </w:rPr>
        <w:t xml:space="preserve">וכן </w:t>
      </w:r>
      <w:r>
        <w:rPr>
          <w:b/>
          <w:b/>
          <w:bCs/>
          <w:rtl w:val="true"/>
        </w:rPr>
        <w:t>מדרש</w:t>
      </w:r>
      <w:r>
        <w:rPr>
          <w:rtl w:val="true"/>
        </w:rPr>
        <w:t xml:space="preserve"> אומר שהיה ה’ אומר קו</w:t>
      </w:r>
      <w:r>
        <w:rPr>
          <w:rtl w:val="true"/>
        </w:rPr>
        <w:t>"</w:t>
      </w:r>
      <w:r>
        <w:rPr>
          <w:rtl w:val="true"/>
        </w:rPr>
        <w:t>ח ממה שמלך עוסק בסוטה שאף כה</w:t>
      </w:r>
      <w:r>
        <w:rPr>
          <w:rtl w:val="true"/>
        </w:rPr>
        <w:t>"</w:t>
      </w:r>
      <w:r>
        <w:rPr>
          <w:rtl w:val="true"/>
        </w:rPr>
        <w:t>ג יעסוק</w:t>
      </w:r>
      <w:r>
        <w:rPr>
          <w:rtl w:val="true"/>
        </w:rPr>
        <w:t xml:space="preserve">.) </w:t>
      </w:r>
      <w:r>
        <w:rPr>
          <w:rtl w:val="true"/>
        </w:rPr>
        <w:t>נמצא שהוא קצת בזיון</w:t>
      </w:r>
      <w:r>
        <w:rPr>
          <w:rtl w:val="true"/>
        </w:rPr>
        <w:t xml:space="preserve">, </w:t>
      </w:r>
      <w:r>
        <w:rPr>
          <w:rtl w:val="true"/>
        </w:rPr>
        <w:t>ואז יש צד שלא יכול כהן גדול לעסוק בה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כה</w:t>
      </w:r>
      <w:r>
        <w:rPr>
          <w:rtl w:val="true"/>
        </w:rPr>
        <w:t>"</w:t>
      </w:r>
      <w:r>
        <w:rPr>
          <w:rtl w:val="true"/>
        </w:rPr>
        <w:t>ג יפרם למטה</w:t>
      </w:r>
      <w:r>
        <w:rPr>
          <w:rtl w:val="true"/>
        </w:rPr>
        <w:t xml:space="preserve">; </w:t>
      </w:r>
      <w:r>
        <w:rPr>
          <w:rtl w:val="true"/>
        </w:rPr>
        <w:t>הא אינו מקיים בזה קריעה</w:t>
      </w:r>
      <w:r>
        <w:rPr>
          <w:rtl w:val="true"/>
        </w:rPr>
        <w:t xml:space="preserve">. </w:t>
      </w:r>
      <w:r>
        <w:rPr>
          <w:rtl w:val="true"/>
        </w:rPr>
        <w:t xml:space="preserve">לשון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rtl w:val="true"/>
        </w:rPr>
        <w:t xml:space="preserve"> </w:t>
      </w:r>
      <w:r>
        <w:rPr>
          <w:rtl w:val="true"/>
        </w:rPr>
        <w:t>(“</w:t>
      </w:r>
      <w:r>
        <w:rPr>
          <w:rtl w:val="true"/>
        </w:rPr>
        <w:t>הלכך מותר בכה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") </w:t>
      </w:r>
      <w:r>
        <w:rPr>
          <w:rtl w:val="true"/>
        </w:rPr>
        <w:t>משמע שאינו חיוב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כת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במ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כו</w:t>
      </w:r>
      <w:r>
        <w:rPr>
          <w:rtl w:val="true"/>
        </w:rPr>
        <w:t xml:space="preserve">:) </w:t>
      </w:r>
      <w:r>
        <w:rPr>
          <w:rtl w:val="true"/>
        </w:rPr>
        <w:t>כ’ שאינו מצות קריעה</w:t>
      </w:r>
      <w:r>
        <w:rPr>
          <w:rtl w:val="true"/>
        </w:rPr>
        <w:t xml:space="preserve">, </w:t>
      </w:r>
      <w:r>
        <w:rPr>
          <w:rtl w:val="true"/>
        </w:rPr>
        <w:t xml:space="preserve">ורק עגמת נפש </w:t>
      </w:r>
      <w:r>
        <w:rPr>
          <w:rtl w:val="true"/>
        </w:rPr>
        <w:t>(</w:t>
      </w:r>
      <w:r>
        <w:rPr>
          <w:rtl w:val="true"/>
        </w:rPr>
        <w:t>כמו מה שקורעים בגדי קטן</w:t>
      </w:r>
      <w:r>
        <w:rPr>
          <w:rtl w:val="true"/>
        </w:rPr>
        <w:t xml:space="preserve">). </w:t>
      </w:r>
      <w:r>
        <w:rPr>
          <w:rtl w:val="true"/>
        </w:rPr>
        <w:t>נמצא שיש ענין בקריעה זה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ן</w:t>
      </w:r>
      <w:r>
        <w:rPr>
          <w:b w:val="false"/>
          <w:b w:val="false"/>
          <w:bCs w:val="false"/>
          <w:rtl w:val="true"/>
        </w:rPr>
        <w:t xml:space="preserve"> במ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שאינו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שכיון שאינו חייב באבילות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רק זכר לכבוד אביו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דומה למש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לוניל</w:t>
      </w:r>
      <w:r>
        <w:rPr>
          <w:b w:val="false"/>
          <w:b w:val="false"/>
          <w:bCs w:val="false"/>
          <w:rtl w:val="true"/>
        </w:rPr>
        <w:t xml:space="preserve"> כ’ כמו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 xml:space="preserve">כ’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חייב בכל דיני אבילות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שאסור לו לקרוע בגדיו למעלה…</w:t>
      </w:r>
      <w:r>
        <w:rPr>
          <w:b w:val="false"/>
          <w:bCs w:val="false"/>
          <w:rtl w:val="true"/>
        </w:rPr>
        <w:t xml:space="preserve">..” </w:t>
      </w:r>
      <w:r>
        <w:rPr>
          <w:b w:val="false"/>
          <w:b w:val="false"/>
          <w:bCs w:val="false"/>
          <w:rtl w:val="true"/>
        </w:rPr>
        <w:t>זה נגד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ורי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אבל חייב לקרוע על מתו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הקורע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שלא במקומו</w:t>
      </w:r>
      <w:r>
        <w:rPr>
          <w:b w:val="false"/>
          <w:bCs w:val="false"/>
          <w:rtl w:val="true"/>
        </w:rPr>
        <w:t xml:space="preserve">] </w:t>
      </w:r>
      <w:r>
        <w:rPr>
          <w:b w:val="false"/>
          <w:b w:val="false"/>
          <w:bCs w:val="false"/>
          <w:rtl w:val="true"/>
        </w:rPr>
        <w:t>לא יצא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שקורע למטה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משמע שמקיים בזה קריעה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משמע כן מרבו של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ן </w:t>
      </w:r>
      <w:r>
        <w:rPr>
          <w:b w:val="false"/>
          <w:bCs w:val="false"/>
          <w:rtl w:val="true"/>
        </w:rPr>
        <w:t>(</w:t>
      </w:r>
      <w:r>
        <w:rPr>
          <w:b/>
          <w:b/>
          <w:bCs/>
          <w:rtl w:val="true"/>
        </w:rPr>
        <w:t>רב נתן בר’ מאיר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ספר מאורות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חבר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כתב בשמו על גמ’ שאומר שלפעמים הכל צריכים לקרוע שכיון שמצינו שקריעה למטה נקרא קריעה לכה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מהני אף לזה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רק היכר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בודאי אין ראיה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הוכחה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דין קריעה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סנהדרין יט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חייב בכפיית מטה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משמע שיש לו דיני אבלות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אולי עדיין אין לו דין קריעה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העיר’</w:t>
      </w:r>
      <w:r>
        <w:rPr>
          <w:b w:val="false"/>
          <w:b w:val="false"/>
          <w:bCs w:val="false"/>
          <w:rtl w:val="true"/>
        </w:rPr>
        <w:t xml:space="preserve"> שכן נ’ מלשון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 פורם כדרך שבני אדם קורעים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ולא פטור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כ’ 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 w:val="false"/>
          <w:b w:val="false"/>
          <w:bCs w:val="false"/>
          <w:rtl w:val="true"/>
        </w:rPr>
        <w:t xml:space="preserve"> שאין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רשאי לקרוע על מת שימות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כ’ </w:t>
      </w:r>
      <w:r>
        <w:rPr>
          <w:b/>
          <w:b/>
          <w:bCs/>
          <w:rtl w:val="true"/>
        </w:rPr>
        <w:t>מנ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 w:val="false"/>
          <w:b w:val="false"/>
          <w:bCs w:val="false"/>
          <w:rtl w:val="true"/>
        </w:rPr>
        <w:t xml:space="preserve"> שמשמע ששלא על מת יכול לקרוע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ומק’ למקור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ש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משמע שהוא אף אם אינו על 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אחר שמשמע כסה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 שאומר שכה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ג </w:t>
      </w:r>
      <w:r>
        <w:rPr>
          <w:rStyle w:val="EndnoteAnchor"/>
          <w:b w:val="false"/>
          <w:b w:val="false"/>
          <w:bCs w:val="false"/>
          <w:rtl w:val="true"/>
        </w:rPr>
        <w:endnoteReference w:id="2"/>
      </w:r>
      <w:r>
        <w:rPr>
          <w:b w:val="false"/>
          <w:b w:val="false"/>
          <w:bCs w:val="false"/>
          <w:rtl w:val="true"/>
        </w:rPr>
        <w:t>מצורע קורע כיון שעשה דוחה לאו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שיש איסור אף אם אינו על 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נדרש כן ב</w:t>
      </w:r>
      <w:r>
        <w:rPr>
          <w:b/>
          <w:b/>
          <w:bCs/>
          <w:rtl w:val="true"/>
        </w:rPr>
        <w:t>תו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כ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ולכא’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הובא </w:t>
      </w:r>
      <w:r>
        <w:rPr>
          <w:b/>
          <w:b/>
          <w:bCs/>
          <w:rtl w:val="true"/>
        </w:rPr>
        <w:t>בגמרא</w:t>
      </w:r>
      <w:r>
        <w:rPr>
          <w:b w:val="false"/>
          <w:b w:val="false"/>
          <w:bCs w:val="false"/>
          <w:rtl w:val="true"/>
        </w:rPr>
        <w:t xml:space="preserve"> כשאומר במ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יד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והצרוע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מרבה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מפרשים שמרבה אותו לפריעה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בפירוש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כ</w:t>
      </w:r>
      <w:r>
        <w:rPr>
          <w:b w:val="false"/>
          <w:b w:val="false"/>
          <w:bCs w:val="false"/>
          <w:rtl w:val="true"/>
        </w:rPr>
        <w:t xml:space="preserve"> כ’ בשיטת ר’ ישמעאל שלא פורע כדרך שבני אדם פורעים על מתם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שהוא רק על מתו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חסדי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דוד</w:t>
      </w:r>
      <w:r>
        <w:rPr>
          <w:b w:val="false"/>
          <w:b w:val="false"/>
          <w:bCs w:val="false"/>
          <w:rtl w:val="true"/>
        </w:rPr>
        <w:t xml:space="preserve"> כ’ שאולי מרבה אף מתו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לא משמע שבא לרבות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קשה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כ’ שכמו שקריעה למת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טפח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כן לכה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לעבור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העיר’</w:t>
      </w:r>
      <w:r>
        <w:rPr>
          <w:b w:val="false"/>
          <w:b w:val="false"/>
          <w:bCs w:val="false"/>
          <w:rtl w:val="true"/>
        </w:rPr>
        <w:t xml:space="preserve"> שמה שגמרא משווה דין מת לכה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משמע שהוא רק קריעה על מתו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שכיון שלשון תורה בכה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ג ובמת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שנל’ מאזהרת קרא לאהרן ובניו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שוה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פריעה ופרימה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יש ללמוד זה מזה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3"/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נדה לז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שאשה שהיא מצורעת וזבה משלחת קרבנות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הק’ </w:t>
      </w:r>
      <w:r>
        <w:rPr>
          <w:b/>
          <w:b/>
          <w:bCs/>
          <w:rtl w:val="true"/>
        </w:rPr>
        <w:t>טורי אבן</w:t>
      </w:r>
      <w:r>
        <w:rPr>
          <w:b w:val="false"/>
          <w:b w:val="false"/>
          <w:bCs w:val="false"/>
          <w:rtl w:val="true"/>
        </w:rPr>
        <w:t xml:space="preserve"> שמצורע לא משלח קרבן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זכר יצחק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מד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כ’ שמצינו כמה הל’ אבלות במצורע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פריעה ופרימה</w:t>
      </w:r>
      <w:r>
        <w:rPr>
          <w:rStyle w:val="EndnoteAnchor"/>
          <w:b w:val="false"/>
          <w:b w:val="false"/>
          <w:bCs w:val="false"/>
          <w:rtl w:val="true"/>
        </w:rPr>
        <w:endnoteReference w:id="4"/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תשמיש המטה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כיסוי ראש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מצורעת מותרת באלו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שאין לה אבלות של מצורע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אם נאמר שדין שילוח קרבנות הוא דין אבלות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שאין אונן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אף אבל משלח קרבנות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נוכל לת’ 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העיר’ </w:t>
      </w:r>
      <w:r>
        <w:rPr>
          <w:b w:val="false"/>
          <w:b w:val="false"/>
          <w:bCs w:val="false"/>
          <w:rtl w:val="true"/>
        </w:rPr>
        <w:t xml:space="preserve">שגמרא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יד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שואל אם מצורע ינהג צרעתו ברגל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מוזר מה ששאל זה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כל טומאה נוהג ברגל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שהוא מחמת דיני אבלות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כ </w:t>
      </w:r>
      <w:r>
        <w:rPr>
          <w:b w:val="false"/>
          <w:b w:val="false"/>
          <w:bCs w:val="false"/>
          <w:rtl w:val="true"/>
        </w:rPr>
        <w:t>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יטה ראשו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מצורע</w:t>
      </w:r>
      <w:r>
        <w:rPr>
          <w:b w:val="false"/>
          <w:bCs w:val="false"/>
          <w:rtl w:val="true"/>
        </w:rPr>
        <w:t xml:space="preserve">] </w:t>
      </w:r>
      <w:r>
        <w:rPr>
          <w:b w:val="false"/>
          <w:b w:val="false"/>
          <w:bCs w:val="false"/>
          <w:rtl w:val="true"/>
        </w:rPr>
        <w:t>כאבל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כמו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אומר </w:t>
      </w:r>
      <w:r>
        <w:rPr>
          <w:b/>
          <w:b/>
          <w:bCs/>
          <w:rtl w:val="true"/>
        </w:rPr>
        <w:t>אונקלוס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העיר</w:t>
      </w:r>
      <w:r>
        <w:rPr>
          <w:b w:val="false"/>
          <w:b w:val="false"/>
          <w:bCs w:val="false"/>
          <w:rtl w:val="true"/>
        </w:rPr>
        <w:t>’ שמעניין שואמר כן רק בדין שפם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כ’ שטעם דין פריעה הוא כעין אבל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שאל </w:t>
      </w:r>
      <w:r>
        <w:rPr>
          <w:b/>
          <w:b/>
          <w:bCs/>
          <w:rtl w:val="true"/>
        </w:rPr>
        <w:t>רבי</w:t>
      </w:r>
      <w:r>
        <w:rPr>
          <w:b w:val="false"/>
          <w:b w:val="false"/>
          <w:bCs w:val="false"/>
          <w:rtl w:val="true"/>
        </w:rPr>
        <w:t xml:space="preserve"> ל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 אורבך</w:t>
      </w:r>
      <w:r>
        <w:rPr>
          <w:b w:val="false"/>
          <w:b w:val="false"/>
          <w:bCs w:val="false"/>
          <w:rtl w:val="true"/>
        </w:rPr>
        <w:t xml:space="preserve"> שגמרא אומר שטומאת מצורע חמור כיון שיש בו פרו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rStyle w:val="EndnoteAnchor"/>
          <w:b w:val="false"/>
          <w:b w:val="false"/>
          <w:bCs w:val="false"/>
          <w:rtl w:val="true"/>
        </w:rPr>
        <w:endnoteReference w:id="5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שהוא מדין טומאתו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שאבלות מחמת טומאתו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עפ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שצריך קרא לרבות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מצורע לקריעה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כש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מביא דין קריעת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כמעט סותר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בספר המצות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דן אם פריעת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בשעת עבודה ושל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שלא בשעת עבודה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וכ’ שכ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מוזהר אף על קריעות שאינם מחמת אבילה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מוזהר רק לקרוע בדרך אבילות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כ’ לשון שאיסור קריעת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ג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על מתו שמת לו</w:t>
      </w:r>
      <w:r>
        <w:rPr>
          <w:b w:val="false"/>
          <w:bCs w:val="false"/>
          <w:rtl w:val="true"/>
        </w:rPr>
        <w:t>.”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ן </w:t>
      </w:r>
      <w:r>
        <w:rPr>
          <w:b w:val="false"/>
          <w:b w:val="false"/>
          <w:bCs w:val="false"/>
          <w:rtl w:val="true"/>
        </w:rPr>
        <w:t>גם כן כ’ לשון כזה בתרגומו של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שאף שסותר את עצמו בכמה פרטים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מבואר הוא לסברו כסה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 w:val="false"/>
          <w:b w:val="false"/>
          <w:bCs w:val="false"/>
          <w:rtl w:val="true"/>
        </w:rPr>
        <w:t xml:space="preserve"> כ’ לת’ לסה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שאסור לכה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ג רק אם יש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קצת מצוה לקרוע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קרא למצורע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וכיון שנתמעט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רק בסה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ם </w:t>
      </w:r>
      <w:r>
        <w:rPr>
          <w:b w:val="false"/>
          <w:bCs w:val="false"/>
          <w:rtl w:val="true"/>
        </w:rPr>
        <w:t>(“</w:t>
      </w:r>
      <w:r>
        <w:rPr>
          <w:b w:val="false"/>
          <w:b w:val="false"/>
          <w:bCs w:val="false"/>
          <w:rtl w:val="true"/>
        </w:rPr>
        <w:t>על מתו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ו”אבלות”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לא משמע כן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צריכים לדון מה יהיה המקור למה שאומרים ראשונים שאין לכה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דין אבילות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שנלמד ממה שאסור לקרוע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זה יהני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לא יהיה מוכרח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רק אם נאמר כביאור ראשון שבסה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ח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נאסר מכל קריעות של אבילות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נאסר מכל קריעות של מצוה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חזרנו לזכר יצחק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הבאנו גמרא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יד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שדן אם מצורע נוהג צרעתו ברג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מה שיש הוה אמינא לגמרא שלא ינהג משמע שיש בו אבלות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שהותר ברגל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הוכחה ממה שגמרא בא מיד לאחר גמרא שאומר שאין אבלות ברגל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ראשונים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כ’ כן </w:t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אבלות צרעתו ברגל…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עצמו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חלות אבלות של צרעת…</w:t>
      </w:r>
      <w:r>
        <w:rPr>
          <w:b w:val="false"/>
          <w:bCs w:val="false"/>
          <w:rtl w:val="true"/>
        </w:rPr>
        <w:t xml:space="preserve">."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/>
          <w:b/>
          <w:bCs/>
          <w:rtl w:val="true"/>
        </w:rPr>
        <w:t>משנה למלך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במ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אמיתי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על שאלת אותו גמרא שדן לענין כיבוס בגדים ובשאלת שלום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אלו הם איסורי אבלות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על הדף שם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שאינו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אינו כל כך משמע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גמרא מביא ראיה מכהן גדול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שכל יום לו כרגל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ונוהג צרעת</w:t>
      </w:r>
      <w:r>
        <w:rPr>
          <w:b w:val="false"/>
          <w:bCs w:val="false"/>
          <w:rtl w:val="true"/>
        </w:rPr>
        <w:t>).</w:t>
      </w:r>
      <w:r>
        <w:rPr>
          <w:rStyle w:val="FootnoteAnchor"/>
          <w:b w:val="false"/>
          <w:bCs w:val="false"/>
          <w:rtl w:val="true"/>
        </w:rPr>
        <w:footnoteReference w:id="2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על הנחת זכר יצחק שמצורע אינו משלח קרבנות מחמת אבלות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כן כתב </w:t>
      </w:r>
      <w:r>
        <w:rPr>
          <w:b/>
          <w:b/>
          <w:bCs/>
          <w:rtl w:val="true"/>
        </w:rPr>
        <w:t>תוהרא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ש </w:t>
      </w:r>
      <w:r>
        <w:rPr>
          <w:b w:val="false"/>
          <w:b w:val="false"/>
          <w:bCs w:val="false"/>
          <w:rtl w:val="true"/>
        </w:rPr>
        <w:t>בפירוש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Cs w:val="false"/>
          <w:rtl w:val="true"/>
        </w:rPr>
        <w:t>.</w:t>
      </w:r>
      <w:r>
        <w:rPr>
          <w:b w:val="false"/>
          <w:b w:val="false"/>
          <w:bCs w:val="false"/>
          <w:rtl w:val="true"/>
        </w:rPr>
        <w:t xml:space="preserve">הק’ </w:t>
      </w:r>
      <w:r>
        <w:rPr>
          <w:b/>
          <w:b/>
          <w:bCs/>
          <w:rtl w:val="true"/>
        </w:rPr>
        <w:t>ר’</w:t>
      </w:r>
      <w:r>
        <w:rPr>
          <w:b w:val="false"/>
          <w:b w:val="false"/>
          <w:bCs w:val="false"/>
          <w:rtl w:val="true"/>
        </w:rPr>
        <w:t xml:space="preserve"> ש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שניהם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אומר שאין מצורע משלח מפני טומאתו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וכן אומר על ט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לומר כזכר יצחק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שבא לת’ 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על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זכ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שאין אבלות לאשה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העיר’ שדורשים קרא לפו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ועוד קרא להתיר תשמיש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שאין תה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אסור מחמת אבלות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וקרא מגלה שהוא דין אבלות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סותר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ביד החזקה וסה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ביה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כ’ שאין מצורעת מכסה ראשה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בסה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כ’ שמכסה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הנגיד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בן בן בנו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דן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המקור לפטור אותה יהיה שהוא דין אבלות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ושאין לה דין אבלות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כס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כ’ מקור אחר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שממעטים פו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בגמ’ ממקור שיש בו כיסוי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ע’ 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במגילה שדן בזה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חזרנו לגמרא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כ’ </w:t>
      </w:r>
      <w:r>
        <w:rPr>
          <w:b/>
          <w:b/>
          <w:bCs/>
          <w:rtl w:val="true"/>
        </w:rPr>
        <w:t>מאירי</w:t>
      </w:r>
      <w:r>
        <w:rPr>
          <w:b w:val="false"/>
          <w:b w:val="false"/>
          <w:bCs w:val="false"/>
          <w:rtl w:val="true"/>
        </w:rPr>
        <w:t xml:space="preserve"> שכה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כרגל כיון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אין אבלות חלה עליו כלל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גמרא מביא ראיה שכה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כרגל ממה שעובד באנינות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מק’ 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 xml:space="preserve">ריד </w:t>
      </w:r>
      <w:r>
        <w:rPr>
          <w:b w:val="false"/>
          <w:b w:val="false"/>
          <w:bCs w:val="false"/>
          <w:rtl w:val="true"/>
        </w:rPr>
        <w:t>שאין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אונן אוכל קרבן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קשיא זה מניח שאונן אוכל ברגל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 xml:space="preserve">זבחים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מאירי</w:t>
      </w:r>
      <w:r>
        <w:rPr>
          <w:b w:val="false"/>
          <w:b w:val="false"/>
          <w:bCs w:val="false"/>
          <w:rtl w:val="true"/>
        </w:rPr>
        <w:t xml:space="preserve"> בפסחים חול’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ת’ 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ד </w:t>
      </w:r>
      <w:r>
        <w:rPr>
          <w:b w:val="false"/>
          <w:b w:val="false"/>
          <w:bCs w:val="false"/>
          <w:rtl w:val="true"/>
        </w:rPr>
        <w:t>שלענין הק’ כרגל הוא</w:t>
      </w:r>
      <w:r>
        <w:rPr>
          <w:rStyle w:val="EndnoteAnchor"/>
          <w:b w:val="false"/>
          <w:b w:val="false"/>
          <w:bCs w:val="false"/>
          <w:rtl w:val="true"/>
        </w:rPr>
        <w:endnoteReference w:id="6"/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ת’ שכוונת גמרא להביא ראיה מפו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לא קל להבין שזה מת’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נאמר שאנינות קדשים חלוק כיון שהוא נוהג אף לאחר קבורה</w:t>
      </w:r>
      <w:r>
        <w:rPr>
          <w:rStyle w:val="EndnoteAnchor"/>
          <w:b w:val="false"/>
          <w:b w:val="false"/>
          <w:bCs w:val="false"/>
          <w:rtl w:val="true"/>
        </w:rPr>
        <w:endnoteReference w:id="7"/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מזה רואים שאין אבלות לכה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ושרואים זה מאיסור פו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זכ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סבר שיש אבלות לכה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איך נאמר שכה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כרגל</w:t>
      </w:r>
      <w:r>
        <w:rPr>
          <w:rStyle w:val="EndnoteAnchor"/>
          <w:b w:val="false"/>
          <w:b w:val="false"/>
          <w:bCs w:val="false"/>
          <w:rtl w:val="true"/>
        </w:rPr>
        <w:endnoteReference w:id="8"/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 xml:space="preserve">גמרא </w:t>
      </w:r>
      <w:r>
        <w:rPr>
          <w:b w:val="false"/>
          <w:b w:val="false"/>
          <w:bCs w:val="false"/>
          <w:rtl w:val="true"/>
        </w:rPr>
        <w:t xml:space="preserve"> בזבחים אומר שאנינות הותר מכללו אצל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הק’ רבי שאינו מקיל בו כיון שאינו אונן כלל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ממה שלא מביא ראיה מכ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בי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כגמ’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שהוא מח’ הסוגיות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פוסק כגמרא במ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שיש לו ראיה מזה</w:t>
      </w:r>
      <w:r>
        <w:rPr>
          <w:b w:val="false"/>
          <w:bCs w:val="false"/>
          <w:rtl w:val="true"/>
        </w:rPr>
        <w:t>.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אולי זה שייך למצורע חשוב כמת</w:t>
      </w:r>
      <w:r>
        <w:rPr>
          <w:rtl w:val="true"/>
        </w:rPr>
        <w:t xml:space="preserve">. </w:t>
      </w:r>
      <w:r>
        <w:rPr>
          <w:rtl w:val="true"/>
        </w:rPr>
        <w:t xml:space="preserve">זה אולי גם יכול לבאר למה הוא חומרא בטומאה </w:t>
      </w:r>
      <w:r>
        <w:rPr>
          <w:rtl w:val="true"/>
        </w:rPr>
        <w:t>(</w:t>
      </w:r>
      <w:r>
        <w:rPr>
          <w:rtl w:val="true"/>
        </w:rPr>
        <w:t>שאולי לכן טמא</w:t>
      </w:r>
      <w:r>
        <w:rPr>
          <w:rtl w:val="true"/>
        </w:rPr>
        <w:t xml:space="preserve">). </w:t>
      </w:r>
      <w:r>
        <w:rPr>
          <w:rtl w:val="true"/>
        </w:rPr>
        <w:t>לא נראה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הוא כמת מחמת דינים אלו</w:t>
      </w:r>
      <w:r>
        <w:rPr>
          <w:rtl w:val="true"/>
        </w:rPr>
        <w:t xml:space="preserve">. </w:t>
      </w:r>
      <w:r>
        <w:rPr>
          <w:rtl w:val="true"/>
        </w:rPr>
        <w:t xml:space="preserve">גם אולי יש לומר </w:t>
      </w:r>
      <w:r>
        <w:rPr>
          <w:rtl w:val="true"/>
        </w:rPr>
        <w:t>(</w:t>
      </w:r>
      <w:r>
        <w:rPr>
          <w:rtl w:val="true"/>
        </w:rPr>
        <w:t>וצריך ביאור למה</w:t>
      </w:r>
      <w:r>
        <w:rPr>
          <w:rtl w:val="true"/>
        </w:rPr>
        <w:t xml:space="preserve">) </w:t>
      </w:r>
      <w:r>
        <w:rPr>
          <w:rtl w:val="true"/>
        </w:rPr>
        <w:t>שהאיסור הוא קריעה שעל מת</w:t>
      </w:r>
      <w:r>
        <w:rPr>
          <w:rtl w:val="true"/>
        </w:rPr>
        <w:t>.</w:t>
      </w:r>
    </w:p>
  </w:endnote>
  <w:endnote w:id="3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יש לבאר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לשון תו</w:t>
      </w:r>
      <w:r>
        <w:rPr>
          <w:rtl w:val="true"/>
        </w:rPr>
        <w:t>"</w:t>
      </w:r>
      <w:r>
        <w:rPr>
          <w:rtl w:val="true"/>
        </w:rPr>
        <w:t>כ על פי זה</w:t>
      </w:r>
      <w:r>
        <w:rPr>
          <w:rtl w:val="true"/>
        </w:rPr>
        <w:t>.</w:t>
      </w:r>
    </w:p>
  </w:endnote>
  <w:endnote w:id="4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לא מצינו שממעט דין כיסוי שפם</w:t>
      </w:r>
      <w:r>
        <w:rPr>
          <w:rtl w:val="true"/>
        </w:rPr>
        <w:t>.</w:t>
      </w:r>
    </w:p>
  </w:endnote>
  <w:endnote w:id="5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 xml:space="preserve">גם יש לציין לשקלא וטריא של גמרא בכריתות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:).</w:t>
      </w:r>
    </w:p>
  </w:endnote>
  <w:endnote w:id="6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רצה לומר שיש לו דיני רגל </w:t>
      </w:r>
      <w:r>
        <w:rPr>
          <w:rtl w:val="true"/>
        </w:rPr>
        <w:t>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קדושה יתירה</w:t>
      </w:r>
      <w:r>
        <w:rPr>
          <w:rtl w:val="true"/>
        </w:rPr>
        <w:t xml:space="preserve">) </w:t>
      </w:r>
      <w:r>
        <w:rPr>
          <w:rtl w:val="true"/>
        </w:rPr>
        <w:t>במה שבא מקדושה שבא לעבודה</w:t>
      </w:r>
      <w:r>
        <w:rPr>
          <w:rtl w:val="true"/>
        </w:rPr>
        <w:t xml:space="preserve">, </w:t>
      </w:r>
      <w:r>
        <w:rPr>
          <w:rtl w:val="true"/>
        </w:rPr>
        <w:t>ולא בקדושה אחרת</w:t>
      </w:r>
      <w:r>
        <w:rPr>
          <w:rtl w:val="true"/>
        </w:rPr>
        <w:t xml:space="preserve">. </w:t>
      </w:r>
      <w:r>
        <w:rPr>
          <w:rtl w:val="true"/>
        </w:rPr>
        <w:t>כמו כן אמר’ במק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</w:endnote>
  <w:endnote w:id="7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לומר שאנינות חלוק</w:t>
      </w:r>
      <w:r>
        <w:rPr>
          <w:rtl w:val="true"/>
        </w:rPr>
        <w:t>.</w:t>
      </w:r>
    </w:p>
  </w:endnote>
  <w:endnote w:id="8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נראה שיש לת’ כרי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העיר’ שזה משמע שכה</w:t>
      </w:r>
      <w:r>
        <w:rPr>
          <w:rtl w:val="true"/>
        </w:rPr>
        <w:t>"</w:t>
      </w:r>
      <w:r>
        <w:rPr>
          <w:rtl w:val="true"/>
        </w:rPr>
        <w:t>ג שנצטרע עדיין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 xml:space="preserve">מס’ גמרא </w:t>
      </w:r>
      <w:r>
        <w:rPr>
          <w:rtl w:val="true"/>
        </w:rPr>
        <w:t>(</w:t>
      </w:r>
      <w:r>
        <w:rPr>
          <w:rtl w:val="true"/>
        </w:rPr>
        <w:t>הוריות</w:t>
      </w:r>
      <w:r>
        <w:rPr>
          <w:rtl w:val="true"/>
        </w:rPr>
        <w:t xml:space="preserve">) </w:t>
      </w:r>
      <w:r>
        <w:rPr>
          <w:rtl w:val="true"/>
        </w:rPr>
        <w:t>הוא שאסור באלמנה</w:t>
      </w:r>
      <w:r>
        <w:rPr>
          <w:rtl w:val="true"/>
        </w:rPr>
        <w:t xml:space="preserve">; </w:t>
      </w:r>
      <w:r>
        <w:rPr>
          <w:rtl w:val="true"/>
        </w:rPr>
        <w:t>משמע שהוא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עדיין 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שרבא הוא המביא ראיה כאן</w:t>
      </w:r>
      <w:r>
        <w:rPr>
          <w:rtl w:val="true"/>
        </w:rPr>
        <w:t xml:space="preserve">, </w:t>
      </w:r>
      <w:r>
        <w:rPr>
          <w:rtl w:val="true"/>
        </w:rPr>
        <w:t>ורבא היה מסופק בזה בהוריות</w:t>
      </w:r>
      <w:r>
        <w:rPr>
          <w:rtl w:val="true"/>
        </w:rPr>
        <w:t xml:space="preserve">. </w:t>
      </w:r>
      <w:r>
        <w:rPr>
          <w:rtl w:val="true"/>
        </w:rPr>
        <w:t>אפשר שאי אפשר לפשוט משם</w:t>
      </w:r>
      <w:r>
        <w:rPr>
          <w:rtl w:val="true"/>
        </w:rPr>
        <w:t xml:space="preserve">, </w:t>
      </w:r>
      <w:r>
        <w:rPr>
          <w:rtl w:val="true"/>
        </w:rPr>
        <w:t>שהיה אפשר לומר שאומר שאינו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 (</w:t>
      </w:r>
      <w:r>
        <w:rPr>
          <w:rtl w:val="true"/>
        </w:rPr>
        <w:t>קשה איך מביא ראיה</w:t>
      </w:r>
      <w:r>
        <w:rPr>
          <w:rtl w:val="true"/>
        </w:rPr>
        <w:t xml:space="preserve">)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בהוריות נראה שאין צד שהוא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וקשה</w:t>
      </w:r>
      <w:r>
        <w:rPr>
          <w:rtl w:val="true"/>
        </w:rPr>
        <w:t xml:space="preserve">. </w:t>
      </w:r>
      <w:r>
        <w:rPr>
          <w:rtl w:val="true"/>
        </w:rPr>
        <w:t>רד</w:t>
      </w:r>
      <w:r>
        <w:rPr>
          <w:rtl w:val="true"/>
        </w:rPr>
        <w:t>"</w:t>
      </w:r>
      <w:r>
        <w:rPr>
          <w:rtl w:val="true"/>
        </w:rPr>
        <w:t>ל בפרקי דר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לא חושב שחולק על רא</w:t>
      </w:r>
      <w:r>
        <w:rPr>
          <w:rtl w:val="true"/>
        </w:rPr>
        <w:t>"</w:t>
      </w:r>
      <w:r>
        <w:rPr>
          <w:rtl w:val="true"/>
        </w:rPr>
        <w:t>ש בביאור אותו גמרא</w:t>
      </w:r>
      <w:r>
        <w:rPr>
          <w:rtl w:val="true"/>
        </w:rPr>
        <w:t xml:space="preserve">) </w:t>
      </w:r>
      <w:r>
        <w:rPr>
          <w:rtl w:val="true"/>
        </w:rPr>
        <w:t>נוגע בזה</w:t>
      </w:r>
      <w:r>
        <w:rPr>
          <w:rtl w:val="true"/>
        </w:rPr>
        <w:t>. (</w:t>
      </w:r>
      <w:r>
        <w:rPr>
          <w:rtl w:val="true"/>
        </w:rPr>
        <w:t>אפשר לומר שבטל דין כה</w:t>
      </w:r>
      <w:r>
        <w:rPr>
          <w:rtl w:val="true"/>
        </w:rPr>
        <w:t>"</w:t>
      </w:r>
      <w:r>
        <w:rPr>
          <w:rtl w:val="true"/>
        </w:rPr>
        <w:t>ג מחמת אבילות</w:t>
      </w:r>
      <w:r>
        <w:rPr>
          <w:rtl w:val="true"/>
        </w:rPr>
        <w:t>)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</TotalTime>
  <Application>LibreOffice/7.3.2.2$Windows_X86_64 LibreOffice_project/49f2b1bff42cfccbd8f788c8dc32c1c309559be0</Application>
  <AppVersion>15.0000</AppVersion>
  <Pages>3</Pages>
  <Words>1174</Words>
  <Characters>4918</Characters>
  <CharactersWithSpaces>6075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2022-09-04T19:16:18Z</dcterms:created>
  <dc:creator/>
  <dc:description/>
  <dc:language>en-US</dc:language>
  <cp:lastModifiedBy/>
  <dcterms:modified xsi:type="dcterms:W3CDTF">2022-11-21T18:44:37Z</dcterms:modified>
  <cp:revision>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