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1"/>
        <w:snapToGrid w:val="true"/>
        <w:textAlignment w:val="auto"/>
        <w:rPr>
          <w:rFonts w:ascii="Times New Roman" w:hAnsi="Times New Roman" w:cs="Times New Roman"/>
        </w:rPr>
      </w:pPr>
      <w:r>
        <w:rPr>
          <w:rFonts w:cs="Times New Roman"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1"/>
        <w:snapToGrid w:val="true"/>
        <w:textAlignment w:val="auto"/>
        <w:rPr>
          <w:rFonts w:cs="Times New Roman"/>
          <w:lang w:val="en-US" w:bidi="he-IL"/>
        </w:rPr>
      </w:pPr>
      <w:r>
        <w:rPr>
          <w:rFonts w:ascii="Times New Roman" w:hAnsi="Times New Roman" w:cs="Times New Roman"/>
          <w:rtl w:val="true"/>
          <w:lang w:bidi="he-IL"/>
        </w:rPr>
        <w:t>משנה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אומר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למעט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בשמחה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באב</w:t>
      </w:r>
      <w:r>
        <w:rPr>
          <w:rFonts w:cs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לכן</w:t>
      </w:r>
      <w:r>
        <w:rPr>
          <w:rFonts w:cs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אומר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ר</w:t>
      </w:r>
      <w:r>
        <w:rPr>
          <w:rFonts w:cs="Times New Roman"/>
          <w:rtl w:val="true"/>
        </w:rPr>
        <w:t>"</w:t>
      </w:r>
      <w:r>
        <w:rPr>
          <w:rFonts w:ascii="Times New Roman" w:hAnsi="Times New Roman" w:cs="Times New Roman"/>
          <w:rtl w:val="true"/>
          <w:lang w:bidi="he-IL"/>
        </w:rPr>
        <w:t>פ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שלא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לעשות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דין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עמהם</w:t>
      </w:r>
      <w:r>
        <w:rPr>
          <w:rFonts w:cs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חולקים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אם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הוא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עד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טו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ב</w:t>
      </w:r>
      <w:r>
        <w:rPr>
          <w:rFonts w:cs="Times New Roman"/>
          <w:rtl w:val="true"/>
          <w:lang w:bidi="he-IL"/>
        </w:rPr>
        <w:t>אב</w:t>
      </w:r>
      <w:r>
        <w:rPr>
          <w:rFonts w:cs="Times New Roman"/>
          <w:rtl w:val="true"/>
          <w:lang w:val="en-US" w:bidi="he-IL"/>
        </w:rPr>
        <w:t xml:space="preserve"> </w:t>
      </w:r>
      <w:r>
        <w:rPr>
          <w:rFonts w:cs="Times New Roman"/>
          <w:rtl w:val="true"/>
          <w:lang w:val="en-US"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שאחריו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הוא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חדש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אח</w:t>
      </w:r>
      <w:r>
        <w:rPr>
          <w:rFonts w:cs="Times New Roman"/>
          <w:rtl w:val="true"/>
          <w:lang w:bidi="he-IL"/>
        </w:rPr>
        <w:t>ריו</w:t>
      </w:r>
      <w:r>
        <w:rPr>
          <w:rFonts w:cs="Times New Roman"/>
          <w:rtl w:val="true"/>
          <w:lang w:val="en-US" w:bidi="he-IL"/>
        </w:rPr>
        <w:t xml:space="preserve"> הוא חדש אחר</w:t>
      </w:r>
      <w:r>
        <w:rPr>
          <w:rFonts w:cs="Times New Roman"/>
          <w:rtl w:val="true"/>
          <w:lang w:val="en-US" w:bidi="he-IL"/>
        </w:rPr>
        <w:t xml:space="preserve">), </w:t>
      </w:r>
      <w:r>
        <w:rPr>
          <w:rFonts w:ascii="Times New Roman" w:hAnsi="Times New Roman" w:cs="Times New Roman"/>
          <w:rtl w:val="true"/>
          <w:lang w:bidi="he-IL"/>
        </w:rPr>
        <w:t>או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כל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האב</w:t>
      </w:r>
      <w:r>
        <w:rPr>
          <w:rFonts w:cs="Times New Roman"/>
          <w:rtl w:val="true"/>
        </w:rPr>
        <w:t>.</w:t>
      </w:r>
      <w:r>
        <w:rPr>
          <w:rFonts w:cs="Times New Roman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rtl w:val="true"/>
          <w:lang w:val="en-US" w:bidi="he-IL"/>
        </w:rPr>
        <w:t xml:space="preserve">גמרא אומר שממעטים מבנין של שמחה כשלא נענו </w:t>
      </w:r>
      <w:r>
        <w:rPr>
          <w:rFonts w:cs="Times New Roman"/>
          <w:rtl w:val="true"/>
          <w:lang w:val="en-US" w:bidi="he-IL"/>
        </w:rPr>
        <w:t>(</w:t>
      </w:r>
      <w:r>
        <w:rPr>
          <w:rFonts w:ascii="Times New Roman" w:hAnsi="Times New Roman" w:cs="Times New Roman"/>
          <w:rtl w:val="true"/>
          <w:lang w:val="en-US" w:bidi="he-IL"/>
        </w:rPr>
        <w:t>בתעניות</w:t>
      </w:r>
      <w:r>
        <w:rPr>
          <w:rFonts w:cs="Times New Roman"/>
          <w:rtl w:val="true"/>
          <w:lang w:val="en-US" w:bidi="he-IL"/>
        </w:rPr>
        <w:t xml:space="preserve">). </w:t>
      </w:r>
      <w:r>
        <w:rPr>
          <w:rFonts w:ascii="Times New Roman" w:hAnsi="Times New Roman" w:cs="Times New Roman"/>
          <w:rtl w:val="true"/>
          <w:lang w:val="en-US" w:bidi="he-IL"/>
        </w:rPr>
        <w:t>גמרא מבאר שזהו בית חתונה לבנו</w:t>
      </w:r>
      <w:r>
        <w:rPr>
          <w:rFonts w:cs="Times New Roman"/>
          <w:rtl w:val="true"/>
          <w:lang w:val="en-US" w:bidi="he-IL"/>
        </w:rPr>
        <w:t>.</w:t>
      </w:r>
      <w:r>
        <w:rPr>
          <w:rFonts w:cs="Times New Roman"/>
          <w:rtl w:val="true"/>
          <w:lang w:val="en-US" w:bidi="he-IL"/>
        </w:rPr>
        <w:t xml:space="preserve"> </w:t>
      </w:r>
      <w:r>
        <w:rPr>
          <w:rFonts w:cs="Times New Roman"/>
          <w:rtl w:val="true"/>
          <w:lang w:val="en-US" w:bidi="he-IL"/>
        </w:rPr>
        <w:t>כ’ ירושלמי אומר שרק בנין שמחה מותר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אבל אם ביתו נופל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מתקנו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אז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אומר ר”ן שבנין שמחה הוא מה שאין לו הכרח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זה אינו כפשוטיו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שגמרא מבאר שהוא חתנות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רא”ש חולק על זה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ואמר שירושלמי דן בתיקון בית חתנות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שו”ע כ’ שהוא “בנין עם ציור</w:t>
      </w:r>
      <w:r>
        <w:rPr>
          <w:rFonts w:cs="Times New Roman"/>
          <w:rtl w:val="true"/>
          <w:lang w:val="en-US" w:bidi="he-IL"/>
        </w:rPr>
        <w:t xml:space="preserve">,” </w:t>
      </w:r>
      <w:r>
        <w:rPr>
          <w:rFonts w:cs="Times New Roman"/>
          <w:rtl w:val="true"/>
          <w:lang w:val="en-US" w:bidi="he-IL"/>
        </w:rPr>
        <w:t>והוא לשון רמב”ם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מוסיף שאם היה כותלו נוטה ליפול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אף שאם הוא של שמחה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יכול לתקנו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ק’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שלרא”ש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מותר אף בשל חתנות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ולר”ן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כבר כל בנין אסור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ואין רואים הדין אם בית חתנות נוטה ליפול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אפשר שסבר שאין לחלק בין בית לבית חתנות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גם אפשר שסובר שהוא רק בבית שהוא קצת של שמחה כזה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תוס’ במגילה כ’ שמיעוט משא ומתן הוא בשמחה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אבל שאר בנינים שרי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משמע נגד ר”ן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תוס’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באמת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רק דן במו”מ בעיקר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אלא שאגב זה אומר דין בנין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תוס’ יבמות אומר שבנין הוא של שמחה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ויש מפרשים שמו”מ נמי איירי בשל שמחה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כמו צרכי שמחה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רואים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אז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 xml:space="preserve">מה סובר תוס’ להיות שמחה </w:t>
      </w:r>
      <w:r>
        <w:rPr>
          <w:rFonts w:cs="Times New Roman"/>
          <w:rtl w:val="true"/>
          <w:lang w:val="en-US" w:bidi="he-IL"/>
        </w:rPr>
        <w:t>(</w:t>
      </w:r>
      <w:r>
        <w:rPr>
          <w:rFonts w:cs="Times New Roman"/>
          <w:rtl w:val="true"/>
          <w:lang w:val="en-US" w:bidi="he-IL"/>
        </w:rPr>
        <w:t>חתנות</w:t>
      </w:r>
      <w:r>
        <w:rPr>
          <w:rFonts w:cs="Times New Roman"/>
          <w:rtl w:val="true"/>
          <w:lang w:val="en-US" w:bidi="he-IL"/>
        </w:rPr>
        <w:t xml:space="preserve">). </w:t>
      </w:r>
      <w:r>
        <w:rPr>
          <w:rFonts w:cs="Times New Roman"/>
          <w:rtl w:val="true"/>
          <w:lang w:val="en-US" w:bidi="he-IL"/>
        </w:rPr>
        <w:t xml:space="preserve">תוס’ חולק על צד זה </w:t>
      </w:r>
      <w:r>
        <w:rPr>
          <w:rFonts w:cs="Times New Roman"/>
          <w:rtl w:val="true"/>
          <w:lang w:val="en-US" w:bidi="he-IL"/>
        </w:rPr>
        <w:t>(</w:t>
      </w:r>
      <w:r>
        <w:rPr>
          <w:rFonts w:cs="Times New Roman"/>
          <w:rtl w:val="true"/>
          <w:lang w:val="en-US" w:bidi="he-IL"/>
        </w:rPr>
        <w:t>של מו”מ</w:t>
      </w:r>
      <w:r>
        <w:rPr>
          <w:rFonts w:cs="Times New Roman"/>
          <w:rtl w:val="true"/>
          <w:lang w:val="en-US" w:bidi="he-IL"/>
        </w:rPr>
        <w:t xml:space="preserve">). </w:t>
      </w:r>
      <w:r>
        <w:rPr>
          <w:rFonts w:cs="Times New Roman"/>
          <w:rtl w:val="true"/>
          <w:lang w:val="en-US" w:bidi="he-IL"/>
        </w:rPr>
        <w:t>העיר’ שגמרא מגילה משמע כתוס’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שאומר שנטע רבי בפורים כיון ששל שמחה מותר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כמו שבתענית אסור רק בשל שמחה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לר”ן היה מותר אא”כ היה הכרחי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לא נראה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ריטב”א כ’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באמת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בפירוש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שדינא הוא שיהיה מותר כיון שהוא יום שמחה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זה אינו לר”ן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ואולי לר”ן צ”ל שיש מושג של חילוק בין שמחה לשאר דבר</w:t>
      </w:r>
      <w:r>
        <w:rPr>
          <w:rFonts w:cs="Times New Roman"/>
          <w:rtl w:val="true"/>
          <w:lang w:val="en-US" w:bidi="he-IL"/>
        </w:rPr>
        <w:t>.</w:t>
      </w:r>
      <w:r>
        <w:rPr>
          <w:rStyle w:val="FootnoteAnchor"/>
          <w:rFonts w:cs="Times New Roman"/>
          <w:rtl w:val="true"/>
          <w:lang w:val="en-US" w:bidi="he-IL"/>
        </w:rPr>
        <w:footnoteReference w:id="2"/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1"/>
        <w:snapToGrid w:val="true"/>
        <w:textAlignment w:val="auto"/>
        <w:rPr>
          <w:rFonts w:cs="Times New Roman"/>
          <w:lang w:val="en-US" w:bidi="he-IL"/>
        </w:rPr>
      </w:pPr>
      <w:r>
        <w:rPr>
          <w:rFonts w:cs="Times New Roman"/>
          <w:rtl w:val="true"/>
          <w:lang w:val="en-US" w:bidi="he-IL"/>
        </w:rPr>
        <w:t>דנים מהו “ממעטים</w:t>
      </w:r>
      <w:r>
        <w:rPr>
          <w:rFonts w:cs="Times New Roman"/>
          <w:rtl w:val="true"/>
          <w:lang w:val="en-US" w:bidi="he-IL"/>
        </w:rPr>
        <w:t xml:space="preserve">.” </w:t>
      </w:r>
      <w:r>
        <w:rPr>
          <w:rFonts w:cs="Times New Roman"/>
          <w:rtl w:val="true"/>
          <w:lang w:val="en-US" w:bidi="he-IL"/>
        </w:rPr>
        <w:t>תוס’ אומר שלא יהיו עושים כלל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שהיה לו לפרש השיעור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ק’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שתוס’ אמר שרק בשל שמחה אסור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פשוט לתרץ שצריכים למעט כל משא של שחמה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וצריך למעטו לגמרי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תוס’ ביבמות כ’ שקאי על כל מו”מ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ורק ריבוי אסור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ויכולים לעשות מעט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דן בשני שאלות ביחד כיון שהם שייכים זה לזה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שמגדירים מה יכול לעשות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ב”י מביא בני בודן שלא עושים שום מו”מ כלל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כ’ שאין להם על מי שישמחו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ששני התוס’ נגד זה</w:t>
      </w:r>
      <w:r>
        <w:rPr>
          <w:rStyle w:val="FootnoteAnchor"/>
          <w:rFonts w:cs="Times New Roman"/>
          <w:rtl w:val="true"/>
          <w:lang w:val="en-US" w:bidi="he-IL"/>
        </w:rPr>
        <w:footnoteReference w:id="3"/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היה אפשר לומר שבזה סוברים כזה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ובזה כזה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יש”ש אומר שבכל זמן שיש מח’ בין תוס’ במס’ יותר קטן ויותר גדול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הל’ כשל גדול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שהוא מר”א מטוך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גם מבאר שהתירו רק כדי פרנסתו</w:t>
      </w:r>
      <w:r>
        <w:rPr>
          <w:rFonts w:cs="Times New Roman"/>
          <w:rtl w:val="true"/>
          <w:lang w:val="en-US" w:bidi="he-IL"/>
        </w:rPr>
        <w:t>. (</w:t>
      </w:r>
      <w:r>
        <w:rPr>
          <w:rFonts w:cs="Times New Roman"/>
          <w:rtl w:val="true"/>
          <w:lang w:val="en-US" w:bidi="he-IL"/>
        </w:rPr>
        <w:t>כ’ שלכן לא מקילים על זה</w:t>
      </w:r>
      <w:r>
        <w:rPr>
          <w:rFonts w:cs="Times New Roman"/>
          <w:rtl w:val="true"/>
          <w:lang w:val="en-US" w:bidi="he-IL"/>
        </w:rPr>
        <w:t xml:space="preserve">.) </w:t>
      </w:r>
      <w:r>
        <w:rPr>
          <w:rFonts w:cs="Times New Roman"/>
          <w:rtl w:val="true"/>
          <w:lang w:val="en-US" w:bidi="he-IL"/>
        </w:rPr>
        <w:t>כן נוטה משנ”ב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העיר’ שתוס’ לא משמע כן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וכ’ שימעט יותר מבשאר ימים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רא”ש מציין שהוא כדי שיהיו נראים כמתאבלים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זה שיעור חלוק</w:t>
      </w:r>
      <w:r>
        <w:rPr>
          <w:rFonts w:cs="Times New Roman"/>
          <w:rtl w:val="true"/>
          <w:lang w:val="en-US" w:bidi="he-IL"/>
        </w:rPr>
        <w:t>. (</w:t>
      </w:r>
      <w:r>
        <w:rPr>
          <w:rFonts w:cs="Times New Roman"/>
          <w:rtl w:val="true"/>
          <w:lang w:val="en-US" w:bidi="he-IL"/>
        </w:rPr>
        <w:t>עיין במהרי ברונא</w:t>
      </w:r>
      <w:r>
        <w:rPr>
          <w:rFonts w:cs="Times New Roman"/>
          <w:rtl w:val="true"/>
          <w:lang w:val="en-US" w:bidi="he-IL"/>
        </w:rPr>
        <w:t>.)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1"/>
        <w:snapToGrid w:val="true"/>
        <w:textAlignment w:val="auto"/>
        <w:rPr>
          <w:rFonts w:cs="Times New Roman"/>
          <w:lang w:val="en-US" w:bidi="he-IL"/>
        </w:rPr>
      </w:pPr>
      <w:r>
        <w:rPr>
          <w:rFonts w:cs="Times New Roman"/>
          <w:rtl w:val="true"/>
          <w:lang w:val="en-US" w:bidi="he-IL"/>
        </w:rPr>
        <w:t>תוס’ ביבמות כ’ על מיעוט של אב שבתענית מוקי רק בבנין של שמחה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שם ב</w:t>
      </w:r>
      <w:r>
        <w:rPr>
          <w:rFonts w:cs="Times New Roman"/>
          <w:rtl w:val="true"/>
          <w:lang w:val="en-US" w:bidi="he-IL"/>
        </w:rPr>
        <w:t xml:space="preserve">[] </w:t>
      </w:r>
      <w:r>
        <w:rPr>
          <w:rFonts w:cs="Times New Roman"/>
          <w:rtl w:val="true"/>
          <w:lang w:val="en-US" w:bidi="he-IL"/>
        </w:rPr>
        <w:t xml:space="preserve">כ’ שהוא בירושלמי </w:t>
      </w:r>
      <w:r>
        <w:rPr>
          <w:rFonts w:cs="Times New Roman"/>
          <w:rtl w:val="true"/>
          <w:lang w:val="en-US" w:bidi="he-IL"/>
        </w:rPr>
        <w:t>(</w:t>
      </w:r>
      <w:r>
        <w:rPr>
          <w:rFonts w:cs="Times New Roman"/>
          <w:rtl w:val="true"/>
          <w:lang w:val="en-US" w:bidi="he-IL"/>
        </w:rPr>
        <w:t>שאין גמרא כזה</w:t>
      </w:r>
      <w:r>
        <w:rPr>
          <w:rFonts w:cs="Times New Roman"/>
          <w:rtl w:val="true"/>
          <w:lang w:val="en-US" w:bidi="he-IL"/>
        </w:rPr>
        <w:t xml:space="preserve">). </w:t>
      </w:r>
      <w:r>
        <w:rPr>
          <w:rFonts w:cs="Times New Roman"/>
          <w:rtl w:val="true"/>
          <w:lang w:val="en-US" w:bidi="he-IL"/>
        </w:rPr>
        <w:t xml:space="preserve">על משנה זה </w:t>
      </w:r>
      <w:r>
        <w:rPr>
          <w:rFonts w:cs="Times New Roman"/>
          <w:rtl w:val="true"/>
          <w:lang w:val="en-US" w:bidi="he-IL"/>
        </w:rPr>
        <w:t>(</w:t>
      </w:r>
      <w:r>
        <w:rPr>
          <w:rFonts w:cs="Times New Roman"/>
          <w:rtl w:val="true"/>
          <w:lang w:val="en-US" w:bidi="he-IL"/>
        </w:rPr>
        <w:t>שאינו לעולם ראיה</w:t>
      </w:r>
      <w:r>
        <w:rPr>
          <w:rFonts w:cs="Times New Roman"/>
          <w:rtl w:val="true"/>
          <w:lang w:val="en-US" w:bidi="he-IL"/>
        </w:rPr>
        <w:t xml:space="preserve">) </w:t>
      </w:r>
      <w:r>
        <w:rPr>
          <w:rFonts w:cs="Times New Roman"/>
          <w:rtl w:val="true"/>
          <w:lang w:val="en-US" w:bidi="he-IL"/>
        </w:rPr>
        <w:t>אומר שהוא בבנין של שמחה</w:t>
      </w:r>
      <w:r>
        <w:rPr>
          <w:rFonts w:cs="Times New Roman"/>
          <w:rtl w:val="true"/>
          <w:lang w:val="en-US" w:bidi="he-IL"/>
        </w:rPr>
        <w:t>.</w:t>
      </w:r>
      <w:r>
        <w:rPr>
          <w:rStyle w:val="FootnoteAnchor"/>
          <w:rFonts w:cs="Times New Roman"/>
          <w:rtl w:val="true"/>
          <w:lang w:val="en-US" w:bidi="he-IL"/>
        </w:rPr>
        <w:footnoteReference w:id="4"/>
      </w:r>
      <w:r>
        <w:rPr>
          <w:rFonts w:cs="Times New Roman"/>
          <w:rtl w:val="true"/>
          <w:lang w:val="en-US" w:bidi="he-IL"/>
        </w:rPr>
        <w:t xml:space="preserve"> </w:t>
      </w:r>
      <w:r>
        <w:rPr>
          <w:rFonts w:cs="Times New Roman"/>
          <w:rtl w:val="true"/>
          <w:lang w:val="en-US" w:bidi="he-IL"/>
        </w:rPr>
        <w:t>יש ראשונים שאומרים כן מסברתם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אולי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אז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 xml:space="preserve">תוס’ מכוון לומר פ”ק דתענית </w:t>
      </w:r>
      <w:r>
        <w:rPr>
          <w:rFonts w:cs="Times New Roman"/>
          <w:rtl w:val="true"/>
          <w:lang w:val="en-US" w:bidi="he-IL"/>
        </w:rPr>
        <w:t>(</w:t>
      </w:r>
      <w:r>
        <w:rPr>
          <w:rFonts w:cs="Times New Roman"/>
          <w:rtl w:val="true"/>
          <w:lang w:val="en-US" w:bidi="he-IL"/>
        </w:rPr>
        <w:t>שהוא מקור של איסור תענית זה</w:t>
      </w:r>
      <w:r>
        <w:rPr>
          <w:rFonts w:cs="Times New Roman"/>
          <w:rtl w:val="true"/>
          <w:lang w:val="en-US" w:bidi="he-IL"/>
        </w:rPr>
        <w:t xml:space="preserve">). </w:t>
      </w:r>
      <w:r>
        <w:rPr>
          <w:rFonts w:cs="Times New Roman"/>
          <w:rtl w:val="true"/>
          <w:lang w:val="en-US" w:bidi="he-IL"/>
        </w:rPr>
        <w:t>העיר’ שממה שלא פירש כלל כאן משמע שהוא שווה לדין תענית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טור מביא יש אומרים שכיון שאוסר סתם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אוסר כל בנין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כמו מו”מ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קשה איך יישמע כן מ”ממעטים בשמחה</w:t>
      </w:r>
      <w:r>
        <w:rPr>
          <w:rFonts w:cs="Times New Roman"/>
          <w:rtl w:val="true"/>
          <w:lang w:val="en-US" w:bidi="he-IL"/>
        </w:rPr>
        <w:t xml:space="preserve">.”  </w:t>
      </w:r>
      <w:r>
        <w:rPr>
          <w:rFonts w:cs="Times New Roman"/>
          <w:rtl w:val="true"/>
          <w:lang w:val="en-US" w:bidi="he-IL"/>
        </w:rPr>
        <w:t xml:space="preserve">ריבב”ן ור”י מלוניל </w:t>
      </w:r>
      <w:r>
        <w:rPr>
          <w:rFonts w:cs="Times New Roman"/>
          <w:rtl w:val="true"/>
          <w:lang w:val="en-US" w:bidi="he-IL"/>
        </w:rPr>
        <w:t>(</w:t>
      </w:r>
      <w:r>
        <w:rPr>
          <w:rFonts w:cs="Times New Roman"/>
          <w:rtl w:val="true"/>
          <w:lang w:val="en-US" w:bidi="he-IL"/>
        </w:rPr>
        <w:t>אף שלא היה שום שייכות בין אנשים אלו</w:t>
      </w:r>
      <w:r>
        <w:rPr>
          <w:rFonts w:cs="Times New Roman"/>
          <w:rtl w:val="true"/>
          <w:lang w:val="en-US" w:bidi="he-IL"/>
        </w:rPr>
        <w:t xml:space="preserve">) </w:t>
      </w:r>
      <w:r>
        <w:rPr>
          <w:rFonts w:cs="Times New Roman"/>
          <w:rtl w:val="true"/>
          <w:lang w:val="en-US" w:bidi="he-IL"/>
        </w:rPr>
        <w:t>כותבים שמיעוט שמחה קאי על נשואים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מה שלא אומר כפשטות גמרא הוא לכאורה כי”א זה</w:t>
      </w:r>
      <w:r>
        <w:rPr>
          <w:rFonts w:cs="Times New Roman"/>
          <w:rtl w:val="true"/>
          <w:lang w:val="en-US" w:bidi="he-IL"/>
        </w:rPr>
        <w:t>. (</w:t>
      </w:r>
      <w:r>
        <w:rPr>
          <w:rFonts w:cs="Times New Roman"/>
          <w:rtl w:val="true"/>
          <w:lang w:val="en-US" w:bidi="he-IL"/>
        </w:rPr>
        <w:t>ויש שאומרים שכל דין מו”מ וכדו’ באב הוא רק מנהג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ולא דין כדין משנתינו כלל</w:t>
      </w:r>
      <w:r>
        <w:rPr>
          <w:rFonts w:cs="Times New Roman"/>
          <w:rtl w:val="true"/>
          <w:lang w:val="en-US" w:bidi="he-IL"/>
        </w:rPr>
        <w:t xml:space="preserve">.) </w:t>
      </w:r>
      <w:r>
        <w:rPr>
          <w:rFonts w:cs="Times New Roman"/>
          <w:rtl w:val="true"/>
          <w:lang w:val="en-US" w:bidi="he-IL"/>
        </w:rPr>
        <w:t>יש לדון אם מיעוט זה אוסר או שממעט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 xml:space="preserve">רימ”ל מבאר שממעטים בשמחת חופה </w:t>
      </w:r>
      <w:r>
        <w:rPr>
          <w:rFonts w:cs="Times New Roman"/>
          <w:rtl w:val="true"/>
          <w:lang w:val="en-US" w:bidi="he-IL"/>
        </w:rPr>
        <w:t>(</w:t>
      </w:r>
      <w:r>
        <w:rPr>
          <w:rFonts w:cs="Times New Roman"/>
          <w:rtl w:val="true"/>
          <w:lang w:val="en-US" w:bidi="he-IL"/>
        </w:rPr>
        <w:t>ולא שלא נושאים</w:t>
      </w:r>
      <w:r>
        <w:rPr>
          <w:rFonts w:cs="Times New Roman"/>
          <w:rtl w:val="true"/>
          <w:lang w:val="en-US" w:bidi="he-IL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1"/>
        <w:snapToGrid w:val="true"/>
        <w:textAlignment w:val="auto"/>
        <w:rPr>
          <w:rFonts w:cs="Times New Roman"/>
          <w:lang w:val="en-US" w:bidi="he-IL"/>
        </w:rPr>
      </w:pPr>
      <w:r>
        <w:rPr>
          <w:rFonts w:cs="Times New Roman"/>
          <w:rtl w:val="true"/>
          <w:lang w:val="en-US" w:bidi="he-IL"/>
        </w:rPr>
        <w:t>שו”ע כ’</w:t>
      </w:r>
      <w:r>
        <w:rPr>
          <w:rFonts w:cs="Times New Roman"/>
          <w:rtl w:val="true"/>
          <w:lang w:val="en-US" w:bidi="he-IL"/>
        </w:rPr>
        <w:t>, “[</w:t>
      </w:r>
      <w:r>
        <w:rPr>
          <w:rFonts w:cs="Times New Roman"/>
          <w:rtl w:val="true"/>
          <w:lang w:val="en-US" w:bidi="he-IL"/>
        </w:rPr>
        <w:t>א</w:t>
      </w:r>
      <w:r>
        <w:rPr>
          <w:rFonts w:cs="Times New Roman"/>
          <w:rtl w:val="true"/>
          <w:lang w:val="en-US" w:bidi="he-IL"/>
        </w:rPr>
        <w:t xml:space="preserve">] </w:t>
      </w:r>
      <w:r>
        <w:rPr>
          <w:rFonts w:cs="Times New Roman"/>
          <w:rtl w:val="true"/>
          <w:lang w:val="en-US" w:bidi="he-IL"/>
        </w:rPr>
        <w:t>משנכנס אב ממעטים בשמחה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וכל בר ישראל שיש לו דין</w:t>
      </w:r>
      <w:r>
        <w:rPr>
          <w:rFonts w:cs="Times New Roman"/>
          <w:rtl w:val="true"/>
          <w:lang w:val="en-US" w:bidi="he-IL"/>
        </w:rPr>
        <w:t>... [</w:t>
      </w:r>
      <w:r>
        <w:rPr>
          <w:rFonts w:cs="Times New Roman"/>
          <w:rtl w:val="true"/>
          <w:lang w:val="en-US" w:bidi="he-IL"/>
        </w:rPr>
        <w:t>ב</w:t>
      </w:r>
      <w:r>
        <w:rPr>
          <w:rFonts w:cs="Times New Roman"/>
          <w:rtl w:val="true"/>
          <w:lang w:val="en-US" w:bidi="he-IL"/>
        </w:rPr>
        <w:t xml:space="preserve">] </w:t>
      </w:r>
      <w:r>
        <w:rPr>
          <w:rFonts w:cs="Times New Roman"/>
          <w:rtl w:val="true"/>
          <w:lang w:val="en-US" w:bidi="he-IL"/>
        </w:rPr>
        <w:t>מר”ח עד תענית ממעטים במשא ומתן</w:t>
      </w:r>
      <w:r>
        <w:rPr>
          <w:rFonts w:cs="Times New Roman"/>
          <w:rtl w:val="true"/>
          <w:lang w:val="en-US" w:bidi="he-IL"/>
        </w:rPr>
        <w:t xml:space="preserve">... “ </w:t>
      </w:r>
      <w:r>
        <w:rPr>
          <w:rFonts w:cs="Times New Roman"/>
          <w:rtl w:val="true"/>
          <w:lang w:val="en-US" w:bidi="he-IL"/>
        </w:rPr>
        <w:t>מעניין שרק בסעיף ב אומר כלל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אולי לכן כ’ מג”א שבראשון הוא כל החדש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מביא מר”י שכן משמע מגמרא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חת”ם כ’ שהוא דומה לאדר</w:t>
      </w:r>
      <w:r>
        <w:rPr>
          <w:rStyle w:val="FootnoteAnchor"/>
          <w:rFonts w:cs="Times New Roman"/>
          <w:rtl w:val="true"/>
          <w:lang w:val="en-US" w:bidi="he-IL"/>
        </w:rPr>
        <w:footnoteReference w:id="5"/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ק”נ כ’ שגמרא משמע נגד מג”א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שדין של “כל בר ישראל” נאמר מפני מיעוט שמחה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 xml:space="preserve">כיון שמיעוט הוא עד תענית </w:t>
      </w:r>
      <w:r>
        <w:rPr>
          <w:rFonts w:cs="Times New Roman"/>
          <w:rtl w:val="true"/>
          <w:lang w:val="en-US" w:bidi="he-IL"/>
        </w:rPr>
        <w:t>(</w:t>
      </w:r>
      <w:r>
        <w:rPr>
          <w:rFonts w:cs="Times New Roman"/>
          <w:rtl w:val="true"/>
          <w:lang w:val="en-US" w:bidi="he-IL"/>
        </w:rPr>
        <w:t>שכן אומר שו”ע על מיעוט מו”מ</w:t>
      </w:r>
      <w:r>
        <w:rPr>
          <w:rFonts w:cs="Times New Roman"/>
          <w:rtl w:val="true"/>
          <w:lang w:val="en-US" w:bidi="he-IL"/>
        </w:rPr>
        <w:t xml:space="preserve">), </w:t>
      </w:r>
      <w:r>
        <w:rPr>
          <w:rFonts w:cs="Times New Roman"/>
          <w:rtl w:val="true"/>
          <w:lang w:val="en-US" w:bidi="he-IL"/>
        </w:rPr>
        <w:t>כן הוא סעיף א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אם נאמר כי”א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אין להניח שמיעוט בשמחה הוא רק עד תענית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שרק דין בנין הוא כן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העיר’ שרי”ל כ’ שממעטים בנשואים כל אב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 w:bidi="he-IL"/>
        </w:rPr>
        <w:t>אז</w:t>
      </w:r>
      <w:r>
        <w:rPr>
          <w:rFonts w:cs="Times New Roman"/>
          <w:rtl w:val="true"/>
          <w:lang w:val="en-US" w:bidi="he-IL"/>
        </w:rPr>
        <w:t xml:space="preserve">, </w:t>
      </w:r>
      <w:r>
        <w:rPr>
          <w:rFonts w:cs="Times New Roman"/>
          <w:rtl w:val="true"/>
          <w:lang w:val="en-US" w:bidi="he-IL"/>
        </w:rPr>
        <w:t>זה טוב למג”א</w:t>
      </w:r>
      <w:r>
        <w:rPr>
          <w:rFonts w:cs="Times New Roman"/>
          <w:rtl w:val="true"/>
          <w:lang w:val="en-US" w:bidi="he-IL"/>
        </w:rPr>
        <w:t>.</w:t>
      </w:r>
      <w:bookmarkStart w:id="0" w:name="_GoBack"/>
      <w:bookmarkEnd w:id="0"/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1"/>
        <w:snapToGrid w:val="true"/>
        <w:jc w:val="center"/>
        <w:textAlignment w:val="auto"/>
        <w:rPr>
          <w:rFonts w:ascii="Times New Roman" w:hAnsi="Times New Roman" w:cs="Times New Roman"/>
        </w:rPr>
      </w:pPr>
      <w:r>
        <w:rPr>
          <w:rFonts w:cs="Times New Roman"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1"/>
        <w:snapToGrid w:val="true"/>
        <w:textAlignment w:val="auto"/>
        <w:rPr>
          <w:rFonts w:ascii="Times New Roman" w:hAnsi="Times New Roman" w:cs="Times New Roman"/>
        </w:rPr>
      </w:pPr>
      <w:r>
        <w:rPr>
          <w:rtl w:val="true"/>
        </w:rPr>
      </w:r>
    </w:p>
    <w:sectPr>
      <w:footnotePr>
        <w:numFmt w:val="decimal"/>
      </w:footnotePr>
      <w:type w:val="nextPage"/>
      <w:pgSz w:w="11906" w:h="16838"/>
      <w:pgMar w:left="792" w:right="792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Courier New">
    <w:charset w:val="01"/>
    <w:family w:val="roman"/>
    <w:pitch w:val="default"/>
  </w:font>
  <w:font w:name="Arial">
    <w:charset w:val="01"/>
    <w:family w:val="roman"/>
    <w:pitch w:val="default"/>
  </w:font>
  <w:font w:name="SimSun">
    <w:charset w:val="01"/>
    <w:family w:val="roman"/>
    <w:pitch w:val="default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יש להוסיף שהיה אפשר לומר שמבאר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ן את ציור גמרא לומר שנקט ציור שבו אסור אף אם נופל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נגד מש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בש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>.</w:t>
      </w:r>
    </w:p>
  </w:footnote>
  <w:footnote w:id="3">
    <w:p>
      <w:pPr>
        <w:pStyle w:val="Footnote"/>
        <w:snapToGrid w:val="false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אפשר</w:t>
      </w:r>
      <w:r>
        <w:rPr>
          <w:rtl w:val="true"/>
          <w:lang w:val="en-US" w:bidi="he-IL"/>
        </w:rPr>
        <w:t xml:space="preserve"> שזה לשיטתם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והוא שאי אפשר לומר שהשיעור הוא כדי פרנסה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שהרי האו רק בשל שמחה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אם כן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אי אפשר להיות שיעור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אז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צריך להיות על הכל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נמצא שלתוס’ ביבמות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אין לומר כתוס’ שבמגילה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אז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אין מי כאותו מנהג</w:t>
      </w:r>
      <w:r>
        <w:rPr>
          <w:rFonts w:cs="Shofar"/>
          <w:rtl w:val="true"/>
          <w:lang w:val="en-US" w:bidi="he-IL"/>
        </w:rPr>
        <w:t>.</w:t>
      </w:r>
    </w:p>
  </w:footnote>
  <w:footnote w:id="4">
    <w:p>
      <w:pPr>
        <w:pStyle w:val="Footnote"/>
        <w:snapToGrid w:val="false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מעניין</w:t>
      </w:r>
      <w:r>
        <w:rPr>
          <w:rtl w:val="true"/>
          <w:lang w:val="en-US" w:bidi="he-IL"/>
        </w:rPr>
        <w:t xml:space="preserve"> שיש להביא ראיה משיטת ירושלמי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שחלק במה שהוא שמחה</w:t>
      </w:r>
      <w:r>
        <w:rPr>
          <w:rFonts w:cs="Shofar"/>
          <w:rtl w:val="true"/>
          <w:lang w:val="en-US" w:bidi="he-IL"/>
        </w:rPr>
        <w:t>.</w:t>
      </w:r>
    </w:p>
  </w:footnote>
  <w:footnote w:id="5">
    <w:p>
      <w:pPr>
        <w:pStyle w:val="Footnote"/>
        <w:snapToGrid w:val="false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עיין</w:t>
      </w:r>
      <w:r>
        <w:rPr>
          <w:rtl w:val="true"/>
          <w:lang w:val="en-US" w:bidi="he-IL"/>
        </w:rPr>
        <w:t xml:space="preserve"> ברשי בתענית שכ’ שמרבים כיון שהפ ימי גאולה של פורים ופסח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משמע שממשיך אף אחר אדר</w:t>
      </w:r>
      <w:r>
        <w:rPr>
          <w:rFonts w:cs="Shofar"/>
          <w:rtl w:val="true"/>
          <w:lang w:val="en-US" w:bidi="he-IL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val="bestFit" w:percent="157"/>
  <w:embedSystemFonts/>
  <w:defaultTabStop w:val="720"/>
  <w:autoHyphenation w:val="true"/>
  <w:footnotePr>
    <w:numFmt w:val="decimal"/>
    <w:footnote w:id="0"/>
    <w:footnote w:id="1"/>
  </w:foot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360"/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 w:qFormat="1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 w:qFormat="1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 w:qFormat="1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 w:qFormat="1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 w:qFormat="1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 w:qFormat="1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/>
    <w:lsdException w:name="HTML Cite" w:uiPriority="0" w:semiHidden="0" w:unhideWhenUsed="0" w:qFormat="1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unhideWhenUsed="0" w:qFormat="1"/>
    <w:lsdException w:name="annotation subject" w:uiPriority="0" w:semiHidden="0" w:unhideWhenUsed="0" w:qFormat="1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 w:qFormat="1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 w:qFormat="1"/>
    <w:lsdException w:name="Table Columns 4" w:uiPriority="0" w:semiHidden="0" w:unhideWhenUsed="0" w:qFormat="1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 w:qFormat="1"/>
    <w:lsdException w:name="Table Grid 6" w:uiPriority="0" w:semiHidden="0" w:unhideWhenUsed="0" w:qFormat="1"/>
    <w:lsdException w:name="Table Grid 7" w:uiPriority="0" w:semiHidden="0" w:unhideWhenUsed="0" w:qFormat="1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 w:qFormat="1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 w:qFormat="1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overflowPunct w:val="false"/>
      <w:bidi w:val="1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uiPriority w:val="0"/>
    <w:semiHidden/>
    <w:unhideWhenUsed/>
    <w:qFormat/>
    <w:pPr>
      <w:keepNext w:val="true"/>
      <w:keepLines/>
      <w:spacing w:lineRule="auto" w:line="415" w:before="260" w:after="26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0"/>
    <w:semiHidden/>
    <w:unhideWhenUsed/>
    <w:qFormat/>
    <w:pPr>
      <w:keepNext w:val="true"/>
      <w:keepLines/>
      <w:spacing w:lineRule="auto" w:line="415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0"/>
    <w:semiHidden/>
    <w:unhideWhenUsed/>
    <w:qFormat/>
    <w:pPr>
      <w:keepNext w:val="true"/>
      <w:keepLines/>
      <w:spacing w:lineRule="auto" w:line="374" w:before="280" w:after="29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0"/>
    <w:semiHidden/>
    <w:unhideWhenUsed/>
    <w:qFormat/>
    <w:pPr>
      <w:keepNext w:val="true"/>
      <w:keepLines/>
      <w:spacing w:lineRule="auto" w:line="374" w:before="280" w:after="290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0"/>
    <w:semiHidden/>
    <w:unhideWhenUsed/>
    <w:qFormat/>
    <w:pPr>
      <w:keepNext w:val="true"/>
      <w:keepLines/>
      <w:spacing w:lineRule="auto" w:line="319" w:before="240" w:after="64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uiPriority w:val="0"/>
    <w:semiHidden/>
    <w:unhideWhenUsed/>
    <w:qFormat/>
    <w:pPr>
      <w:keepNext w:val="true"/>
      <w:keepLines/>
      <w:spacing w:lineRule="auto" w:line="319" w:before="240" w:after="64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uiPriority w:val="0"/>
    <w:semiHidden/>
    <w:unhideWhenUsed/>
    <w:qFormat/>
    <w:pPr>
      <w:keepNext w:val="true"/>
      <w:keepLines/>
      <w:spacing w:lineRule="auto" w:line="319" w:before="240" w:after="64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uiPriority w:val="0"/>
    <w:semiHidden/>
    <w:unhideWhenUsed/>
    <w:qFormat/>
    <w:pPr>
      <w:keepNext w:val="true"/>
      <w:keepLines/>
      <w:spacing w:lineRule="auto" w:line="319" w:before="240" w:after="64"/>
      <w:outlineLvl w:val="8"/>
    </w:pPr>
    <w:rPr>
      <w:szCs w:val="21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Annotationreference">
    <w:name w:val="annotation reference"/>
    <w:basedOn w:val="DefaultParagraphFont"/>
    <w:uiPriority w:val="0"/>
    <w:qFormat/>
    <w:rPr>
      <w:sz w:val="21"/>
      <w:szCs w:val="21"/>
    </w:rPr>
  </w:style>
  <w:style w:type="character" w:styleId="Emphasis">
    <w:name w:val="Emphasis"/>
    <w:basedOn w:val="DefaultParagraphFont"/>
    <w:uiPriority w:val="0"/>
    <w:qFormat/>
    <w:rPr>
      <w:i/>
      <w:iCs/>
    </w:rPr>
  </w:style>
  <w:style w:type="character" w:styleId="EndnoteCharacters">
    <w:name w:val="Endnote Characters"/>
    <w:basedOn w:val="DefaultParagraphFont"/>
    <w:uiPriority w:val="0"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VisitedInternetLink">
    <w:name w:val="FollowedHyperlink"/>
    <w:basedOn w:val="DefaultParagraphFont"/>
    <w:uiPriority w:val="0"/>
    <w:qFormat/>
    <w:rPr>
      <w:color w:val="800080"/>
      <w:u w:val="single"/>
    </w:rPr>
  </w:style>
  <w:style w:type="character" w:styleId="FootnoteCharacters">
    <w:name w:val="Footnote Characters"/>
    <w:basedOn w:val="DefaultParagraphFont"/>
    <w:uiPriority w:val="0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HTMLAcronym">
    <w:name w:val="HTML Acronym"/>
    <w:basedOn w:val="DefaultParagraphFont"/>
    <w:uiPriority w:val="0"/>
    <w:qFormat/>
    <w:rPr/>
  </w:style>
  <w:style w:type="character" w:styleId="HTMLCite">
    <w:name w:val="HTML Cite"/>
    <w:basedOn w:val="DefaultParagraphFont"/>
    <w:uiPriority w:val="0"/>
    <w:qFormat/>
    <w:rPr>
      <w:i/>
      <w:iCs/>
    </w:rPr>
  </w:style>
  <w:style w:type="character" w:styleId="HTMLCode">
    <w:name w:val="HTML Code"/>
    <w:basedOn w:val="DefaultParagraphFont"/>
    <w:uiPriority w:val="0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uiPriority w:val="0"/>
    <w:qFormat/>
    <w:rPr>
      <w:i/>
      <w:iCs/>
    </w:rPr>
  </w:style>
  <w:style w:type="character" w:styleId="HTMLKeyboard">
    <w:name w:val="HTML Keyboard"/>
    <w:basedOn w:val="DefaultParagraphFont"/>
    <w:uiPriority w:val="0"/>
    <w:qFormat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0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0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0"/>
    <w:qFormat/>
    <w:rPr>
      <w:i/>
      <w:iCs/>
    </w:rPr>
  </w:style>
  <w:style w:type="character" w:styleId="InternetLink">
    <w:name w:val="Hyperlink"/>
    <w:basedOn w:val="DefaultParagraphFont"/>
    <w:uiPriority w:val="0"/>
    <w:qFormat/>
    <w:rPr>
      <w:color w:val="0000FF"/>
      <w:u w:val="single"/>
    </w:rPr>
  </w:style>
  <w:style w:type="character" w:styleId="Linenumber">
    <w:name w:val="line number"/>
    <w:basedOn w:val="DefaultParagraphFont"/>
    <w:uiPriority w:val="0"/>
    <w:qFormat/>
    <w:rPr/>
  </w:style>
  <w:style w:type="character" w:styleId="Pagenumber">
    <w:name w:val="page number"/>
    <w:basedOn w:val="DefaultParagraphFont"/>
    <w:uiPriority w:val="0"/>
    <w:qFormat/>
    <w:rPr/>
  </w:style>
  <w:style w:type="character" w:styleId="Strong">
    <w:name w:val="Strong"/>
    <w:basedOn w:val="DefaultParagraphFont"/>
    <w:uiPriority w:val="0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uiPriority w:val="0"/>
    <w:pPr>
      <w:spacing w:before="0" w:after="120"/>
    </w:pPr>
    <w:rPr/>
  </w:style>
  <w:style w:type="paragraph" w:styleId="List">
    <w:name w:val="List"/>
    <w:basedOn w:val="Normal"/>
    <w:uiPriority w:val="0"/>
    <w:pPr>
      <w:ind w:left="200" w:hanging="20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BalloonText">
    <w:name w:val="Balloon Text"/>
    <w:basedOn w:val="Normal"/>
    <w:uiPriority w:val="0"/>
    <w:qFormat/>
    <w:pPr/>
    <w:rPr>
      <w:sz w:val="16"/>
      <w:szCs w:val="16"/>
    </w:rPr>
  </w:style>
  <w:style w:type="paragraph" w:styleId="BlockText">
    <w:name w:val="Block Text"/>
    <w:basedOn w:val="Normal"/>
    <w:uiPriority w:val="0"/>
    <w:qFormat/>
    <w:pPr>
      <w:spacing w:before="0" w:after="120"/>
      <w:ind w:left="1440" w:right="1440" w:hanging="0"/>
    </w:pPr>
    <w:rPr/>
  </w:style>
  <w:style w:type="paragraph" w:styleId="BodyText2">
    <w:name w:val="Body Text 2"/>
    <w:basedOn w:val="Normal"/>
    <w:uiPriority w:val="0"/>
    <w:qFormat/>
    <w:pPr>
      <w:spacing w:lineRule="auto" w:line="480" w:before="0" w:after="120"/>
    </w:pPr>
    <w:rPr/>
  </w:style>
  <w:style w:type="paragraph" w:styleId="BodyText3">
    <w:name w:val="Body Text 3"/>
    <w:basedOn w:val="Normal"/>
    <w:uiPriority w:val="0"/>
    <w:qFormat/>
    <w:pPr>
      <w:spacing w:before="0" w:after="120"/>
    </w:pPr>
    <w:rPr>
      <w:sz w:val="16"/>
      <w:szCs w:val="16"/>
    </w:rPr>
  </w:style>
  <w:style w:type="paragraph" w:styleId="BodyTextIndent">
    <w:name w:val="Body Text Indent"/>
    <w:basedOn w:val="TextBody"/>
    <w:uiPriority w:val="0"/>
    <w:qFormat/>
    <w:pPr>
      <w:ind w:firstLine="420"/>
    </w:pPr>
    <w:rPr/>
  </w:style>
  <w:style w:type="paragraph" w:styleId="TextBodyIndent">
    <w:name w:val="Body Text Indent"/>
    <w:basedOn w:val="Normal"/>
    <w:uiPriority w:val="0"/>
    <w:pPr>
      <w:spacing w:before="0" w:after="120"/>
      <w:ind w:left="420" w:hanging="0"/>
    </w:pPr>
    <w:rPr/>
  </w:style>
  <w:style w:type="paragraph" w:styleId="BodyTextFirstIndent2">
    <w:name w:val="Body Text First Indent 2"/>
    <w:basedOn w:val="TextBodyIndent"/>
    <w:uiPriority w:val="0"/>
    <w:qFormat/>
    <w:pPr>
      <w:ind w:left="420" w:firstLine="420"/>
    </w:pPr>
    <w:rPr/>
  </w:style>
  <w:style w:type="paragraph" w:styleId="BodyTextIndent2">
    <w:name w:val="Body Text Indent 2"/>
    <w:basedOn w:val="Normal"/>
    <w:uiPriority w:val="0"/>
    <w:qFormat/>
    <w:pPr>
      <w:spacing w:lineRule="auto" w:line="480" w:before="0" w:after="120"/>
      <w:ind w:left="420" w:hanging="0"/>
    </w:pPr>
    <w:rPr/>
  </w:style>
  <w:style w:type="paragraph" w:styleId="BodyTextIndent3">
    <w:name w:val="Body Text Indent 3"/>
    <w:basedOn w:val="Normal"/>
    <w:uiPriority w:val="0"/>
    <w:qFormat/>
    <w:pPr>
      <w:spacing w:before="0" w:after="120"/>
      <w:ind w:left="420" w:hanging="0"/>
    </w:pPr>
    <w:rPr>
      <w:sz w:val="16"/>
      <w:szCs w:val="16"/>
    </w:rPr>
  </w:style>
  <w:style w:type="paragraph" w:styleId="Caption1">
    <w:name w:val="caption"/>
    <w:basedOn w:val="Normal"/>
    <w:next w:val="Normal"/>
    <w:uiPriority w:val="0"/>
    <w:semiHidden/>
    <w:unhideWhenUsed/>
    <w:qFormat/>
    <w:pPr/>
    <w:rPr>
      <w:rFonts w:ascii="Arial" w:hAnsi="Arial" w:eastAsia="黑体" w:cs="Arial"/>
      <w:sz w:val="20"/>
    </w:rPr>
  </w:style>
  <w:style w:type="paragraph" w:styleId="Closing">
    <w:name w:val="Closing"/>
    <w:basedOn w:val="Normal"/>
    <w:uiPriority w:val="0"/>
    <w:qFormat/>
    <w:pPr>
      <w:ind w:left="100" w:hanging="0"/>
    </w:pPr>
    <w:rPr/>
  </w:style>
  <w:style w:type="paragraph" w:styleId="Annotationtext">
    <w:name w:val="annotation text"/>
    <w:basedOn w:val="Normal"/>
    <w:uiPriority w:val="0"/>
    <w:qFormat/>
    <w:pPr>
      <w:jc w:val="left"/>
    </w:pPr>
    <w:rPr/>
  </w:style>
  <w:style w:type="paragraph" w:styleId="Annotationsubject">
    <w:name w:val="annotation subject"/>
    <w:basedOn w:val="Annotationtext"/>
    <w:next w:val="Annotationtext"/>
    <w:uiPriority w:val="0"/>
    <w:qFormat/>
    <w:pPr/>
    <w:rPr>
      <w:b/>
      <w:bCs/>
    </w:rPr>
  </w:style>
  <w:style w:type="paragraph" w:styleId="Date">
    <w:name w:val="Date"/>
    <w:basedOn w:val="Normal"/>
    <w:next w:val="Normal"/>
    <w:uiPriority w:val="0"/>
    <w:qFormat/>
    <w:pPr>
      <w:ind w:left="100" w:hanging="0"/>
    </w:pPr>
    <w:rPr/>
  </w:style>
  <w:style w:type="paragraph" w:styleId="DocumentMap">
    <w:name w:val="Document Map"/>
    <w:basedOn w:val="Normal"/>
    <w:uiPriority w:val="0"/>
    <w:qFormat/>
    <w:pPr>
      <w:shd w:val="clear" w:color="auto" w:fill="000080"/>
    </w:pPr>
    <w:rPr/>
  </w:style>
  <w:style w:type="paragraph" w:styleId="EmailSignature">
    <w:name w:val="E-mail Signature"/>
    <w:basedOn w:val="Normal"/>
    <w:uiPriority w:val="0"/>
    <w:qFormat/>
    <w:pPr/>
    <w:rPr/>
  </w:style>
  <w:style w:type="paragraph" w:styleId="Endnote">
    <w:name w:val="Endnote Text"/>
    <w:basedOn w:val="Normal"/>
    <w:uiPriority w:val="0"/>
    <w:pPr>
      <w:snapToGrid w:val="false"/>
      <w:jc w:val="left"/>
    </w:pPr>
    <w:rPr/>
  </w:style>
  <w:style w:type="paragraph" w:styleId="Envelopeaddress">
    <w:name w:val="envelope address"/>
    <w:basedOn w:val="Normal"/>
    <w:uiPriority w:val="0"/>
    <w:qFormat/>
    <w:pPr>
      <w:snapToGrid w:val="false"/>
      <w:ind w:left="100" w:hanging="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uiPriority w:val="0"/>
    <w:qFormat/>
    <w:pPr>
      <w:snapToGrid w:val="false"/>
    </w:pPr>
    <w:rPr>
      <w:rFonts w:ascii="Arial" w:hAnsi="Arial" w:cs="Arial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0"/>
    <w:qFormat/>
    <w:pPr>
      <w:tabs>
        <w:tab w:val="clear" w:pos="7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Footnote">
    <w:name w:val="Footnote Text"/>
    <w:basedOn w:val="Normal"/>
    <w:uiPriority w:val="0"/>
    <w:pPr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uiPriority w:val="0"/>
    <w:qFormat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HTMLAddress">
    <w:name w:val="HTML Address"/>
    <w:basedOn w:val="Normal"/>
    <w:uiPriority w:val="0"/>
    <w:qFormat/>
    <w:pPr/>
    <w:rPr>
      <w:i/>
      <w:iCs/>
    </w:rPr>
  </w:style>
  <w:style w:type="paragraph" w:styleId="HTMLPreformatted">
    <w:name w:val="HTML Preformatted"/>
    <w:basedOn w:val="Normal"/>
    <w:uiPriority w:val="0"/>
    <w:qFormat/>
    <w:pPr/>
    <w:rPr>
      <w:rFonts w:ascii="Courier New" w:hAnsi="Courier New" w:cs="Courier New"/>
      <w:sz w:val="20"/>
    </w:rPr>
  </w:style>
  <w:style w:type="paragraph" w:styleId="Index1">
    <w:name w:val="index 1"/>
    <w:basedOn w:val="Normal"/>
    <w:next w:val="Normal"/>
    <w:uiPriority w:val="0"/>
    <w:qFormat/>
    <w:pPr/>
    <w:rPr/>
  </w:style>
  <w:style w:type="paragraph" w:styleId="Index2">
    <w:name w:val="index 2"/>
    <w:basedOn w:val="Normal"/>
    <w:next w:val="Normal"/>
    <w:uiPriority w:val="0"/>
    <w:qFormat/>
    <w:pPr>
      <w:ind w:left="200" w:hanging="0"/>
    </w:pPr>
    <w:rPr/>
  </w:style>
  <w:style w:type="paragraph" w:styleId="Index3">
    <w:name w:val="index 3"/>
    <w:basedOn w:val="Normal"/>
    <w:next w:val="Normal"/>
    <w:uiPriority w:val="0"/>
    <w:qFormat/>
    <w:pPr>
      <w:ind w:left="400" w:hanging="0"/>
    </w:pPr>
    <w:rPr/>
  </w:style>
  <w:style w:type="paragraph" w:styleId="Index4">
    <w:name w:val="index 4"/>
    <w:basedOn w:val="Normal"/>
    <w:next w:val="Normal"/>
    <w:uiPriority w:val="0"/>
    <w:qFormat/>
    <w:pPr>
      <w:ind w:left="600" w:hanging="0"/>
    </w:pPr>
    <w:rPr/>
  </w:style>
  <w:style w:type="paragraph" w:styleId="Index5">
    <w:name w:val="index 5"/>
    <w:basedOn w:val="Normal"/>
    <w:next w:val="Normal"/>
    <w:uiPriority w:val="0"/>
    <w:qFormat/>
    <w:pPr>
      <w:ind w:left="800" w:hanging="0"/>
    </w:pPr>
    <w:rPr/>
  </w:style>
  <w:style w:type="paragraph" w:styleId="Index6">
    <w:name w:val="index 6"/>
    <w:basedOn w:val="Normal"/>
    <w:next w:val="Normal"/>
    <w:uiPriority w:val="0"/>
    <w:qFormat/>
    <w:pPr>
      <w:ind w:left="1000" w:hanging="0"/>
    </w:pPr>
    <w:rPr/>
  </w:style>
  <w:style w:type="paragraph" w:styleId="Index7">
    <w:name w:val="index 7"/>
    <w:basedOn w:val="Normal"/>
    <w:next w:val="Normal"/>
    <w:uiPriority w:val="0"/>
    <w:qFormat/>
    <w:pPr>
      <w:ind w:left="1200" w:hanging="0"/>
    </w:pPr>
    <w:rPr/>
  </w:style>
  <w:style w:type="paragraph" w:styleId="Index8">
    <w:name w:val="index 8"/>
    <w:basedOn w:val="Normal"/>
    <w:next w:val="Normal"/>
    <w:uiPriority w:val="0"/>
    <w:qFormat/>
    <w:pPr>
      <w:ind w:left="1400" w:hanging="0"/>
    </w:pPr>
    <w:rPr/>
  </w:style>
  <w:style w:type="paragraph" w:styleId="Index9">
    <w:name w:val="index 9"/>
    <w:basedOn w:val="Normal"/>
    <w:next w:val="Normal"/>
    <w:uiPriority w:val="0"/>
    <w:qFormat/>
    <w:pPr>
      <w:ind w:left="1600" w:hanging="0"/>
    </w:pPr>
    <w:rPr/>
  </w:style>
  <w:style w:type="paragraph" w:styleId="Indexheading">
    <w:name w:val="index heading"/>
    <w:basedOn w:val="Normal"/>
    <w:next w:val="Index1"/>
    <w:uiPriority w:val="0"/>
    <w:qFormat/>
    <w:pPr/>
    <w:rPr>
      <w:rFonts w:ascii="Arial" w:hAnsi="Arial" w:cs="Arial"/>
      <w:b/>
      <w:bCs/>
    </w:rPr>
  </w:style>
  <w:style w:type="paragraph" w:styleId="List2">
    <w:name w:val="List Bullet 3"/>
    <w:basedOn w:val="Normal"/>
    <w:uiPriority w:val="0"/>
    <w:qFormat/>
    <w:pPr>
      <w:ind w:left="100" w:hanging="200"/>
    </w:pPr>
    <w:rPr/>
  </w:style>
  <w:style w:type="paragraph" w:styleId="List3">
    <w:name w:val="List Bullet 4"/>
    <w:basedOn w:val="Normal"/>
    <w:uiPriority w:val="0"/>
    <w:pPr>
      <w:ind w:left="100" w:hanging="200"/>
    </w:pPr>
    <w:rPr/>
  </w:style>
  <w:style w:type="paragraph" w:styleId="List4">
    <w:name w:val="List Bullet 5"/>
    <w:basedOn w:val="Normal"/>
    <w:uiPriority w:val="0"/>
    <w:qFormat/>
    <w:pPr>
      <w:ind w:left="100" w:hanging="200"/>
    </w:pPr>
    <w:rPr/>
  </w:style>
  <w:style w:type="paragraph" w:styleId="List5">
    <w:name w:val="List Number"/>
    <w:basedOn w:val="Normal"/>
    <w:uiPriority w:val="0"/>
    <w:qFormat/>
    <w:pPr>
      <w:ind w:left="100" w:hanging="200"/>
    </w:pPr>
    <w:rPr/>
  </w:style>
  <w:style w:type="paragraph" w:styleId="ListBullet">
    <w:name w:val="List Bullet"/>
    <w:basedOn w:val="Normal"/>
    <w:uiPriority w:val="0"/>
    <w:qFormat/>
    <w:pPr>
      <w:numPr>
        <w:ilvl w:val="0"/>
        <w:numId w:val="1"/>
      </w:numPr>
    </w:pPr>
    <w:rPr/>
  </w:style>
  <w:style w:type="paragraph" w:styleId="ListBullet2">
    <w:name w:val="List Bullet 2"/>
    <w:basedOn w:val="Normal"/>
    <w:uiPriority w:val="0"/>
    <w:qFormat/>
    <w:pPr>
      <w:numPr>
        <w:ilvl w:val="0"/>
        <w:numId w:val="2"/>
      </w:numPr>
    </w:pPr>
    <w:rPr/>
  </w:style>
  <w:style w:type="paragraph" w:styleId="ListBullet3">
    <w:name w:val="List Bullet 3"/>
    <w:basedOn w:val="Normal"/>
    <w:uiPriority w:val="0"/>
    <w:qFormat/>
    <w:pPr>
      <w:numPr>
        <w:ilvl w:val="0"/>
        <w:numId w:val="3"/>
      </w:numPr>
    </w:pPr>
    <w:rPr/>
  </w:style>
  <w:style w:type="paragraph" w:styleId="ListBullet4">
    <w:name w:val="List Bullet 4"/>
    <w:basedOn w:val="Normal"/>
    <w:uiPriority w:val="0"/>
    <w:qFormat/>
    <w:pPr>
      <w:numPr>
        <w:ilvl w:val="0"/>
        <w:numId w:val="4"/>
      </w:numPr>
    </w:pPr>
    <w:rPr/>
  </w:style>
  <w:style w:type="paragraph" w:styleId="ListBullet5">
    <w:name w:val="List Bullet 5"/>
    <w:basedOn w:val="Normal"/>
    <w:uiPriority w:val="0"/>
    <w:qFormat/>
    <w:pPr>
      <w:numPr>
        <w:ilvl w:val="0"/>
        <w:numId w:val="5"/>
      </w:numPr>
    </w:pPr>
    <w:rPr/>
  </w:style>
  <w:style w:type="paragraph" w:styleId="ListContinue">
    <w:name w:val="List Continue"/>
    <w:basedOn w:val="Normal"/>
    <w:uiPriority w:val="0"/>
    <w:qFormat/>
    <w:pPr>
      <w:spacing w:before="0" w:after="120"/>
      <w:ind w:left="420" w:hanging="0"/>
    </w:pPr>
    <w:rPr/>
  </w:style>
  <w:style w:type="paragraph" w:styleId="ListContinue2">
    <w:name w:val="List Continue 2"/>
    <w:basedOn w:val="Normal"/>
    <w:uiPriority w:val="0"/>
    <w:qFormat/>
    <w:pPr>
      <w:spacing w:before="0" w:after="120"/>
      <w:ind w:left="840" w:hanging="0"/>
    </w:pPr>
    <w:rPr/>
  </w:style>
  <w:style w:type="paragraph" w:styleId="ListContinue3">
    <w:name w:val="List Continue 3"/>
    <w:basedOn w:val="Normal"/>
    <w:uiPriority w:val="0"/>
    <w:qFormat/>
    <w:pPr>
      <w:spacing w:before="0" w:after="120"/>
      <w:ind w:left="1260" w:hanging="0"/>
    </w:pPr>
    <w:rPr/>
  </w:style>
  <w:style w:type="paragraph" w:styleId="ListContinue4">
    <w:name w:val="List Continue 4"/>
    <w:basedOn w:val="Normal"/>
    <w:uiPriority w:val="0"/>
    <w:qFormat/>
    <w:pPr>
      <w:spacing w:before="0" w:after="120"/>
      <w:ind w:left="1680" w:hanging="0"/>
    </w:pPr>
    <w:rPr/>
  </w:style>
  <w:style w:type="paragraph" w:styleId="ListContinue5">
    <w:name w:val="List Continue 5"/>
    <w:basedOn w:val="Normal"/>
    <w:uiPriority w:val="0"/>
    <w:qFormat/>
    <w:pPr>
      <w:spacing w:before="0" w:after="120"/>
      <w:ind w:left="2100" w:hanging="0"/>
    </w:pPr>
    <w:rPr/>
  </w:style>
  <w:style w:type="paragraph" w:styleId="ListNumber">
    <w:name w:val="List Number"/>
    <w:basedOn w:val="Normal"/>
    <w:uiPriority w:val="0"/>
    <w:qFormat/>
    <w:pPr>
      <w:numPr>
        <w:ilvl w:val="0"/>
        <w:numId w:val="6"/>
      </w:numPr>
    </w:pPr>
    <w:rPr/>
  </w:style>
  <w:style w:type="paragraph" w:styleId="ListNumber2">
    <w:name w:val="List Number 2"/>
    <w:basedOn w:val="Normal"/>
    <w:uiPriority w:val="0"/>
    <w:qFormat/>
    <w:pPr>
      <w:numPr>
        <w:ilvl w:val="0"/>
        <w:numId w:val="7"/>
      </w:numPr>
    </w:pPr>
    <w:rPr/>
  </w:style>
  <w:style w:type="paragraph" w:styleId="ListNumber3">
    <w:name w:val="List Number 3"/>
    <w:basedOn w:val="Normal"/>
    <w:uiPriority w:val="0"/>
    <w:qFormat/>
    <w:pPr>
      <w:numPr>
        <w:ilvl w:val="0"/>
        <w:numId w:val="8"/>
      </w:numPr>
    </w:pPr>
    <w:rPr/>
  </w:style>
  <w:style w:type="paragraph" w:styleId="ListNumber4">
    <w:name w:val="List Number 4"/>
    <w:basedOn w:val="Normal"/>
    <w:uiPriority w:val="0"/>
    <w:qFormat/>
    <w:pPr>
      <w:numPr>
        <w:ilvl w:val="0"/>
        <w:numId w:val="9"/>
      </w:numPr>
    </w:pPr>
    <w:rPr/>
  </w:style>
  <w:style w:type="paragraph" w:styleId="ListNumber5">
    <w:name w:val="List Number 5"/>
    <w:basedOn w:val="Normal"/>
    <w:uiPriority w:val="0"/>
    <w:qFormat/>
    <w:pPr>
      <w:numPr>
        <w:ilvl w:val="0"/>
        <w:numId w:val="10"/>
      </w:numPr>
    </w:pPr>
    <w:rPr/>
  </w:style>
  <w:style w:type="paragraph" w:styleId="Macro">
    <w:name w:val="macro"/>
    <w:uiPriority w:val="0"/>
    <w:qFormat/>
    <w:pPr>
      <w:widowControl w:val="false"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overflowPunct w:val="true"/>
      <w:bidi w:val="0"/>
      <w:snapToGrid w:val="false"/>
      <w:spacing w:before="0" w:after="0"/>
      <w:jc w:val="left"/>
    </w:pPr>
    <w:rPr>
      <w:rFonts w:ascii="Courier New" w:hAnsi="Courier New" w:eastAsia="宋体" w:cs="Courier New" w:eastAsiaTheme="minorEastAsia"/>
      <w:color w:val="auto"/>
      <w:kern w:val="2"/>
      <w:sz w:val="24"/>
      <w:szCs w:val="24"/>
      <w:lang w:val="en-US" w:eastAsia="zh-CN" w:bidi="ar-SA"/>
    </w:rPr>
  </w:style>
  <w:style w:type="paragraph" w:styleId="MessageHeader">
    <w:name w:val="Message Header"/>
    <w:basedOn w:val="Normal"/>
    <w:uiPriority w:val="0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0"/>
    <w:qFormat/>
    <w:pPr/>
    <w:rPr>
      <w:sz w:val="24"/>
      <w:szCs w:val="24"/>
    </w:rPr>
  </w:style>
  <w:style w:type="paragraph" w:styleId="NormalIndent">
    <w:name w:val="Normal Indent"/>
    <w:basedOn w:val="Normal"/>
    <w:uiPriority w:val="0"/>
    <w:qFormat/>
    <w:pPr>
      <w:ind w:firstLine="420"/>
    </w:pPr>
    <w:rPr/>
  </w:style>
  <w:style w:type="paragraph" w:styleId="NoteHeading">
    <w:name w:val="Note Heading"/>
    <w:basedOn w:val="Normal"/>
    <w:next w:val="Normal"/>
    <w:uiPriority w:val="0"/>
    <w:qFormat/>
    <w:pPr>
      <w:jc w:val="center"/>
    </w:pPr>
    <w:rPr/>
  </w:style>
  <w:style w:type="paragraph" w:styleId="PlainText">
    <w:name w:val="Plain Text"/>
    <w:basedOn w:val="Normal"/>
    <w:uiPriority w:val="0"/>
    <w:qFormat/>
    <w:pPr/>
    <w:rPr>
      <w:rFonts w:ascii="SimSun" w:hAnsi="SimSun" w:cs="Courier New"/>
      <w:szCs w:val="21"/>
    </w:rPr>
  </w:style>
  <w:style w:type="paragraph" w:styleId="ComplimentaryClose">
    <w:name w:val="Salutation"/>
    <w:basedOn w:val="Normal"/>
    <w:next w:val="Normal"/>
    <w:uiPriority w:val="0"/>
    <w:qFormat/>
    <w:pPr/>
    <w:rPr/>
  </w:style>
  <w:style w:type="paragraph" w:styleId="Signature">
    <w:name w:val="Signature"/>
    <w:basedOn w:val="Normal"/>
    <w:uiPriority w:val="0"/>
    <w:qFormat/>
    <w:pPr>
      <w:ind w:left="100" w:hanging="0"/>
    </w:pPr>
    <w:rPr/>
  </w:style>
  <w:style w:type="paragraph" w:styleId="Subtitle">
    <w:name w:val="Subtitle"/>
    <w:basedOn w:val="Normal"/>
    <w:uiPriority w:val="0"/>
    <w:qFormat/>
    <w:pPr>
      <w:spacing w:lineRule="auto" w:line="312" w:before="240" w:after="60"/>
      <w:jc w:val="center"/>
      <w:outlineLvl w:val="1"/>
    </w:pPr>
    <w:rPr>
      <w:rFonts w:ascii="Arial" w:hAnsi="Arial" w:cs="Arial"/>
      <w:b/>
      <w:bCs/>
      <w:kern w:val="2"/>
      <w:sz w:val="32"/>
      <w:szCs w:val="32"/>
    </w:rPr>
  </w:style>
  <w:style w:type="paragraph" w:styleId="Tableofauthorities">
    <w:name w:val="table of authorities"/>
    <w:basedOn w:val="Normal"/>
    <w:next w:val="Normal"/>
    <w:uiPriority w:val="0"/>
    <w:qFormat/>
    <w:pPr>
      <w:ind w:left="420" w:hanging="0"/>
    </w:pPr>
    <w:rPr/>
  </w:style>
  <w:style w:type="paragraph" w:styleId="Tableoffigures">
    <w:name w:val="table of figures"/>
    <w:basedOn w:val="Normal"/>
    <w:next w:val="Normal"/>
    <w:uiPriority w:val="0"/>
    <w:qFormat/>
    <w:pPr>
      <w:ind w:hanging="200"/>
    </w:pPr>
    <w:rPr/>
  </w:style>
  <w:style w:type="paragraph" w:styleId="Title">
    <w:name w:val="Title"/>
    <w:basedOn w:val="Normal"/>
    <w:uiPriority w:val="0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uiPriority w:val="0"/>
    <w:qFormat/>
    <w:pPr>
      <w:spacing w:before="120" w:after="0"/>
    </w:pPr>
    <w:rPr>
      <w:rFonts w:ascii="Arial" w:hAnsi="Arial" w:cs="Arial"/>
      <w:sz w:val="24"/>
      <w:szCs w:val="24"/>
    </w:rPr>
  </w:style>
  <w:style w:type="paragraph" w:styleId="Contents1">
    <w:name w:val="TOC 1"/>
    <w:basedOn w:val="Normal"/>
    <w:next w:val="Normal"/>
    <w:uiPriority w:val="0"/>
    <w:pPr/>
    <w:rPr/>
  </w:style>
  <w:style w:type="paragraph" w:styleId="Contents2">
    <w:name w:val="TOC 2"/>
    <w:basedOn w:val="Normal"/>
    <w:next w:val="Normal"/>
    <w:uiPriority w:val="0"/>
    <w:pPr>
      <w:ind w:left="420" w:hanging="0"/>
    </w:pPr>
    <w:rPr/>
  </w:style>
  <w:style w:type="paragraph" w:styleId="Contents3">
    <w:name w:val="TOC 3"/>
    <w:basedOn w:val="Normal"/>
    <w:next w:val="Normal"/>
    <w:uiPriority w:val="0"/>
    <w:pPr>
      <w:ind w:left="840" w:hanging="0"/>
    </w:pPr>
    <w:rPr/>
  </w:style>
  <w:style w:type="paragraph" w:styleId="Contents4">
    <w:name w:val="TOC 4"/>
    <w:basedOn w:val="Normal"/>
    <w:next w:val="Normal"/>
    <w:uiPriority w:val="0"/>
    <w:pPr>
      <w:ind w:left="1260" w:hanging="0"/>
    </w:pPr>
    <w:rPr/>
  </w:style>
  <w:style w:type="paragraph" w:styleId="Contents5">
    <w:name w:val="TOC 5"/>
    <w:basedOn w:val="Normal"/>
    <w:next w:val="Normal"/>
    <w:uiPriority w:val="0"/>
    <w:qFormat/>
    <w:pPr>
      <w:ind w:left="1680" w:hanging="0"/>
    </w:pPr>
    <w:rPr/>
  </w:style>
  <w:style w:type="paragraph" w:styleId="Contents6">
    <w:name w:val="TOC 6"/>
    <w:basedOn w:val="Normal"/>
    <w:next w:val="Normal"/>
    <w:uiPriority w:val="0"/>
    <w:pPr>
      <w:ind w:left="2100" w:hanging="0"/>
    </w:pPr>
    <w:rPr/>
  </w:style>
  <w:style w:type="paragraph" w:styleId="Contents7">
    <w:name w:val="TOC 7"/>
    <w:basedOn w:val="Normal"/>
    <w:next w:val="Normal"/>
    <w:uiPriority w:val="0"/>
    <w:pPr>
      <w:ind w:left="2520" w:hanging="0"/>
    </w:pPr>
    <w:rPr/>
  </w:style>
  <w:style w:type="paragraph" w:styleId="Contents8">
    <w:name w:val="TOC 8"/>
    <w:basedOn w:val="Normal"/>
    <w:next w:val="Normal"/>
    <w:uiPriority w:val="0"/>
    <w:pPr>
      <w:ind w:left="2940" w:hanging="0"/>
    </w:pPr>
    <w:rPr/>
  </w:style>
  <w:style w:type="paragraph" w:styleId="Contents9">
    <w:name w:val="TOC 9"/>
    <w:basedOn w:val="Normal"/>
    <w:next w:val="Normal"/>
    <w:uiPriority w:val="0"/>
    <w:pPr>
      <w:ind w:left="3360" w:hanging="0"/>
    </w:pPr>
    <w:rPr/>
  </w:style>
  <w:style w:type="table" w:default="1" w:styleId="12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4">
    <w:name w:val="Table 3D effects 1"/>
    <w:basedOn w:val="12"/>
    <w:uiPriority w:val="0"/>
    <w:qFormat/>
    <w:pPr>
      <w:jc w:val="both"/>
    </w:p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qFormat/>
    <w:pPr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qFormat/>
    <w:pPr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qFormat/>
    <w:pPr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qFormat/>
    <w:pPr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qFormat/>
    <w:pPr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qFormat/>
    <w:pPr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qFormat/>
    <w:pPr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qFormat/>
    <w:pPr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qFormat/>
    <w:pPr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</w:tblStylePr>
  </w:style>
  <w:style w:type="table" w:styleId="109">
    <w:name w:val="Table Contemporary"/>
    <w:basedOn w:val="12"/>
    <w:uiPriority w:val="0"/>
    <w:pPr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il"/>
          <w:tr2bl w:val="nil"/>
        </w:tcBorders>
      </w:tcPr>
    </w:tblStylePr>
    <w:tblStylePr w:type="lastCol">
      <w:rPr>
        <w:i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qFormat/>
    <w:pPr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qFormat/>
    <w:pPr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qFormat/>
    <w:pPr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qFormat/>
    <w:pPr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30">
    <w:name w:val="Table Professional"/>
    <w:basedOn w:val="12"/>
    <w:uiPriority w:val="0"/>
    <w:pPr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jc w:val="both"/>
    </w:p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qFormat/>
    <w:pPr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qFormat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qFormat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qFormat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qFormat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qFormat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qFormat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/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/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/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/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qFormat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/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/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/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qFormat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qFormat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LibreOffice/7.3.2.2$Windows_X86_64 LibreOffice_project/49f2b1bff42cfccbd8f788c8dc32c1c309559be0</Application>
  <AppVersion>15.0000</AppVersion>
  <Pages>1</Pages>
  <Words>723</Words>
  <Characters>2918</Characters>
  <CharactersWithSpaces>3637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2022-09-04T01:43:00Z</dcterms:created>
  <dc:creator>User</dc:creator>
  <dc:description/>
  <dc:language>en-US</dc:language>
  <cp:lastModifiedBy/>
  <dcterms:modified xsi:type="dcterms:W3CDTF">2022-09-04T17:10:53Z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0B2723644BE54FE380384B43F957EFEE</vt:lpwstr>
  </property>
  <property fmtid="{D5CDD505-2E9C-101B-9397-08002B2CF9AE}" pid="3" name="KSOProductBuildVer">
    <vt:lpwstr>1033-11.2.0.11074</vt:lpwstr>
  </property>
</Properties>
</file>