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jc w:val="left"/>
        <w:rPr/>
      </w:pPr>
      <w:r>
        <w:rPr>
          <w:b/>
          <w:b/>
          <w:bCs/>
          <w:rtl w:val="true"/>
        </w:rPr>
        <w:t>העיר</w:t>
      </w:r>
      <w:r>
        <w:rPr>
          <w:rtl w:val="true"/>
        </w:rPr>
        <w:t>’ שההו</w:t>
      </w:r>
      <w:r>
        <w:rPr>
          <w:rtl w:val="true"/>
        </w:rPr>
        <w:t>"</w:t>
      </w:r>
      <w:r>
        <w:rPr>
          <w:rtl w:val="true"/>
        </w:rPr>
        <w:t>א שלא יכול כה</w:t>
      </w:r>
      <w:r>
        <w:rPr>
          <w:rtl w:val="true"/>
        </w:rPr>
        <w:t>"</w:t>
      </w:r>
      <w:r>
        <w:rPr>
          <w:rtl w:val="true"/>
        </w:rPr>
        <w:t xml:space="preserve">ג לפרוע ראש סוטה מוזר </w:t>
      </w:r>
      <w:r>
        <w:rPr>
          <w:rtl w:val="true"/>
        </w:rPr>
        <w:t>.</w:t>
      </w:r>
      <w:r>
        <w:rPr>
          <w:rtl w:val="true"/>
        </w:rPr>
        <w:t xml:space="preserve">כ’ </w:t>
      </w:r>
      <w:r>
        <w:rPr>
          <w:b/>
          <w:b/>
          <w:bCs/>
          <w:rtl w:val="true"/>
        </w:rPr>
        <w:t>תוספתא</w:t>
      </w:r>
      <w:r>
        <w:rPr>
          <w:rtl w:val="true"/>
        </w:rPr>
        <w:t xml:space="preserve"> שהיו מגרילים מי היה צ’ לגלות ראשה</w:t>
      </w:r>
      <w:r>
        <w:rPr>
          <w:rtl w:val="true"/>
        </w:rPr>
        <w:t xml:space="preserve">, </w:t>
      </w:r>
      <w:r>
        <w:rPr>
          <w:rtl w:val="true"/>
        </w:rPr>
        <w:t>ואף אם נפל על כה</w:t>
      </w:r>
      <w:r>
        <w:rPr>
          <w:rtl w:val="true"/>
        </w:rPr>
        <w:t>"</w:t>
      </w:r>
      <w:r>
        <w:rPr>
          <w:rtl w:val="true"/>
        </w:rPr>
        <w:t>ג</w:t>
      </w:r>
      <w:r>
        <w:rPr>
          <w:rtl w:val="true"/>
        </w:rPr>
        <w:t xml:space="preserve">, </w:t>
      </w:r>
      <w:r>
        <w:rPr>
          <w:rtl w:val="true"/>
        </w:rPr>
        <w:t>היה צריך</w:t>
      </w:r>
      <w:r>
        <w:rPr>
          <w:rtl w:val="true"/>
        </w:rPr>
        <w:t>. (</w:t>
      </w:r>
      <w:r>
        <w:rPr>
          <w:rtl w:val="true"/>
        </w:rPr>
        <w:t xml:space="preserve">וכן </w:t>
      </w:r>
      <w:r>
        <w:rPr>
          <w:b/>
          <w:b/>
          <w:bCs/>
          <w:rtl w:val="true"/>
        </w:rPr>
        <w:t>מדרש</w:t>
      </w:r>
      <w:r>
        <w:rPr>
          <w:rtl w:val="true"/>
        </w:rPr>
        <w:t xml:space="preserve"> אומר שהיה ה’ אומר קו</w:t>
      </w:r>
      <w:r>
        <w:rPr>
          <w:rtl w:val="true"/>
        </w:rPr>
        <w:t>"</w:t>
      </w:r>
      <w:r>
        <w:rPr>
          <w:rtl w:val="true"/>
        </w:rPr>
        <w:t>ח ממה שמלך עוסק בסוטה שאף כה</w:t>
      </w:r>
      <w:r>
        <w:rPr>
          <w:rtl w:val="true"/>
        </w:rPr>
        <w:t>"</w:t>
      </w:r>
      <w:r>
        <w:rPr>
          <w:rtl w:val="true"/>
        </w:rPr>
        <w:t>ג יעסוק</w:t>
      </w:r>
      <w:r>
        <w:rPr>
          <w:rtl w:val="true"/>
        </w:rPr>
        <w:t xml:space="preserve">.) </w:t>
      </w:r>
      <w:r>
        <w:rPr>
          <w:rtl w:val="true"/>
        </w:rPr>
        <w:t>נמצא שהוא קצת בזיון</w:t>
      </w:r>
      <w:r>
        <w:rPr>
          <w:rtl w:val="true"/>
        </w:rPr>
        <w:t xml:space="preserve">, </w:t>
      </w:r>
      <w:r>
        <w:rPr>
          <w:rtl w:val="true"/>
        </w:rPr>
        <w:t>ואז יש צד שלא יכול כהן גדול לעסוק בה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יש לדון למה כה</w:t>
      </w:r>
      <w:r>
        <w:rPr>
          <w:rtl w:val="true"/>
        </w:rPr>
        <w:t>"</w:t>
      </w:r>
      <w:r>
        <w:rPr>
          <w:rtl w:val="true"/>
        </w:rPr>
        <w:t>ג יפרם למטה</w:t>
      </w:r>
      <w:r>
        <w:rPr>
          <w:rtl w:val="true"/>
        </w:rPr>
        <w:t xml:space="preserve">; </w:t>
      </w:r>
      <w:r>
        <w:rPr>
          <w:rtl w:val="true"/>
        </w:rPr>
        <w:t>הא אינו מקיים בזה קריעה</w:t>
      </w:r>
      <w:r>
        <w:rPr>
          <w:rtl w:val="true"/>
        </w:rPr>
        <w:t xml:space="preserve">. </w:t>
      </w:r>
      <w:r>
        <w:rPr>
          <w:rtl w:val="true"/>
        </w:rPr>
        <w:t xml:space="preserve">לשון </w:t>
      </w:r>
      <w:r>
        <w:rPr>
          <w:b/>
          <w:b/>
          <w:bCs/>
          <w:rtl w:val="true"/>
        </w:rPr>
        <w:t>רש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י</w:t>
      </w:r>
      <w:r>
        <w:rPr>
          <w:rtl w:val="true"/>
        </w:rPr>
        <w:t xml:space="preserve"> </w:t>
      </w:r>
      <w:r>
        <w:rPr>
          <w:rtl w:val="true"/>
        </w:rPr>
        <w:t>(“</w:t>
      </w:r>
      <w:r>
        <w:rPr>
          <w:rtl w:val="true"/>
        </w:rPr>
        <w:t>הלכך מותר בכה</w:t>
      </w:r>
      <w:r>
        <w:rPr>
          <w:rtl w:val="true"/>
        </w:rPr>
        <w:t>"</w:t>
      </w:r>
      <w:r>
        <w:rPr>
          <w:rtl w:val="true"/>
        </w:rPr>
        <w:t>ג</w:t>
      </w:r>
      <w:r>
        <w:rPr>
          <w:rtl w:val="true"/>
        </w:rPr>
        <w:t xml:space="preserve">") </w:t>
      </w:r>
      <w:r>
        <w:rPr>
          <w:rtl w:val="true"/>
        </w:rPr>
        <w:t>משמע שאינו חיוב</w:t>
      </w:r>
      <w:r>
        <w:rPr>
          <w:rtl w:val="true"/>
        </w:rPr>
        <w:t xml:space="preserve">. </w:t>
      </w:r>
      <w:r>
        <w:rPr>
          <w:b/>
          <w:b/>
          <w:bCs/>
          <w:rtl w:val="true"/>
        </w:rPr>
        <w:t>רש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י</w:t>
      </w:r>
      <w:r>
        <w:rPr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כת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) </w:t>
      </w:r>
      <w:r>
        <w:rPr>
          <w:rtl w:val="true"/>
        </w:rPr>
        <w:t>במ</w:t>
      </w:r>
      <w:r>
        <w:rPr>
          <w:rtl w:val="true"/>
        </w:rPr>
        <w:t>"</w:t>
      </w:r>
      <w:r>
        <w:rPr>
          <w:rtl w:val="true"/>
        </w:rPr>
        <w:t xml:space="preserve">ק </w:t>
      </w:r>
      <w:r>
        <w:rPr>
          <w:rtl w:val="true"/>
        </w:rPr>
        <w:t>(</w:t>
      </w:r>
      <w:r>
        <w:rPr>
          <w:rtl w:val="true"/>
        </w:rPr>
        <w:t>כו</w:t>
      </w:r>
      <w:r>
        <w:rPr>
          <w:rtl w:val="true"/>
        </w:rPr>
        <w:t xml:space="preserve">:) </w:t>
      </w:r>
      <w:r>
        <w:rPr>
          <w:rtl w:val="true"/>
        </w:rPr>
        <w:t>כ’ שאינו מצות קריעה</w:t>
      </w:r>
      <w:r>
        <w:rPr>
          <w:rtl w:val="true"/>
        </w:rPr>
        <w:t xml:space="preserve">, </w:t>
      </w:r>
      <w:r>
        <w:rPr>
          <w:rtl w:val="true"/>
        </w:rPr>
        <w:t xml:space="preserve">ורק עגמת נפש </w:t>
      </w:r>
      <w:r>
        <w:rPr>
          <w:rtl w:val="true"/>
        </w:rPr>
        <w:t>(</w:t>
      </w:r>
      <w:r>
        <w:rPr>
          <w:rtl w:val="true"/>
        </w:rPr>
        <w:t>כמו מה שקורעים בגדי קטן</w:t>
      </w:r>
      <w:r>
        <w:rPr>
          <w:rtl w:val="true"/>
        </w:rPr>
        <w:t xml:space="preserve">). </w:t>
      </w:r>
      <w:r>
        <w:rPr>
          <w:rtl w:val="true"/>
        </w:rPr>
        <w:t>נמצא שיש ענין בקריעה זה</w:t>
      </w:r>
      <w:r>
        <w:rPr>
          <w:rtl w:val="true"/>
        </w:rPr>
        <w:t xml:space="preserve">. </w:t>
      </w:r>
      <w:r>
        <w:rPr>
          <w:b/>
          <w:b/>
          <w:bCs/>
          <w:rtl w:val="true"/>
        </w:rPr>
        <w:t>ר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ן</w:t>
      </w:r>
      <w:r>
        <w:rPr>
          <w:b w:val="false"/>
          <w:b w:val="false"/>
          <w:bCs w:val="false"/>
          <w:rtl w:val="true"/>
        </w:rPr>
        <w:t xml:space="preserve"> במ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ק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שאינו 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ן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>כ’ שכיון שאינו חייב באבילות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הוא רק זכר לכבוד אביו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זה דומה למש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 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ר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י לוניל</w:t>
      </w:r>
      <w:r>
        <w:rPr>
          <w:b w:val="false"/>
          <w:b w:val="false"/>
          <w:bCs w:val="false"/>
          <w:rtl w:val="true"/>
        </w:rPr>
        <w:t xml:space="preserve"> כ’ כמו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רמב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 xml:space="preserve">ם </w:t>
      </w:r>
      <w:r>
        <w:rPr>
          <w:b w:val="false"/>
          <w:b w:val="false"/>
          <w:bCs w:val="false"/>
          <w:rtl w:val="true"/>
        </w:rPr>
        <w:t xml:space="preserve">כ’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אבל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ז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כו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>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כה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ג חייב בכל דיני אבילות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שאסור לו לקרוע בגדיו למעלה…</w:t>
      </w:r>
      <w:r>
        <w:rPr>
          <w:b w:val="false"/>
          <w:bCs w:val="false"/>
          <w:rtl w:val="true"/>
        </w:rPr>
        <w:t xml:space="preserve">..” </w:t>
      </w:r>
      <w:r>
        <w:rPr>
          <w:b w:val="false"/>
          <w:b w:val="false"/>
          <w:bCs w:val="false"/>
          <w:rtl w:val="true"/>
        </w:rPr>
        <w:t>זה נגד 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ן ורי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גם כ’</w:t>
      </w:r>
      <w:r>
        <w:rPr>
          <w:b w:val="false"/>
          <w:bCs w:val="false"/>
          <w:rtl w:val="true"/>
        </w:rPr>
        <w:t>, “</w:t>
      </w:r>
      <w:r>
        <w:rPr>
          <w:b w:val="false"/>
          <w:b w:val="false"/>
          <w:bCs w:val="false"/>
          <w:rtl w:val="true"/>
        </w:rPr>
        <w:t>אבל חייב לקרוע על מתו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 xml:space="preserve">הקורע </w:t>
      </w:r>
      <w:r>
        <w:rPr>
          <w:b w:val="false"/>
          <w:bCs w:val="false"/>
          <w:rtl w:val="true"/>
        </w:rPr>
        <w:t>[</w:t>
      </w:r>
      <w:r>
        <w:rPr>
          <w:b w:val="false"/>
          <w:b w:val="false"/>
          <w:bCs w:val="false"/>
          <w:rtl w:val="true"/>
        </w:rPr>
        <w:t>שלא במקומו</w:t>
      </w:r>
      <w:r>
        <w:rPr>
          <w:b w:val="false"/>
          <w:bCs w:val="false"/>
          <w:rtl w:val="true"/>
        </w:rPr>
        <w:t xml:space="preserve">] </w:t>
      </w:r>
      <w:r>
        <w:rPr>
          <w:b w:val="false"/>
          <w:b w:val="false"/>
          <w:bCs w:val="false"/>
          <w:rtl w:val="true"/>
        </w:rPr>
        <w:t>לא יצא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כה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ג שקורע למטה</w:t>
      </w:r>
      <w:r>
        <w:rPr>
          <w:b w:val="false"/>
          <w:bCs w:val="false"/>
          <w:rtl w:val="true"/>
        </w:rPr>
        <w:t xml:space="preserve">.” </w:t>
      </w:r>
      <w:r>
        <w:rPr>
          <w:b w:val="false"/>
          <w:b w:val="false"/>
          <w:bCs w:val="false"/>
          <w:rtl w:val="true"/>
        </w:rPr>
        <w:t>משמע שמקיים בזה קריעה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גם משמע כן מרבו של רמב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ן </w:t>
      </w:r>
      <w:r>
        <w:rPr>
          <w:b w:val="false"/>
          <w:bCs w:val="false"/>
          <w:rtl w:val="true"/>
        </w:rPr>
        <w:t>(</w:t>
      </w:r>
      <w:r>
        <w:rPr>
          <w:b/>
          <w:b/>
          <w:bCs/>
          <w:rtl w:val="true"/>
        </w:rPr>
        <w:t>רב נתן בר’ מאיר</w:t>
      </w:r>
      <w:r>
        <w:rPr>
          <w:b w:val="false"/>
          <w:bCs w:val="false"/>
          <w:rtl w:val="true"/>
        </w:rPr>
        <w:t xml:space="preserve">). </w:t>
      </w:r>
      <w:r>
        <w:rPr>
          <w:b/>
          <w:b/>
          <w:bCs/>
          <w:rtl w:val="true"/>
        </w:rPr>
        <w:t>ספר מאורות</w:t>
      </w:r>
      <w:r>
        <w:rPr>
          <w:b w:val="false"/>
          <w:b w:val="false"/>
          <w:bCs w:val="false"/>
          <w:rtl w:val="true"/>
        </w:rPr>
        <w:t xml:space="preserve">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חבר רמב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ן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>כתב בשמו על גמרא שאומר שלפעמים הכל צריכים לקרוע שכיון שמצינו שקריעה למטה נקרא קריעה לכה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ג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מהני אף לזה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משמע כרמב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שהוא רק היכר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בודאי אין ראיה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לרי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אין הוכחה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שאינו דין קריעה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רמ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 xml:space="preserve">ה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סנהדרין יט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>כ’ שכה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ג חייב בכפיית מטה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 xml:space="preserve">משמע שיש לו דיני אבלות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אבל אולי עדיין אין לו דין קריעה</w:t>
      </w:r>
      <w:r>
        <w:rPr>
          <w:b w:val="false"/>
          <w:bCs w:val="false"/>
          <w:rtl w:val="true"/>
        </w:rPr>
        <w:t xml:space="preserve">). </w:t>
      </w:r>
      <w:r>
        <w:rPr>
          <w:b/>
          <w:b/>
          <w:bCs/>
          <w:rtl w:val="true"/>
        </w:rPr>
        <w:t>העיר’</w:t>
      </w:r>
      <w:r>
        <w:rPr>
          <w:b w:val="false"/>
          <w:b w:val="false"/>
          <w:bCs w:val="false"/>
          <w:rtl w:val="true"/>
        </w:rPr>
        <w:t xml:space="preserve"> שכן משמע מלשון 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לא פורם כדרך שבני אדם קורעים</w:t>
      </w:r>
      <w:r>
        <w:rPr>
          <w:b w:val="false"/>
          <w:bCs w:val="false"/>
          <w:rtl w:val="true"/>
        </w:rPr>
        <w:t xml:space="preserve">,” </w:t>
      </w:r>
      <w:r>
        <w:rPr>
          <w:b w:val="false"/>
          <w:b w:val="false"/>
          <w:bCs w:val="false"/>
          <w:rtl w:val="true"/>
        </w:rPr>
        <w:t>ולא פטור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b w:val="false"/>
          <w:b w:val="false"/>
          <w:bCs w:val="false"/>
          <w:rtl w:val="true"/>
        </w:rPr>
        <w:t xml:space="preserve">כ’ </w:t>
      </w:r>
      <w:r>
        <w:rPr>
          <w:b/>
          <w:b/>
          <w:bCs/>
          <w:rtl w:val="true"/>
        </w:rPr>
        <w:t>סה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ח</w:t>
      </w:r>
      <w:r>
        <w:rPr>
          <w:b w:val="false"/>
          <w:b w:val="false"/>
          <w:bCs w:val="false"/>
          <w:rtl w:val="true"/>
        </w:rPr>
        <w:t xml:space="preserve"> שאין כה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ג רשאי לקרוע על מת שימות לו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 xml:space="preserve">כ’ </w:t>
      </w:r>
      <w:r>
        <w:rPr>
          <w:b/>
          <w:b/>
          <w:bCs/>
          <w:rtl w:val="true"/>
        </w:rPr>
        <w:t>מנ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ח</w:t>
      </w:r>
      <w:r>
        <w:rPr>
          <w:b w:val="false"/>
          <w:b w:val="false"/>
          <w:bCs w:val="false"/>
          <w:rtl w:val="true"/>
        </w:rPr>
        <w:t xml:space="preserve"> שמשמע ששלא על מת יכול לקרוע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ומק’ למקור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מביא ש</w:t>
      </w:r>
      <w:r>
        <w:rPr>
          <w:b/>
          <w:b/>
          <w:bCs/>
          <w:rtl w:val="true"/>
        </w:rPr>
        <w:t>רמב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ם</w:t>
      </w:r>
      <w:r>
        <w:rPr>
          <w:b w:val="false"/>
          <w:b w:val="false"/>
          <w:bCs w:val="false"/>
          <w:rtl w:val="true"/>
        </w:rPr>
        <w:t xml:space="preserve"> משמע שהוא אף אם אינו על מת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מביא רמב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ם אחר שמשמע כסה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ח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מביא אח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 רמב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ם  שאומר שכה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ג </w:t>
      </w:r>
      <w:r>
        <w:rPr>
          <w:rStyle w:val="EndnoteAnchor"/>
          <w:b w:val="false"/>
          <w:b w:val="false"/>
          <w:bCs w:val="false"/>
          <w:rtl w:val="true"/>
        </w:rPr>
        <w:endnoteReference w:id="2"/>
      </w:r>
      <w:r>
        <w:rPr>
          <w:b w:val="false"/>
          <w:b w:val="false"/>
          <w:bCs w:val="false"/>
          <w:rtl w:val="true"/>
        </w:rPr>
        <w:t>מצורע קורע כיון שעשה דוחה לאו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משמע שיש איסור אף אם אינו על מת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באמת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נדרש כן ב</w:t>
      </w:r>
      <w:r>
        <w:rPr>
          <w:b/>
          <w:b/>
          <w:bCs/>
          <w:rtl w:val="true"/>
        </w:rPr>
        <w:t>תו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 xml:space="preserve">כ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ולכא’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הובא </w:t>
      </w:r>
      <w:r>
        <w:rPr>
          <w:b/>
          <w:b/>
          <w:bCs/>
          <w:rtl w:val="true"/>
        </w:rPr>
        <w:t>בגמרא</w:t>
      </w:r>
      <w:r>
        <w:rPr>
          <w:b w:val="false"/>
          <w:b w:val="false"/>
          <w:bCs w:val="false"/>
          <w:rtl w:val="true"/>
        </w:rPr>
        <w:t xml:space="preserve"> כשאומר במ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ק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יד</w:t>
      </w:r>
      <w:r>
        <w:rPr>
          <w:b w:val="false"/>
          <w:bCs w:val="false"/>
          <w:rtl w:val="true"/>
        </w:rPr>
        <w:t xml:space="preserve">:) </w:t>
      </w:r>
      <w:r>
        <w:rPr>
          <w:b w:val="false"/>
          <w:b w:val="false"/>
          <w:bCs w:val="false"/>
          <w:rtl w:val="true"/>
        </w:rPr>
        <w:t>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והצרוע</w:t>
      </w:r>
      <w:r>
        <w:rPr>
          <w:b w:val="false"/>
          <w:bCs w:val="false"/>
          <w:rtl w:val="true"/>
        </w:rPr>
        <w:t xml:space="preserve">" </w:t>
      </w:r>
      <w:r>
        <w:rPr>
          <w:b w:val="false"/>
          <w:b w:val="false"/>
          <w:bCs w:val="false"/>
          <w:rtl w:val="true"/>
        </w:rPr>
        <w:t>מרבה כה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ג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יש מפרשים שמרבה אותו לפריעה</w:t>
      </w:r>
      <w:r>
        <w:rPr>
          <w:b w:val="false"/>
          <w:bCs w:val="false"/>
          <w:rtl w:val="true"/>
        </w:rPr>
        <w:t xml:space="preserve">.) </w:t>
      </w:r>
      <w:r>
        <w:rPr>
          <w:b w:val="false"/>
          <w:b w:val="false"/>
          <w:bCs w:val="false"/>
          <w:rtl w:val="true"/>
        </w:rPr>
        <w:t>בפירוש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תו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כ</w:t>
      </w:r>
      <w:r>
        <w:rPr>
          <w:b w:val="false"/>
          <w:b w:val="false"/>
          <w:bCs w:val="false"/>
          <w:rtl w:val="true"/>
        </w:rPr>
        <w:t xml:space="preserve"> כ’ בשיטת ר’ ישמעאל שלא פורע כדרך שבני אדם פורעים על מתם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משמע שהוא רק על מתו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חסדי</w:t>
      </w:r>
      <w:r>
        <w:rPr>
          <w:b w:val="false"/>
          <w:b w:val="false"/>
          <w:bCs w:val="false"/>
          <w:rtl w:val="true"/>
        </w:rPr>
        <w:t xml:space="preserve"> </w:t>
      </w:r>
      <w:r>
        <w:rPr>
          <w:b/>
          <w:b/>
          <w:bCs/>
          <w:rtl w:val="true"/>
        </w:rPr>
        <w:t>דוד</w:t>
      </w:r>
      <w:r>
        <w:rPr>
          <w:b w:val="false"/>
          <w:b w:val="false"/>
          <w:bCs w:val="false"/>
          <w:rtl w:val="true"/>
        </w:rPr>
        <w:t xml:space="preserve"> כ’ שאולי מרבה אף מתו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לשון סה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ח לא משמע שבא לרבות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ואז 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עדיין קשה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סה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ח כ’ שכמו שקריעה למת צ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טפח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צ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כן לכה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ג לעבור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העיר’</w:t>
      </w:r>
      <w:r>
        <w:rPr>
          <w:b w:val="false"/>
          <w:b w:val="false"/>
          <w:bCs w:val="false"/>
          <w:rtl w:val="true"/>
        </w:rPr>
        <w:t xml:space="preserve"> שמה שגמרא משווה דין מת לכה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ג משמע שהוא רק קריעה על מתו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אפשר שכיון שלשון תורה בכה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ג ובמת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שנל’ מאזהרת קרא לאהרן ובניו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 xml:space="preserve">שוה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פריעה ופרימה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>אם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אולי יש ללמוד זה מזה</w:t>
      </w:r>
      <w:r>
        <w:rPr>
          <w:b w:val="false"/>
          <w:bCs w:val="false"/>
          <w:rtl w:val="true"/>
        </w:rPr>
        <w:t>.</w:t>
      </w:r>
      <w:r>
        <w:rPr>
          <w:rStyle w:val="EndnoteAnchor"/>
          <w:b w:val="false"/>
          <w:bCs w:val="false"/>
          <w:rtl w:val="true"/>
        </w:rPr>
        <w:endnoteReference w:id="3"/>
      </w:r>
    </w:p>
    <w:p>
      <w:pPr>
        <w:pStyle w:val="Normal"/>
        <w:bidi w:val="1"/>
        <w:jc w:val="left"/>
        <w:rPr/>
      </w:pPr>
      <w:r>
        <w:rPr>
          <w:b/>
          <w:b/>
          <w:bCs/>
          <w:rtl w:val="true"/>
        </w:rPr>
        <w:t>רש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 xml:space="preserve">י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נדה לז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>כ’ שאשה שהיא מצורעת וזבה משלחת קרבנות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 xml:space="preserve">הק’ </w:t>
      </w:r>
      <w:r>
        <w:rPr>
          <w:b/>
          <w:b/>
          <w:bCs/>
          <w:rtl w:val="true"/>
        </w:rPr>
        <w:t>טורי אבן</w:t>
      </w:r>
      <w:r>
        <w:rPr>
          <w:b w:val="false"/>
          <w:b w:val="false"/>
          <w:bCs w:val="false"/>
          <w:rtl w:val="true"/>
        </w:rPr>
        <w:t xml:space="preserve"> שמצורע לא משלח קרבן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זכר יצחק</w:t>
      </w:r>
      <w:r>
        <w:rPr>
          <w:b w:val="false"/>
          <w:b w:val="false"/>
          <w:bCs w:val="false"/>
          <w:rtl w:val="true"/>
        </w:rPr>
        <w:t xml:space="preserve">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מג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מד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 xml:space="preserve">כ’ שמצינו כמה הל’ אבלות במצורע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כמו פריעה ופרימה</w:t>
      </w:r>
      <w:r>
        <w:rPr>
          <w:rStyle w:val="EndnoteAnchor"/>
          <w:b w:val="false"/>
          <w:b w:val="false"/>
          <w:bCs w:val="false"/>
          <w:rtl w:val="true"/>
        </w:rPr>
        <w:endnoteReference w:id="4"/>
      </w:r>
      <w:r>
        <w:rPr>
          <w:b w:val="false"/>
          <w:bCs w:val="false"/>
          <w:rtl w:val="true"/>
        </w:rPr>
        <w:t xml:space="preserve">; </w:t>
      </w:r>
      <w:r>
        <w:rPr>
          <w:b w:val="false"/>
          <w:b w:val="false"/>
          <w:bCs w:val="false"/>
          <w:rtl w:val="true"/>
        </w:rPr>
        <w:t>תשמיש המטה</w:t>
      </w:r>
      <w:r>
        <w:rPr>
          <w:b w:val="false"/>
          <w:bCs w:val="false"/>
          <w:rtl w:val="true"/>
        </w:rPr>
        <w:t xml:space="preserve">; </w:t>
      </w:r>
      <w:r>
        <w:rPr>
          <w:b w:val="false"/>
          <w:b w:val="false"/>
          <w:bCs w:val="false"/>
          <w:rtl w:val="true"/>
        </w:rPr>
        <w:t>כיסוי ראש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>מצורעת מותרת באלו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משמע שאין לה אבלות של מצורע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 xml:space="preserve">אם נאמר שדין שילוח קרבנות הוא דין אבלות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שאין אונן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ואולי אף אבל משלח קרבנות</w:t>
      </w:r>
      <w:r>
        <w:rPr>
          <w:b w:val="false"/>
          <w:bCs w:val="false"/>
          <w:rtl w:val="true"/>
        </w:rPr>
        <w:t xml:space="preserve">), </w:t>
      </w:r>
      <w:r>
        <w:rPr>
          <w:b w:val="false"/>
          <w:b w:val="false"/>
          <w:bCs w:val="false"/>
          <w:rtl w:val="true"/>
        </w:rPr>
        <w:t>נוכל לת’ לרש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 xml:space="preserve">העיר’ </w:t>
      </w:r>
      <w:r>
        <w:rPr>
          <w:b w:val="false"/>
          <w:b w:val="false"/>
          <w:bCs w:val="false"/>
          <w:rtl w:val="true"/>
        </w:rPr>
        <w:t xml:space="preserve">שגמרא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מ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ק יד</w:t>
      </w:r>
      <w:r>
        <w:rPr>
          <w:b w:val="false"/>
          <w:bCs w:val="false"/>
          <w:rtl w:val="true"/>
        </w:rPr>
        <w:t xml:space="preserve">:) </w:t>
      </w:r>
      <w:r>
        <w:rPr>
          <w:b w:val="false"/>
          <w:b w:val="false"/>
          <w:bCs w:val="false"/>
          <w:rtl w:val="true"/>
        </w:rPr>
        <w:t>שואל אם מצורע ינהג צרעתו ברגל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מוזר מה ששאל זה</w:t>
      </w:r>
      <w:r>
        <w:rPr>
          <w:b w:val="false"/>
          <w:bCs w:val="false"/>
          <w:rtl w:val="true"/>
        </w:rPr>
        <w:t xml:space="preserve">; </w:t>
      </w:r>
      <w:r>
        <w:rPr>
          <w:b w:val="false"/>
          <w:b w:val="false"/>
          <w:bCs w:val="false"/>
          <w:rtl w:val="true"/>
        </w:rPr>
        <w:t>כל טומאה נוהג ברגל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משמע שהוא מחמת דיני אבלות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תו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 xml:space="preserve">כ </w:t>
      </w:r>
      <w:r>
        <w:rPr>
          <w:b w:val="false"/>
          <w:b w:val="false"/>
          <w:bCs w:val="false"/>
          <w:rtl w:val="true"/>
        </w:rPr>
        <w:t>כ’ 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יטה ראשו </w:t>
      </w:r>
      <w:r>
        <w:rPr>
          <w:b w:val="false"/>
          <w:bCs w:val="false"/>
          <w:rtl w:val="true"/>
        </w:rPr>
        <w:t>[</w:t>
      </w:r>
      <w:r>
        <w:rPr>
          <w:b w:val="false"/>
          <w:b w:val="false"/>
          <w:bCs w:val="false"/>
          <w:rtl w:val="true"/>
        </w:rPr>
        <w:t>מצורע</w:t>
      </w:r>
      <w:r>
        <w:rPr>
          <w:b w:val="false"/>
          <w:bCs w:val="false"/>
          <w:rtl w:val="true"/>
        </w:rPr>
        <w:t xml:space="preserve">] </w:t>
      </w:r>
      <w:r>
        <w:rPr>
          <w:b w:val="false"/>
          <w:b w:val="false"/>
          <w:bCs w:val="false"/>
          <w:rtl w:val="true"/>
        </w:rPr>
        <w:t>כאבל</w:t>
      </w:r>
      <w:r>
        <w:rPr>
          <w:b w:val="false"/>
          <w:bCs w:val="false"/>
          <w:rtl w:val="true"/>
        </w:rPr>
        <w:t xml:space="preserve">.” </w:t>
      </w:r>
      <w:r>
        <w:rPr>
          <w:b w:val="false"/>
          <w:b w:val="false"/>
          <w:bCs w:val="false"/>
          <w:rtl w:val="true"/>
        </w:rPr>
        <w:t>כמו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כ אומר </w:t>
      </w:r>
      <w:r>
        <w:rPr>
          <w:b/>
          <w:b/>
          <w:bCs/>
          <w:rtl w:val="true"/>
        </w:rPr>
        <w:t>אונקלוס</w:t>
      </w:r>
      <w:r>
        <w:rPr>
          <w:b/>
          <w:bCs/>
          <w:rtl w:val="true"/>
        </w:rPr>
        <w:t xml:space="preserve">. </w:t>
      </w:r>
      <w:r>
        <w:rPr>
          <w:b/>
          <w:b/>
          <w:bCs/>
          <w:rtl w:val="true"/>
        </w:rPr>
        <w:t>העיר</w:t>
      </w:r>
      <w:r>
        <w:rPr>
          <w:b w:val="false"/>
          <w:b w:val="false"/>
          <w:bCs w:val="false"/>
          <w:rtl w:val="true"/>
        </w:rPr>
        <w:t>’ שמעניין שואמר כן רק בדין שפם</w:t>
      </w:r>
      <w:r>
        <w:rPr>
          <w:b w:val="false"/>
          <w:bCs w:val="false"/>
          <w:rtl w:val="true"/>
        </w:rPr>
        <w:t>.</w:t>
      </w:r>
      <w:r>
        <w:rPr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אב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א</w:t>
      </w:r>
      <w:r>
        <w:rPr>
          <w:b w:val="false"/>
          <w:b w:val="false"/>
          <w:bCs w:val="false"/>
          <w:rtl w:val="true"/>
        </w:rPr>
        <w:t xml:space="preserve"> כ’ שטעם דין פריעה הוא כעין אבל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 xml:space="preserve">שאל </w:t>
      </w:r>
      <w:r>
        <w:rPr>
          <w:b/>
          <w:b/>
          <w:bCs/>
          <w:rtl w:val="true"/>
        </w:rPr>
        <w:t>רבי</w:t>
      </w:r>
      <w:r>
        <w:rPr>
          <w:b w:val="false"/>
          <w:b w:val="false"/>
          <w:bCs w:val="false"/>
          <w:rtl w:val="true"/>
        </w:rPr>
        <w:t xml:space="preserve"> ל</w:t>
      </w:r>
      <w:r>
        <w:rPr>
          <w:b/>
          <w:b/>
          <w:bCs/>
          <w:rtl w:val="true"/>
        </w:rPr>
        <w:t>ר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ש אורבך</w:t>
      </w:r>
      <w:r>
        <w:rPr>
          <w:b w:val="false"/>
          <w:b w:val="false"/>
          <w:bCs w:val="false"/>
          <w:rtl w:val="true"/>
        </w:rPr>
        <w:t xml:space="preserve"> שגמרא אומר שטומאת מצורע חמור כיון שיש בו פרו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פ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משמע שהוא מדין טומאתו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ת’ שאבלות מחמת טומאתו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b w:val="false"/>
          <w:b w:val="false"/>
          <w:bCs w:val="false"/>
          <w:rtl w:val="true"/>
        </w:rPr>
        <w:t>עפ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פשוט שכה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ג מצורע צריך קרא לרבות כה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ג מצורע</w:t>
      </w:r>
      <w:r>
        <w:rPr>
          <w:b w:val="false"/>
          <w:bCs w:val="false"/>
          <w:rtl w:val="true"/>
        </w:rPr>
        <w:t>.</w:t>
      </w:r>
    </w:p>
    <w:sectPr>
      <w:endnotePr>
        <w:numFmt w:val="lowerRoman"/>
      </w:endnote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endnotes.xml><?xml version="1.0" encoding="utf-8"?>
<w:end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endnote w:id="0" w:type="separator">
    <w:p>
      <w:r>
        <w:separator/>
      </w:r>
    </w:p>
  </w:endnote>
  <w:endnote w:id="1" w:type="continuationSeparator">
    <w:p>
      <w:r>
        <w:continuationSeparator/>
      </w:r>
    </w:p>
  </w:endnote>
  <w:endnote w:id="2">
    <w:p>
      <w:pPr>
        <w:pStyle w:val="Endnote"/>
        <w:bidi w:val="1"/>
        <w:jc w:val="left"/>
        <w:rPr/>
      </w:pPr>
      <w:r>
        <w:rPr>
          <w:rStyle w:val="EndnoteCharacters"/>
        </w:rPr>
        <w:endnoteRef/>
      </w:r>
      <w:r>
        <w:rPr>
          <w:rtl w:val="true"/>
        </w:rPr>
        <w:tab/>
        <w:t>אולי זה שייך למצורע חשוב כמת</w:t>
      </w:r>
      <w:r>
        <w:rPr>
          <w:rtl w:val="true"/>
        </w:rPr>
        <w:t xml:space="preserve">. </w:t>
      </w:r>
      <w:r>
        <w:rPr>
          <w:rtl w:val="true"/>
        </w:rPr>
        <w:t xml:space="preserve">זה אולי גם יכול לבאר למה הוא חומרא בטומאה </w:t>
      </w:r>
      <w:r>
        <w:rPr>
          <w:rtl w:val="true"/>
        </w:rPr>
        <w:t>(</w:t>
      </w:r>
      <w:r>
        <w:rPr>
          <w:rtl w:val="true"/>
        </w:rPr>
        <w:t>שאולי לכן טמא</w:t>
      </w:r>
      <w:r>
        <w:rPr>
          <w:rtl w:val="true"/>
        </w:rPr>
        <w:t xml:space="preserve">). </w:t>
      </w:r>
      <w:r>
        <w:rPr>
          <w:rtl w:val="true"/>
        </w:rPr>
        <w:t>לא נראה</w:t>
      </w:r>
      <w:r>
        <w:rPr>
          <w:rtl w:val="true"/>
        </w:rPr>
        <w:t xml:space="preserve">, </w:t>
      </w:r>
      <w:r>
        <w:rPr>
          <w:rtl w:val="true"/>
        </w:rPr>
        <w:t>שלכאורה</w:t>
      </w:r>
      <w:r>
        <w:rPr>
          <w:rtl w:val="true"/>
        </w:rPr>
        <w:t xml:space="preserve">, </w:t>
      </w:r>
      <w:r>
        <w:rPr>
          <w:rtl w:val="true"/>
        </w:rPr>
        <w:t>הוא כמת מחמת דינים אלו</w:t>
      </w:r>
      <w:r>
        <w:rPr>
          <w:rtl w:val="true"/>
        </w:rPr>
        <w:t xml:space="preserve">. </w:t>
      </w:r>
      <w:r>
        <w:rPr>
          <w:rtl w:val="true"/>
        </w:rPr>
        <w:t xml:space="preserve">גם אולי יש לומר </w:t>
      </w:r>
      <w:r>
        <w:rPr>
          <w:rtl w:val="true"/>
        </w:rPr>
        <w:t>(</w:t>
      </w:r>
      <w:r>
        <w:rPr>
          <w:rtl w:val="true"/>
        </w:rPr>
        <w:t>וצריך ביאור למה</w:t>
      </w:r>
      <w:r>
        <w:rPr>
          <w:rtl w:val="true"/>
        </w:rPr>
        <w:t xml:space="preserve">) </w:t>
      </w:r>
      <w:r>
        <w:rPr>
          <w:rtl w:val="true"/>
        </w:rPr>
        <w:t>שהאיסור הוא קריעה שעל מת</w:t>
      </w:r>
      <w:r>
        <w:rPr>
          <w:rtl w:val="true"/>
        </w:rPr>
        <w:t>.</w:t>
      </w:r>
    </w:p>
  </w:endnote>
  <w:endnote w:id="3">
    <w:p>
      <w:pPr>
        <w:pStyle w:val="Endnote"/>
        <w:bidi w:val="1"/>
        <w:jc w:val="left"/>
        <w:rPr/>
      </w:pPr>
      <w:r>
        <w:rPr>
          <w:rStyle w:val="EndnoteCharacters"/>
        </w:rPr>
        <w:endnoteRef/>
      </w:r>
      <w:r>
        <w:rPr>
          <w:rtl w:val="true"/>
        </w:rPr>
        <w:tab/>
        <w:t>לכאורה</w:t>
      </w:r>
      <w:r>
        <w:rPr>
          <w:rtl w:val="true"/>
        </w:rPr>
        <w:t xml:space="preserve">, </w:t>
      </w:r>
      <w:r>
        <w:rPr>
          <w:rtl w:val="true"/>
        </w:rPr>
        <w:t>יש לבאר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לשון תו</w:t>
      </w:r>
      <w:r>
        <w:rPr>
          <w:rtl w:val="true"/>
        </w:rPr>
        <w:t>"</w:t>
      </w:r>
      <w:r>
        <w:rPr>
          <w:rtl w:val="true"/>
        </w:rPr>
        <w:t>כ על פי זה</w:t>
      </w:r>
      <w:r>
        <w:rPr>
          <w:rtl w:val="true"/>
        </w:rPr>
        <w:t>.</w:t>
      </w:r>
    </w:p>
  </w:endnote>
  <w:endnote w:id="4">
    <w:p>
      <w:pPr>
        <w:pStyle w:val="Endnote"/>
        <w:bidi w:val="1"/>
        <w:jc w:val="left"/>
        <w:rPr/>
      </w:pPr>
      <w:r>
        <w:rPr>
          <w:rStyle w:val="EndnoteCharacters"/>
        </w:rPr>
        <w:endnoteRef/>
      </w:r>
      <w:r>
        <w:rPr>
          <w:rtl w:val="true"/>
        </w:rPr>
        <w:tab/>
        <w:t>לכאורה</w:t>
      </w:r>
      <w:r>
        <w:rPr>
          <w:rtl w:val="true"/>
        </w:rPr>
        <w:t xml:space="preserve">, </w:t>
      </w:r>
      <w:r>
        <w:rPr>
          <w:rtl w:val="true"/>
        </w:rPr>
        <w:t>לא מצינו שממעט דין כיסוי שפם</w:t>
      </w:r>
      <w:r>
        <w:rPr>
          <w:rtl w:val="true"/>
        </w:rPr>
        <w:t>.</w:t>
      </w:r>
    </w:p>
  </w:endnote>
</w:endnote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endnotePr>
    <w:numFmt w:val="lowerRoman"/>
    <w:endnote w:id="0"/>
    <w:endnote w:id="1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Shofar"/>
        <w:kern w:val="2"/>
        <w:sz w:val="24"/>
        <w:szCs w:val="24"/>
        <w:lang w:val="en-US" w:eastAsia="zh-CN" w:bidi="he-IL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NSimSun" w:cs="Shofar"/>
      <w:color w:val="auto"/>
      <w:kern w:val="2"/>
      <w:sz w:val="24"/>
      <w:szCs w:val="24"/>
      <w:lang w:val="en-US" w:eastAsia="zh-CN" w:bidi="he-IL"/>
    </w:rPr>
  </w:style>
  <w:style w:type="character" w:styleId="FootnoteCharacters">
    <w:name w:val="Footnote Characters"/>
    <w:qFormat/>
    <w:rPr/>
  </w:style>
  <w:style w:type="character" w:styleId="FootnoteAnchor">
    <w:name w:val="Footnote Anchor"/>
    <w:rPr>
      <w:vertAlign w:val="superscript"/>
    </w:rPr>
  </w:style>
  <w:style w:type="character" w:styleId="EndnoteCharacters">
    <w:name w:val="Endnote Characters"/>
    <w:qFormat/>
    <w:rPr/>
  </w:style>
  <w:style w:type="character" w:styleId="EndnoteAnchor">
    <w:name w:val="Endnote Anchor"/>
    <w:rPr>
      <w:vertAlign w:val="superscript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Times New Roman" w:hAnsi="Times New Roman" w:eastAsia="Microsoft YaHei" w:cs="Shofar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ascii="Times New Roman" w:hAnsi="Times New Roman" w:cs="Shofar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Shofar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 w:cs="Shofar"/>
      <w:lang w:val="zxx" w:eastAsia="zxx" w:bidi="zxx"/>
    </w:rPr>
  </w:style>
  <w:style w:type="paragraph" w:styleId="Footnote">
    <w:name w:val="Footnote Text"/>
    <w:basedOn w:val="Normal"/>
    <w:pPr>
      <w:suppressLineNumbers/>
      <w:ind w:left="340" w:hanging="340"/>
    </w:pPr>
    <w:rPr>
      <w:sz w:val="20"/>
      <w:szCs w:val="20"/>
    </w:rPr>
  </w:style>
  <w:style w:type="paragraph" w:styleId="Endnote">
    <w:name w:val="Endnote Text"/>
    <w:basedOn w:val="Normal"/>
    <w:pPr>
      <w:suppressLineNumbers/>
      <w:ind w:left="340" w:hanging="34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endnotes" Target="endnotes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53</TotalTime>
  <Application>LibreOffice/7.3.2.2$Windows_X86_64 LibreOffice_project/49f2b1bff42cfccbd8f788c8dc32c1c309559be0</Application>
  <AppVersion>15.0000</AppVersion>
  <Pages>2</Pages>
  <Words>579</Words>
  <Characters>2399</Characters>
  <CharactersWithSpaces>2971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2022-09-04T19:16:18Z</dcterms:created>
  <dc:creator/>
  <dc:description/>
  <dc:language>en-US</dc:language>
  <cp:lastModifiedBy/>
  <dcterms:modified xsi:type="dcterms:W3CDTF">2022-09-04T20:09:47Z</dcterms:modified>
  <cp:revision>33</cp:revision>
  <dc:subject/>
  <dc:title/>
</cp:coreProperties>
</file>