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/>
          <w:bCs/>
          <w:sz w:val="24"/>
          <w:szCs w:val="24"/>
        </w:rPr>
      </w:pPr>
      <w:r>
        <w:rPr>
          <w:rStyle w:val="FootnoteAnchor"/>
          <w:b/>
          <w:bCs/>
          <w:sz w:val="24"/>
          <w:szCs w:val="24"/>
          <w:rtl w:val="true"/>
        </w:rPr>
        <w:footnoteReference w:id="2"/>
      </w:r>
      <w:r>
        <w:rPr>
          <w:b/>
          <w:b/>
          <w:bCs/>
          <w:sz w:val="24"/>
          <w:sz w:val="24"/>
          <w:szCs w:val="24"/>
          <w:rtl w:val="true"/>
        </w:rPr>
        <w:t>פרק ראשון</w:t>
      </w:r>
      <w:r>
        <w:rPr>
          <w:rStyle w:val="FootnoteAnchor"/>
          <w:b/>
          <w:b/>
          <w:bCs/>
          <w:sz w:val="24"/>
          <w:sz w:val="24"/>
          <w:szCs w:val="24"/>
          <w:rtl w:val="true"/>
        </w:rPr>
        <w:footnoteReference w:id="3"/>
      </w:r>
    </w:p>
    <w:p>
      <w:pPr>
        <w:pStyle w:val="Normal"/>
        <w:bidi w:val="1"/>
        <w:jc w:val="left"/>
        <w:rPr>
          <w:b/>
          <w:b/>
          <w:bCs/>
          <w:sz w:val="24"/>
          <w:szCs w:val="24"/>
        </w:rPr>
      </w:pPr>
      <w:r>
        <w:rPr>
          <w:b/>
          <w:b/>
          <w:bCs/>
          <w:sz w:val="24"/>
          <w:sz w:val="24"/>
          <w:szCs w:val="24"/>
          <w:rtl w:val="true"/>
        </w:rPr>
        <w:t>א</w:t>
      </w:r>
      <w:r>
        <w:rPr>
          <w:rStyle w:val="FootnoteAnchor"/>
          <w:b/>
          <w:b/>
          <w:bCs/>
          <w:sz w:val="24"/>
          <w:sz w:val="24"/>
          <w:szCs w:val="24"/>
          <w:rtl w:val="true"/>
        </w:rPr>
        <w:footnoteReference w:id="4"/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הַלּוֹקֵחַ</w:t>
      </w:r>
      <w:r>
        <w:rPr>
          <w:rStyle w:val="FootnoteAnchor"/>
          <w:sz w:val="24"/>
          <w:sz w:val="24"/>
          <w:szCs w:val="24"/>
          <w:rtl w:val="true"/>
        </w:rPr>
        <w:footnoteReference w:id="5"/>
      </w:r>
      <w:r>
        <w:rPr>
          <w:sz w:val="24"/>
          <w:sz w:val="24"/>
          <w:szCs w:val="24"/>
          <w:rtl w:val="true"/>
        </w:rPr>
        <w:t xml:space="preserve"> עֻבַּר חֲמוֹרוֹ</w:t>
      </w:r>
      <w:r>
        <w:rPr>
          <w:rStyle w:val="FootnoteAnchor"/>
          <w:sz w:val="24"/>
          <w:sz w:val="24"/>
          <w:szCs w:val="24"/>
          <w:rtl w:val="true"/>
        </w:rPr>
        <w:footnoteReference w:id="6"/>
      </w:r>
      <w:r>
        <w:rPr>
          <w:sz w:val="24"/>
          <w:sz w:val="24"/>
          <w:szCs w:val="24"/>
          <w:rtl w:val="true"/>
        </w:rPr>
        <w:t xml:space="preserve"> שֶׁל נָכְרִי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וְהַמּוֹכֵר לוֹ אַף עַל פִּי שֶׁאֵינוֹ רַשַּׁאי</w:t>
      </w:r>
      <w:r>
        <w:rPr>
          <w:rStyle w:val="FootnoteAnchor"/>
          <w:sz w:val="24"/>
          <w:sz w:val="24"/>
          <w:szCs w:val="24"/>
          <w:rtl w:val="true"/>
        </w:rPr>
        <w:footnoteReference w:id="7"/>
      </w:r>
      <w:r>
        <w:rPr>
          <w:rStyle w:val="FootnoteAnchor"/>
          <w:sz w:val="24"/>
          <w:sz w:val="24"/>
          <w:szCs w:val="24"/>
          <w:rtl w:val="true"/>
        </w:rPr>
        <w:footnoteReference w:id="8"/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וְהַמִּשְׁתַּתֵּף לוֹ</w:t>
      </w:r>
      <w:r>
        <w:rPr>
          <w:rStyle w:val="FootnoteAnchor"/>
          <w:sz w:val="24"/>
          <w:sz w:val="24"/>
          <w:szCs w:val="24"/>
          <w:rtl w:val="true"/>
        </w:rPr>
        <w:footnoteReference w:id="9"/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וְהַמְקַבֵּל</w:t>
      </w:r>
      <w:r>
        <w:rPr>
          <w:rStyle w:val="FootnoteAnchor"/>
          <w:sz w:val="24"/>
          <w:sz w:val="24"/>
          <w:szCs w:val="24"/>
          <w:rtl w:val="true"/>
        </w:rPr>
        <w:footnoteReference w:id="10"/>
      </w:r>
      <w:r>
        <w:rPr>
          <w:sz w:val="24"/>
          <w:sz w:val="24"/>
          <w:szCs w:val="24"/>
          <w:rtl w:val="true"/>
        </w:rPr>
        <w:t xml:space="preserve"> מִמֶּנּוּ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וְהַנּוֹתֵן לוֹ בְקַבָּלָה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פָּטוּר מִן הַבְּכוֹרָה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 xml:space="preserve">שֶׁנֶּאֱמַר 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>במדבר ג</w:t>
      </w:r>
      <w:r>
        <w:rPr>
          <w:sz w:val="24"/>
          <w:szCs w:val="24"/>
          <w:rtl w:val="true"/>
        </w:rPr>
        <w:t xml:space="preserve">), </w:t>
      </w:r>
      <w:r>
        <w:rPr>
          <w:sz w:val="24"/>
          <w:sz w:val="24"/>
          <w:szCs w:val="24"/>
          <w:rtl w:val="true"/>
        </w:rPr>
        <w:t>בְּיִשְׂרָאֵל</w:t>
      </w:r>
      <w:r>
        <w:rPr>
          <w:rStyle w:val="FootnoteAnchor"/>
          <w:sz w:val="24"/>
          <w:sz w:val="24"/>
          <w:szCs w:val="24"/>
          <w:rtl w:val="true"/>
        </w:rPr>
        <w:footnoteReference w:id="11"/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אֲבָל לֹא בַאֲחֵרִים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 w:val="24"/>
          <w:szCs w:val="24"/>
          <w:rtl w:val="true"/>
        </w:rPr>
        <w:t>כֹּהֲנִים וּלְוִיִּם פְּטוּרִין מִקַּל וָחֹמֶר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אִם פָּטְרוּ שֶׁל יִשְׂרָאֵל בַּמִּדְבָּר</w:t>
      </w:r>
      <w:r>
        <w:rPr>
          <w:rStyle w:val="FootnoteAnchor"/>
          <w:sz w:val="24"/>
          <w:sz w:val="24"/>
          <w:szCs w:val="24"/>
          <w:rtl w:val="true"/>
        </w:rPr>
        <w:footnoteReference w:id="12"/>
      </w:r>
      <w:r>
        <w:rPr>
          <w:rStyle w:val="FootnoteAnchor"/>
          <w:sz w:val="24"/>
          <w:sz w:val="24"/>
          <w:szCs w:val="24"/>
          <w:rtl w:val="true"/>
        </w:rPr>
        <w:footnoteReference w:id="13"/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דִּין הוּא שֶׁיִּפְטְרוּ שֶׁל עַצְמָן</w:t>
      </w:r>
      <w:r>
        <w:rPr>
          <w:sz w:val="24"/>
          <w:szCs w:val="24"/>
          <w:rtl w:val="true"/>
        </w:rPr>
        <w:t xml:space="preserve">: </w:t>
      </w:r>
    </w:p>
    <w:p>
      <w:pPr>
        <w:pStyle w:val="Normal"/>
        <w:bidi w:val="1"/>
        <w:jc w:val="left"/>
        <w:rPr>
          <w:b/>
          <w:b/>
          <w:bCs/>
          <w:sz w:val="24"/>
          <w:szCs w:val="24"/>
        </w:rPr>
      </w:pPr>
      <w:r>
        <w:rPr>
          <w:b/>
          <w:b/>
          <w:bCs/>
          <w:sz w:val="24"/>
          <w:sz w:val="24"/>
          <w:szCs w:val="24"/>
          <w:rtl w:val="true"/>
        </w:rPr>
        <w:t>ב</w:t>
      </w:r>
      <w:r>
        <w:rPr>
          <w:rStyle w:val="FootnoteAnchor"/>
          <w:b/>
          <w:b/>
          <w:bCs/>
          <w:sz w:val="24"/>
          <w:sz w:val="24"/>
          <w:szCs w:val="24"/>
          <w:rtl w:val="true"/>
        </w:rPr>
        <w:footnoteReference w:id="14"/>
      </w:r>
    </w:p>
    <w:p>
      <w:pPr>
        <w:pStyle w:val="Normal"/>
        <w:bidi w:val="1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</w:rPr>
        <w:t>פָּרָה שֶׁיָּלְדָה כְּמִין חֲמוֹר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15"/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וַחֲמוֹר שֶׁיָּלְדָה כְּמִין סוּס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פָּטוּר מִן הַבְּכוֹרָה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שֶׁנֶּאֱמַר פֶּטֶר חֲמוֹר פֶּטֶר חֲמוֹר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שְׁנֵי פְעָמִים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עַד שֶׁיְּהֵא הַיּוֹלֵד חֲמוֹר וְהַנּוֹלָד חֲמוֹר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וּמָה הֵם בַּאֲכִילָה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16"/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בְּהֵמָה טְהוֹרָה שֶׁיָּלְדָה כְּמִין בְּהֵמָה טְמֵאָה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מֻתָּר בַּאֲכִילָה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וּטְמֵאָה שֶׁיָּלְדָה כְּמִין בְּהֵמָה טְהוֹרָה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אָסוּר בַּאֲכִילָה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שֶׁהַיּוֹצֵא מֵהַטָּמֵא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טָמֵא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17"/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וְהַיּוֹצֵא מִן הַטָּהוֹר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טָהוֹר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18"/>
      </w:r>
      <w:r>
        <w:rPr>
          <w:b w:val="false"/>
          <w:bCs w:val="false"/>
          <w:sz w:val="24"/>
          <w:szCs w:val="24"/>
          <w:rtl w:val="true"/>
        </w:rPr>
        <w:t>.</w:t>
      </w:r>
      <w:r>
        <w:rPr>
          <w:rStyle w:val="FootnoteAnchor"/>
          <w:b w:val="false"/>
          <w:bCs w:val="false"/>
          <w:sz w:val="24"/>
          <w:szCs w:val="24"/>
          <w:rtl w:val="true"/>
        </w:rPr>
        <w:footnoteReference w:id="19"/>
      </w:r>
      <w:r>
        <w:rPr>
          <w:b w:val="false"/>
          <w:bCs w:val="false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דָּג טָמֵא שֶׁבָּלַע דָּג טָהוֹר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מֻתָּר בַּאֲכִילָה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וְטָהוֹר שֶׁבָּלַע דָּג טָמֵא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אָסוּר בַּאֲכִילָה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לְפִי שֶׁאֵינוֹ גִדּוּלָיו</w:t>
      </w:r>
      <w:r>
        <w:rPr>
          <w:b w:val="false"/>
          <w:bCs w:val="false"/>
          <w:sz w:val="24"/>
          <w:szCs w:val="24"/>
          <w:rtl w:val="true"/>
        </w:rPr>
        <w:t xml:space="preserve">: </w:t>
      </w:r>
    </w:p>
    <w:p>
      <w:pPr>
        <w:pStyle w:val="Normal"/>
        <w:bidi w:val="1"/>
        <w:jc w:val="left"/>
        <w:rPr>
          <w:b/>
          <w:b/>
          <w:bCs/>
          <w:sz w:val="24"/>
          <w:szCs w:val="24"/>
        </w:rPr>
      </w:pPr>
      <w:r>
        <w:rPr>
          <w:b/>
          <w:b/>
          <w:bCs/>
          <w:sz w:val="24"/>
          <w:sz w:val="24"/>
          <w:szCs w:val="24"/>
          <w:rtl w:val="true"/>
        </w:rPr>
        <w:t>ג</w:t>
      </w:r>
      <w:r>
        <w:rPr>
          <w:b/>
          <w:bCs/>
          <w:sz w:val="24"/>
          <w:szCs w:val="24"/>
          <w:rtl w:val="true"/>
        </w:rPr>
        <w:t>.</w:t>
      </w:r>
      <w:r>
        <w:rPr>
          <w:rStyle w:val="FootnoteAnchor"/>
          <w:b/>
          <w:bCs/>
          <w:sz w:val="24"/>
          <w:szCs w:val="24"/>
          <w:rtl w:val="true"/>
        </w:rPr>
        <w:footnoteReference w:id="20"/>
      </w:r>
    </w:p>
    <w:p>
      <w:pPr>
        <w:pStyle w:val="Normal"/>
        <w:bidi w:val="1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</w:rPr>
        <w:t>חֲמוֹר שֶׁלֹּא בִכְּרָה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וְיָלְדָה שְׁנֵי זְכָרִים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21"/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נוֹתֵן טָלֶה אֶחָד לַכֹּהֵן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זָכָר וּנְקֵבָה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מַפְרִישׁ טָלֶה אֶחָד לְעַצְמוֹ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22"/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שְׁתֵּי חֲמוֹרִים שֶׁלֹּא בִכְּרוּ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וְיָלְדוּ שְׁנֵי זְכָרִים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נוֹתֵן שְׁנֵי טְלָיִים לַכֹּהֵן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זָכָר וּנְקֵבָה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אוֹ שְׁנֵי זְכָרִים וּנְקֵבָה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נוֹתֵן טָלֶה אֶחָד לַכֹּהֵן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שְׁתֵּי נְקֵבוֹת וְזָכָר אוֹ שְׁנֵי זְכָרִים וּשְׁתֵּי נְקֵבוֹת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אֵין כָּאן לַכֹּהֵן כְּלוּם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23"/>
      </w:r>
      <w:r>
        <w:rPr>
          <w:b w:val="false"/>
          <w:bCs w:val="false"/>
          <w:sz w:val="24"/>
          <w:szCs w:val="24"/>
          <w:rtl w:val="true"/>
        </w:rPr>
        <w:t xml:space="preserve">: </w:t>
      </w:r>
    </w:p>
    <w:p>
      <w:pPr>
        <w:pStyle w:val="Normal"/>
        <w:bidi w:val="1"/>
        <w:jc w:val="left"/>
        <w:rPr>
          <w:b/>
          <w:b/>
          <w:bCs/>
          <w:sz w:val="24"/>
          <w:szCs w:val="24"/>
        </w:rPr>
      </w:pPr>
      <w:r>
        <w:rPr>
          <w:b/>
          <w:b/>
          <w:bCs/>
          <w:sz w:val="24"/>
          <w:sz w:val="24"/>
          <w:szCs w:val="24"/>
          <w:rtl w:val="true"/>
        </w:rPr>
        <w:t>ד</w:t>
      </w:r>
      <w:r>
        <w:rPr>
          <w:rStyle w:val="FootnoteAnchor"/>
          <w:b/>
          <w:b/>
          <w:bCs/>
          <w:sz w:val="24"/>
          <w:sz w:val="24"/>
          <w:szCs w:val="24"/>
          <w:rtl w:val="true"/>
        </w:rPr>
        <w:footnoteReference w:id="24"/>
      </w:r>
    </w:p>
    <w:p>
      <w:pPr>
        <w:pStyle w:val="Normal"/>
        <w:bidi w:val="1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 w:val="false"/>
          <w:bCs w:val="false"/>
          <w:sz w:val="24"/>
          <w:sz w:val="24"/>
          <w:szCs w:val="24"/>
          <w:rtl w:val="true"/>
        </w:rPr>
        <w:t>אַחַת בִּכְּרָה וְאַחַת שֶׁלֹּא בִכְּרָה וְיָלְדוּ שְׁנֵי זְכָרִים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נוֹתֵן טָלֶה אֶחָד לַכֹּהֵן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זָכָר וּנְקֵבָה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מַפְרִישׁ טָלֶה אֶחָד לְעַצְמוֹ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25"/>
      </w:r>
      <w:r>
        <w:rPr>
          <w:b w:val="false"/>
          <w:bCs w:val="false"/>
          <w:sz w:val="24"/>
          <w:szCs w:val="24"/>
          <w:rtl w:val="true"/>
        </w:rPr>
        <w:t>,</w:t>
      </w:r>
      <w:r>
        <w:rPr>
          <w:rStyle w:val="FootnoteAnchor"/>
          <w:b w:val="false"/>
          <w:bCs w:val="false"/>
          <w:sz w:val="24"/>
          <w:szCs w:val="24"/>
          <w:rtl w:val="true"/>
        </w:rPr>
        <w:footnoteReference w:id="26"/>
      </w:r>
      <w:r>
        <w:rPr>
          <w:b w:val="false"/>
          <w:bCs w:val="false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 xml:space="preserve">שֶׁנֶּאֱמַר </w:t>
      </w:r>
      <w:r>
        <w:rPr>
          <w:b w:val="false"/>
          <w:bCs w:val="false"/>
          <w:sz w:val="24"/>
          <w:szCs w:val="24"/>
          <w:rtl w:val="true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שמות לד</w:t>
      </w:r>
      <w:r>
        <w:rPr>
          <w:b w:val="false"/>
          <w:bCs w:val="false"/>
          <w:sz w:val="24"/>
          <w:szCs w:val="24"/>
          <w:rtl w:val="true"/>
        </w:rPr>
        <w:t xml:space="preserve">),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וּפֶטֶר חֲמוֹר תִּפְדֶּה בְשֶׂה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מִן הַכְּבָשִׂים וּמִן הָעִזִּים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27"/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זָכָר וּנְקֵבָה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גָּדוֹל וְקָטָן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תָּמִים וּבַעַל מוּם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וּפוֹדֶה בוֹ פְּעָמִים הַרְבֵּה</w:t>
      </w:r>
      <w:r>
        <w:rPr>
          <w:rStyle w:val="FootnoteAnchor"/>
          <w:b w:val="false"/>
          <w:b w:val="false"/>
          <w:bCs w:val="false"/>
          <w:sz w:val="24"/>
          <w:sz w:val="24"/>
          <w:szCs w:val="24"/>
          <w:rtl w:val="true"/>
        </w:rPr>
        <w:footnoteReference w:id="28"/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נִכְנָס לַדִּיר לְהִתְעַשֵּׂר</w:t>
      </w:r>
      <w:r>
        <w:rPr>
          <w:b w:val="false"/>
          <w:bCs w:val="false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וְאִם מֵת</w:t>
      </w:r>
      <w:r>
        <w:rPr>
          <w:b w:val="false"/>
          <w:bCs w:val="false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נֶהֱנִים בּוֹ</w:t>
      </w:r>
      <w:r>
        <w:rPr>
          <w:b w:val="false"/>
          <w:bCs w:val="false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ה</w:t>
      </w:r>
      <w:r>
        <w:rPr>
          <w:rStyle w:val="FootnoteAnchor"/>
          <w:b/>
          <w:b/>
          <w:bCs/>
          <w:rtl w:val="true"/>
        </w:rPr>
        <w:footnoteReference w:id="29"/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אֵין פּוֹדִים לֹא בָעֵגֶל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וְלֹא בַחַיָּה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וְלֹא בַשְּׁחוּטָה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וְלֹא בַטְּרֵפָה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וְלֹא בַכִּלְאַיִם</w:t>
      </w:r>
      <w:r>
        <w:rPr>
          <w:rStyle w:val="FootnoteAnchor"/>
          <w:b w:val="false"/>
          <w:b w:val="false"/>
          <w:bCs w:val="false"/>
          <w:rtl w:val="true"/>
        </w:rPr>
        <w:footnoteReference w:id="30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וְלֹא בַכּוֹי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רַבִּי אֶלְעָזָר מַתִּיר בַּכִּלְאַיִם מִפְּנֵי שֶׁהוּא שֶׂה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וְאוֹסֵר בַּכּוֹי מִפְּנֵי שֶׁהוּא סָפֵק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נְתָנוֹ לַכֹּהֵן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אֵין הַכֹּהֵן רַשַּׁאי לְקַיְּמוֹ עַד שֶׁיַּפְרִישׁ שֶׂה תַחְתָּיו</w:t>
      </w:r>
      <w:r>
        <w:rPr>
          <w:b w:val="false"/>
          <w:bCs w:val="false"/>
          <w:rtl w:val="true"/>
        </w:rPr>
        <w:t xml:space="preserve">: </w:t>
      </w:r>
    </w:p>
    <w:p>
      <w:pPr>
        <w:pStyle w:val="Normal"/>
        <w:bidi w:val="1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rtl w:val="true"/>
        </w:rPr>
      </w:r>
    </w:p>
    <w:p>
      <w:pPr>
        <w:pStyle w:val="Normal"/>
        <w:bidi w:val="1"/>
        <w:jc w:val="lef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  <w:rtl w:val="true"/>
        </w:rPr>
      </w:r>
    </w:p>
    <w:p>
      <w:pPr>
        <w:pStyle w:val="TextBody"/>
        <w:bidi w:val="1"/>
        <w:jc w:val="left"/>
        <w:rPr>
          <w:rFonts w:ascii="Times New Roman" w:hAnsi="Times New Roman" w:eastAsia="NSimSun" w:cs="Shofar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Shofar"/>
          <w:color w:val="auto"/>
          <w:kern w:val="2"/>
          <w:sz w:val="24"/>
          <w:szCs w:val="24"/>
          <w:rtl w:val="true"/>
          <w:lang w:val="en-US" w:eastAsia="zh-CN" w:bidi="he-IL"/>
        </w:rPr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left"/>
        <w:rPr>
          <w:sz w:val="24"/>
          <w:szCs w:val="24"/>
        </w:rPr>
      </w:pPr>
      <w:r>
        <w:rPr>
          <w:rtl w:val="true"/>
        </w:rPr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3"/>
        </w:rPr>
      </w:pPr>
      <w:r>
        <w:separator/>
      </w:r>
    </w:p>
  </w:footnote>
  <w:footnote w:id="1" w:type="continuationSeparator">
    <w:p>
      <w:pPr>
        <w:rPr>
          <w:sz w:val="13"/>
        </w:rPr>
      </w:pPr>
      <w:r>
        <w:continuationSeparator/>
      </w:r>
    </w:p>
  </w:footnote>
  <w:footnote w:id="2">
    <w:p>
      <w:pPr>
        <w:pStyle w:val="Footnote"/>
        <w:bidi w:val="1"/>
        <w:jc w:val="center"/>
        <w:rPr>
          <w:b/>
          <w:b/>
          <w:bCs/>
          <w:sz w:val="32"/>
          <w:szCs w:val="28"/>
          <w:u w:val="single"/>
        </w:rPr>
      </w:pPr>
      <w:r>
        <w:rPr>
          <w:rStyle w:val="FootnoteCharacters"/>
        </w:rPr>
        <w:footnoteRef/>
      </w:r>
      <w:r>
        <w:rPr>
          <w:b/>
          <w:b/>
          <w:bCs/>
          <w:sz w:val="32"/>
          <w:sz w:val="28"/>
          <w:szCs w:val="28"/>
          <w:u w:val="single"/>
          <w:rtl w:val="true"/>
        </w:rPr>
        <w:tab/>
        <w:t>בכורת בקר</w:t>
      </w:r>
    </w:p>
  </w:footnote>
  <w:footnote w:id="3">
    <w:p>
      <w:pPr>
        <w:pStyle w:val="Footnote"/>
        <w:bidi w:val="1"/>
        <w:jc w:val="left"/>
        <w:rPr>
          <w:b/>
          <w:b/>
          <w:bCs/>
          <w:u w:val="single"/>
        </w:rPr>
      </w:pPr>
      <w:r>
        <w:rPr>
          <w:rStyle w:val="FootnoteCharacters"/>
        </w:rPr>
        <w:footnoteRef/>
      </w:r>
      <w:r>
        <w:rPr>
          <w:b/>
          <w:b/>
          <w:bCs/>
          <w:u w:val="single"/>
          <w:rtl w:val="true"/>
        </w:rPr>
        <w:tab/>
        <w:t>פרק ראשון</w:t>
      </w:r>
    </w:p>
  </w:footnote>
  <w:footnote w:id="4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הקדים רש</w:t>
      </w:r>
      <w:r>
        <w:rPr>
          <w:rtl w:val="true"/>
        </w:rPr>
        <w:t>"</w:t>
      </w:r>
      <w:r>
        <w:rPr>
          <w:rtl w:val="true"/>
        </w:rPr>
        <w:t>י שמשנה ראשונה אומר שגוי בכמה אופנים פוטר בכורה של בהמה שקונה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מתחילים בבכור בהמה טמאה</w:t>
      </w:r>
      <w:r>
        <w:rPr>
          <w:rtl w:val="true"/>
        </w:rPr>
        <w:t xml:space="preserve">. </w:t>
      </w:r>
      <w:r>
        <w:rPr>
          <w:rtl w:val="true"/>
        </w:rPr>
        <w:t>אולי הוא מפני שהוא חידוש</w:t>
      </w:r>
      <w:r>
        <w:rPr>
          <w:rtl w:val="true"/>
        </w:rPr>
        <w:t xml:space="preserve">, </w:t>
      </w:r>
      <w:r>
        <w:rPr>
          <w:rtl w:val="true"/>
        </w:rPr>
        <w:t>וחביב</w:t>
      </w:r>
      <w:r>
        <w:rPr>
          <w:rtl w:val="true"/>
        </w:rPr>
        <w:t xml:space="preserve">, </w:t>
      </w:r>
      <w:r>
        <w:rPr>
          <w:rtl w:val="true"/>
        </w:rPr>
        <w:t>או מפני שמילוי קצרים</w:t>
      </w:r>
      <w:r>
        <w:rPr>
          <w:rtl w:val="true"/>
        </w:rPr>
        <w:t xml:space="preserve">, </w:t>
      </w:r>
      <w:r>
        <w:rPr>
          <w:rtl w:val="true"/>
        </w:rPr>
        <w:t>רוצים ללומדו ראשון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שאינו כל כך פשוט מהו איסור זה</w:t>
      </w:r>
      <w:r>
        <w:rPr>
          <w:rtl w:val="true"/>
        </w:rPr>
        <w:t xml:space="preserve">, </w:t>
      </w:r>
      <w:r>
        <w:rPr>
          <w:rtl w:val="true"/>
        </w:rPr>
        <w:t>יש איסור להפקיע מבכירות</w:t>
      </w:r>
      <w:r>
        <w:rPr>
          <w:rtl w:val="true"/>
        </w:rPr>
        <w:t xml:space="preserve">, </w:t>
      </w:r>
      <w:r>
        <w:rPr>
          <w:rtl w:val="true"/>
        </w:rPr>
        <w:t>ויש גם כן איסור של מכירה לגוי מחמת איסורי שבת</w:t>
      </w:r>
      <w:r>
        <w:rPr>
          <w:rtl w:val="true"/>
        </w:rPr>
        <w:t xml:space="preserve">. </w:t>
      </w:r>
      <w:r>
        <w:rPr>
          <w:rtl w:val="true"/>
        </w:rPr>
        <w:t>רע</w:t>
      </w:r>
      <w:r>
        <w:rPr>
          <w:rtl w:val="true"/>
        </w:rPr>
        <w:t>"</w:t>
      </w:r>
      <w:r>
        <w:rPr>
          <w:rtl w:val="true"/>
        </w:rPr>
        <w:t>ב כ’ שהוא מפני שמלאכה נעשה בשבת</w:t>
      </w:r>
      <w:r>
        <w:rPr>
          <w:rtl w:val="true"/>
        </w:rPr>
        <w:t xml:space="preserve">. </w:t>
      </w:r>
      <w:r>
        <w:rPr>
          <w:rtl w:val="true"/>
        </w:rPr>
        <w:t>לשונו סתום</w:t>
      </w:r>
      <w:r>
        <w:rPr>
          <w:rtl w:val="true"/>
        </w:rPr>
        <w:t xml:space="preserve">, </w:t>
      </w:r>
      <w:r>
        <w:rPr>
          <w:rtl w:val="true"/>
        </w:rPr>
        <w:t>שיכול גוי לעשות מלאכה בבהמתו בשבת</w:t>
      </w:r>
      <w:r>
        <w:rPr>
          <w:rtl w:val="true"/>
        </w:rPr>
        <w:t xml:space="preserve">. </w:t>
      </w:r>
      <w:r>
        <w:rPr>
          <w:rtl w:val="true"/>
        </w:rPr>
        <w:t xml:space="preserve">גמרא מסיק שגמרא גוזר לציורים שאינו של גוי </w:t>
      </w:r>
      <w:r>
        <w:rPr>
          <w:rtl w:val="true"/>
        </w:rPr>
        <w:t>(</w:t>
      </w:r>
      <w:r>
        <w:rPr>
          <w:rtl w:val="true"/>
        </w:rPr>
        <w:t>כמו אם רק משכירו</w:t>
      </w:r>
      <w:r>
        <w:rPr>
          <w:rtl w:val="true"/>
        </w:rPr>
        <w:t xml:space="preserve">) </w:t>
      </w:r>
      <w:r>
        <w:rPr>
          <w:rtl w:val="true"/>
        </w:rPr>
        <w:t>או כעין זה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ההוה אמינא הוא שכיון שהוא אסור</w:t>
      </w:r>
      <w:r>
        <w:rPr>
          <w:rtl w:val="true"/>
        </w:rPr>
        <w:t xml:space="preserve">, </w:t>
      </w:r>
      <w:r>
        <w:rPr>
          <w:rtl w:val="true"/>
        </w:rPr>
        <w:t>יש לקנוס אותו</w:t>
      </w:r>
      <w:r>
        <w:rPr>
          <w:rtl w:val="true"/>
        </w:rPr>
        <w:t>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שטוף כל שהוא מהני לזה</w:t>
      </w:r>
      <w:r>
        <w:rPr>
          <w:rtl w:val="true"/>
        </w:rPr>
        <w:t xml:space="preserve">. </w:t>
      </w:r>
      <w:r>
        <w:rPr>
          <w:rtl w:val="true"/>
        </w:rPr>
        <w:t>מחלקת הוא בגמרא</w:t>
      </w:r>
      <w:r>
        <w:rPr>
          <w:rtl w:val="true"/>
        </w:rPr>
        <w:t xml:space="preserve">, </w:t>
      </w:r>
      <w:r>
        <w:rPr>
          <w:rtl w:val="true"/>
        </w:rPr>
        <w:t>אבל גמרא אומר שהוא שצריך שגוי יקנה מה שאם נחתך אותו חלק</w:t>
      </w:r>
      <w:r>
        <w:rPr>
          <w:rtl w:val="true"/>
        </w:rPr>
        <w:t xml:space="preserve">, </w:t>
      </w:r>
      <w:r>
        <w:rPr>
          <w:rtl w:val="true"/>
        </w:rPr>
        <w:t>נעשה בעל מום</w:t>
      </w:r>
      <w:r>
        <w:rPr>
          <w:rtl w:val="true"/>
        </w:rPr>
        <w:t xml:space="preserve">. </w:t>
      </w:r>
      <w:r>
        <w:rPr>
          <w:rtl w:val="true"/>
        </w:rPr>
        <w:t>יש אומרים שצריך יותר</w:t>
      </w:r>
      <w:r>
        <w:rPr>
          <w:rtl w:val="true"/>
        </w:rPr>
        <w:t xml:space="preserve">, </w:t>
      </w:r>
      <w:r>
        <w:rPr>
          <w:rtl w:val="true"/>
        </w:rPr>
        <w:t>שצריך שיעשה טריפה או כדומה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ישראל מקבל מגוי</w:t>
      </w:r>
      <w:r>
        <w:rPr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שם</w:t>
      </w:r>
      <w:r>
        <w:rPr>
          <w:rtl w:val="true"/>
        </w:rPr>
        <w:t xml:space="preserve">,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" </w:t>
      </w:r>
      <w:r>
        <w:rPr>
          <w:rtl w:val="true"/>
        </w:rPr>
        <w:t>שמלמד שצריך להיות כולו לישראל</w:t>
      </w:r>
      <w:r>
        <w:rPr>
          <w:rtl w:val="true"/>
        </w:rPr>
        <w:t xml:space="preserve">. </w:t>
      </w:r>
      <w:r>
        <w:rPr>
          <w:rtl w:val="true"/>
        </w:rPr>
        <w:t>ויש עוד דרשות על זה בגמרא</w:t>
      </w:r>
      <w:r>
        <w:rPr>
          <w:rtl w:val="true"/>
        </w:rPr>
        <w:t>.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חידוש</w:t>
      </w:r>
      <w:r>
        <w:rPr>
          <w:rtl w:val="true"/>
        </w:rPr>
        <w:t xml:space="preserve">, </w:t>
      </w:r>
      <w:r>
        <w:rPr>
          <w:rtl w:val="true"/>
        </w:rPr>
        <w:t>שרק במדבר פטרו</w:t>
      </w:r>
      <w:r>
        <w:rPr>
          <w:rtl w:val="true"/>
        </w:rPr>
        <w:t xml:space="preserve">, </w:t>
      </w:r>
      <w:r>
        <w:rPr>
          <w:rtl w:val="true"/>
        </w:rPr>
        <w:t>אבל צריך להיות שמה שראינו שפעם אחד יוכלו לפטור די להוכיח כן</w:t>
      </w:r>
      <w:r>
        <w:rPr>
          <w:rtl w:val="true"/>
        </w:rPr>
        <w:t>.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שפטרו פדיון הבן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א שהיה פדיון בהמה טמאה באותו פדיון גם כן</w:t>
      </w:r>
      <w:r>
        <w:rPr>
          <w:rtl w:val="true"/>
        </w:rPr>
        <w:t xml:space="preserve">. 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>ל שהוקשו בכור בהמה לבכור אדם</w:t>
      </w:r>
      <w:r>
        <w:rPr>
          <w:rtl w:val="true"/>
        </w:rPr>
        <w:t xml:space="preserve">. </w:t>
      </w:r>
    </w:p>
  </w:footnote>
  <w:footnote w:id="14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פרה יש לו דין בכור</w:t>
      </w:r>
      <w:r>
        <w:rPr>
          <w:rtl w:val="true"/>
        </w:rPr>
        <w:t xml:space="preserve">, </w:t>
      </w:r>
      <w:r>
        <w:rPr>
          <w:rtl w:val="true"/>
        </w:rPr>
        <w:t>אבל הוא בכור בהמה טמאה</w:t>
      </w:r>
      <w:r>
        <w:rPr>
          <w:rtl w:val="true"/>
        </w:rPr>
        <w:t xml:space="preserve">. </w:t>
      </w:r>
      <w:r>
        <w:rPr>
          <w:rtl w:val="true"/>
        </w:rPr>
        <w:t>דינו חלוק בדין בכור בהמה טמאה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הוה אמינא שרק כאן</w:t>
      </w:r>
      <w:r>
        <w:rPr>
          <w:rtl w:val="true"/>
        </w:rPr>
        <w:t xml:space="preserve">, </w:t>
      </w:r>
      <w:r>
        <w:rPr>
          <w:rtl w:val="true"/>
        </w:rPr>
        <w:t>שיש חילוק בדיני בכורות</w:t>
      </w:r>
      <w:r>
        <w:rPr>
          <w:rtl w:val="true"/>
        </w:rPr>
        <w:t xml:space="preserve">, </w:t>
      </w:r>
      <w:r>
        <w:rPr>
          <w:rtl w:val="true"/>
        </w:rPr>
        <w:t>פטור</w:t>
      </w:r>
      <w:r>
        <w:rPr>
          <w:rtl w:val="true"/>
        </w:rPr>
        <w:t xml:space="preserve">, </w:t>
      </w:r>
      <w:r>
        <w:rPr>
          <w:rtl w:val="true"/>
        </w:rPr>
        <w:t>אבל אולי בכמור שילדה כמין סוס</w:t>
      </w:r>
      <w:r>
        <w:rPr>
          <w:rtl w:val="true"/>
        </w:rPr>
        <w:t xml:space="preserve">, </w:t>
      </w:r>
      <w:r>
        <w:rPr>
          <w:rtl w:val="true"/>
        </w:rPr>
        <w:t>שאין לסוס דיני בכור יחייב</w:t>
      </w:r>
      <w:r>
        <w:rPr>
          <w:rtl w:val="true"/>
        </w:rPr>
        <w:t xml:space="preserve">. </w:t>
      </w:r>
      <w:r>
        <w:rPr>
          <w:rtl w:val="true"/>
        </w:rPr>
        <w:t>גם אומר גמרא שחמור יותר דומה לסוס במראתו מלפרה</w:t>
      </w:r>
      <w:r>
        <w:rPr>
          <w:rtl w:val="true"/>
        </w:rPr>
        <w:t>.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הוה אמינא לומר שכמו שאין לו דין פרה לענין בכור</w:t>
      </w:r>
      <w:r>
        <w:rPr>
          <w:rtl w:val="true"/>
        </w:rPr>
        <w:t xml:space="preserve">, </w:t>
      </w:r>
      <w:r>
        <w:rPr>
          <w:rtl w:val="true"/>
        </w:rPr>
        <w:t>כך אין לו דין פרה לאכילה</w:t>
      </w:r>
      <w:r>
        <w:rPr>
          <w:rtl w:val="true"/>
        </w:rPr>
        <w:t>.</w:t>
      </w:r>
    </w:p>
  </w:footnote>
  <w:footnote w:id="1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מקשה למה מוסיף כלל זה</w:t>
      </w:r>
      <w:r>
        <w:rPr>
          <w:rtl w:val="true"/>
        </w:rPr>
        <w:t xml:space="preserve">, </w:t>
      </w:r>
      <w:r>
        <w:rPr>
          <w:rtl w:val="true"/>
        </w:rPr>
        <w:t>ומבאר שהוא כדי שלא יטעו בגירסת משנה</w:t>
      </w:r>
      <w:r>
        <w:rPr>
          <w:rtl w:val="true"/>
        </w:rPr>
        <w:t>.</w:t>
      </w:r>
    </w:p>
  </w:footnote>
  <w:footnote w:id="1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כלל זה אינו רק בחמור היוצא מפר או כדומה</w:t>
      </w:r>
      <w:r>
        <w:rPr>
          <w:rtl w:val="true"/>
        </w:rPr>
        <w:t xml:space="preserve">, </w:t>
      </w:r>
      <w:r>
        <w:rPr>
          <w:rtl w:val="true"/>
        </w:rPr>
        <w:t>אלא הוא בעוד דינים</w:t>
      </w:r>
      <w:r>
        <w:rPr>
          <w:rtl w:val="true"/>
        </w:rPr>
        <w:t xml:space="preserve">, </w:t>
      </w:r>
      <w:r>
        <w:rPr>
          <w:rtl w:val="true"/>
        </w:rPr>
        <w:t>כמו מה שחלב בהמה טהורה טהורה</w:t>
      </w:r>
      <w:r>
        <w:rPr>
          <w:rtl w:val="true"/>
        </w:rPr>
        <w:t xml:space="preserve">. </w:t>
      </w:r>
      <w:r>
        <w:rPr>
          <w:rtl w:val="true"/>
        </w:rPr>
        <w:t>זה באמת דין אחר</w:t>
      </w:r>
      <w:r>
        <w:rPr>
          <w:rtl w:val="true"/>
        </w:rPr>
        <w:t xml:space="preserve">, </w:t>
      </w:r>
      <w:r>
        <w:rPr>
          <w:rtl w:val="true"/>
        </w:rPr>
        <w:t>אבל גמרא מייחסם</w:t>
      </w:r>
      <w:r>
        <w:rPr>
          <w:rtl w:val="true"/>
        </w:rPr>
        <w:t>.</w:t>
      </w:r>
    </w:p>
  </w:footnote>
  <w:footnote w:id="1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יוצאים מן הכלל</w:t>
      </w:r>
      <w:r>
        <w:rPr>
          <w:rtl w:val="true"/>
        </w:rPr>
        <w:t xml:space="preserve">. </w:t>
      </w:r>
      <w:r>
        <w:rPr>
          <w:rtl w:val="true"/>
        </w:rPr>
        <w:t>דבר מותר באכילה</w:t>
      </w:r>
      <w:r>
        <w:rPr>
          <w:rtl w:val="true"/>
        </w:rPr>
        <w:t xml:space="preserve">, </w:t>
      </w:r>
      <w:r>
        <w:rPr>
          <w:rtl w:val="true"/>
        </w:rPr>
        <w:t>אף שיוצא מדבר טמא</w:t>
      </w:r>
      <w:r>
        <w:rPr>
          <w:rtl w:val="true"/>
        </w:rPr>
        <w:t xml:space="preserve">. </w:t>
      </w:r>
      <w:r>
        <w:rPr>
          <w:rtl w:val="true"/>
        </w:rPr>
        <w:t>גמרא מתיר מחמת סברה</w:t>
      </w:r>
      <w:r>
        <w:rPr>
          <w:rtl w:val="true"/>
        </w:rPr>
        <w:t xml:space="preserve">, </w:t>
      </w:r>
      <w:r>
        <w:rPr>
          <w:rtl w:val="true"/>
        </w:rPr>
        <w:t xml:space="preserve">שאינו יוצא כל כך </w:t>
      </w:r>
      <w:r>
        <w:rPr>
          <w:rtl w:val="true"/>
        </w:rPr>
        <w:t>(</w:t>
      </w:r>
      <w:r>
        <w:rPr>
          <w:rtl w:val="true"/>
        </w:rPr>
        <w:t>שאינו גידול</w:t>
      </w:r>
      <w:r>
        <w:rPr>
          <w:rtl w:val="true"/>
        </w:rPr>
        <w:t xml:space="preserve">, </w:t>
      </w:r>
      <w:r>
        <w:rPr>
          <w:rtl w:val="true"/>
        </w:rPr>
        <w:t>כמו שכ’ משנה בדגים</w:t>
      </w:r>
      <w:r>
        <w:rPr>
          <w:rtl w:val="true"/>
        </w:rPr>
        <w:t xml:space="preserve">, </w:t>
      </w:r>
      <w:r>
        <w:rPr>
          <w:rtl w:val="true"/>
        </w:rPr>
        <w:t>ורק אוכל ונעשה דבש</w:t>
      </w:r>
      <w:r>
        <w:rPr>
          <w:rtl w:val="true"/>
        </w:rPr>
        <w:t xml:space="preserve">), </w:t>
      </w:r>
      <w:r>
        <w:rPr>
          <w:rtl w:val="true"/>
        </w:rPr>
        <w:t>ומקרא</w:t>
      </w:r>
      <w:r>
        <w:rPr>
          <w:rtl w:val="true"/>
        </w:rPr>
        <w:t xml:space="preserve">. </w:t>
      </w:r>
      <w:r>
        <w:rPr>
          <w:rtl w:val="true"/>
        </w:rPr>
        <w:t>דנים פוסקים בשיילא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שהוא דבר הבא מבייט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והוא דומה לדבש</w:t>
      </w:r>
      <w:r>
        <w:rPr>
          <w:rtl w:val="true"/>
        </w:rPr>
        <w:t xml:space="preserve">, </w:t>
      </w:r>
      <w:r>
        <w:rPr>
          <w:rtl w:val="true"/>
        </w:rPr>
        <w:t>ונעשה כדי לעשות שדברים יהיו שיינ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רב משה התירו</w:t>
      </w:r>
      <w:r>
        <w:rPr>
          <w:rtl w:val="true"/>
        </w:rPr>
        <w:t xml:space="preserve">, </w:t>
      </w:r>
      <w:r>
        <w:rPr>
          <w:rtl w:val="true"/>
        </w:rPr>
        <w:t>אבל יש פוסקים שהחמירו</w:t>
      </w:r>
      <w:r>
        <w:rPr>
          <w:rtl w:val="true"/>
        </w:rPr>
        <w:t xml:space="preserve">. </w:t>
      </w:r>
      <w:r>
        <w:rPr>
          <w:rtl w:val="true"/>
        </w:rPr>
        <w:t>דנים אם סברה שייך בו ואם קרא קאי אף עליו</w:t>
      </w:r>
      <w:r>
        <w:rPr>
          <w:rtl w:val="true"/>
        </w:rPr>
        <w:t xml:space="preserve">. </w:t>
      </w:r>
      <w:r>
        <w:rPr>
          <w:rtl w:val="true"/>
        </w:rPr>
        <w:t>יש הכשרים שלא נותנים הכשרם לזה</w:t>
      </w:r>
      <w:r>
        <w:rPr>
          <w:rtl w:val="true"/>
        </w:rPr>
        <w:t xml:space="preserve">. </w:t>
      </w:r>
      <w:r>
        <w:rPr>
          <w:rtl w:val="true"/>
        </w:rPr>
        <w:t>יש שכ’ שאם נתיר רק דבר</w:t>
      </w:r>
      <w:r>
        <w:rPr>
          <w:rtl w:val="true"/>
        </w:rPr>
        <w:t xml:space="preserve">, </w:t>
      </w:r>
      <w:r>
        <w:rPr>
          <w:rtl w:val="true"/>
        </w:rPr>
        <w:t>נתיר רק מין של דבורה מיוחדת</w:t>
      </w:r>
      <w:r>
        <w:rPr>
          <w:rtl w:val="true"/>
        </w:rPr>
        <w:t xml:space="preserve">, </w:t>
      </w:r>
      <w:r>
        <w:rPr>
          <w:rtl w:val="true"/>
        </w:rPr>
        <w:t>שאולי רק אותו דבורה התיר</w:t>
      </w:r>
      <w:r>
        <w:rPr>
          <w:rtl w:val="true"/>
        </w:rPr>
        <w:t xml:space="preserve">. </w:t>
      </w:r>
      <w:r>
        <w:rPr>
          <w:rtl w:val="true"/>
        </w:rPr>
        <w:t>אין שום מי שאומר כן</w:t>
      </w:r>
      <w:r>
        <w:rPr>
          <w:rtl w:val="true"/>
        </w:rPr>
        <w:t xml:space="preserve">, </w:t>
      </w:r>
      <w:r>
        <w:rPr>
          <w:rtl w:val="true"/>
        </w:rPr>
        <w:t>ומזה מוכיח ר</w:t>
      </w:r>
      <w:r>
        <w:rPr>
          <w:rtl w:val="true"/>
        </w:rPr>
        <w:t>"</w:t>
      </w:r>
      <w:r>
        <w:rPr>
          <w:rtl w:val="true"/>
        </w:rPr>
        <w:t>מ להתיר של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שהוא מין דבש</w:t>
      </w:r>
      <w:r>
        <w:rPr>
          <w:rtl w:val="true"/>
        </w:rPr>
        <w:t>).</w:t>
      </w:r>
    </w:p>
  </w:footnote>
  <w:footnote w:id="20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2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לאחר כן</w:t>
      </w:r>
      <w:r>
        <w:rPr>
          <w:rtl w:val="true"/>
        </w:rPr>
        <w:t xml:space="preserve">, </w:t>
      </w:r>
      <w:r>
        <w:rPr>
          <w:rtl w:val="true"/>
        </w:rPr>
        <w:t xml:space="preserve">נדון מה אם הלידה היה באותו זמן </w:t>
      </w:r>
      <w:r>
        <w:rPr>
          <w:rtl w:val="true"/>
        </w:rPr>
        <w:t>(</w:t>
      </w:r>
      <w:r>
        <w:rPr>
          <w:rtl w:val="true"/>
        </w:rPr>
        <w:t>אם אפשר לצמצם</w:t>
      </w:r>
      <w:r>
        <w:rPr>
          <w:rtl w:val="true"/>
        </w:rPr>
        <w:t xml:space="preserve">), </w:t>
      </w:r>
      <w:r>
        <w:rPr>
          <w:rtl w:val="true"/>
        </w:rPr>
        <w:t>אבל כאן היה זה אחר זה</w:t>
      </w:r>
      <w:r>
        <w:rPr>
          <w:rtl w:val="true"/>
        </w:rPr>
        <w:t xml:space="preserve">, </w:t>
      </w:r>
      <w:r>
        <w:rPr>
          <w:rtl w:val="true"/>
        </w:rPr>
        <w:t>אבל לא ידוע איזה היה קודם</w:t>
      </w:r>
      <w:r>
        <w:rPr>
          <w:rtl w:val="true"/>
        </w:rPr>
        <w:t>.</w:t>
      </w:r>
    </w:p>
  </w:footnote>
  <w:footnote w:id="2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להפריש אחד כדי לחלל קדושת פטר רחם</w:t>
      </w:r>
      <w:r>
        <w:rPr>
          <w:rtl w:val="true"/>
        </w:rPr>
        <w:t xml:space="preserve">. </w:t>
      </w:r>
      <w:r>
        <w:rPr>
          <w:rtl w:val="true"/>
        </w:rPr>
        <w:t>אין צריך ליתן אותו לכהן כיון שהמוציא מחברו עליו הראיה</w:t>
      </w:r>
      <w:r>
        <w:rPr>
          <w:rtl w:val="true"/>
        </w:rPr>
        <w:t>.</w:t>
      </w:r>
    </w:p>
  </w:footnote>
  <w:footnote w:id="2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כ’ רע</w:t>
      </w:r>
      <w:r>
        <w:rPr>
          <w:rtl w:val="true"/>
        </w:rPr>
        <w:t>"</w:t>
      </w:r>
      <w:r>
        <w:rPr>
          <w:rtl w:val="true"/>
        </w:rPr>
        <w:t>ב בשם רבותיו שההלכה שווה למש</w:t>
      </w:r>
      <w:r>
        <w:rPr>
          <w:rtl w:val="true"/>
        </w:rPr>
        <w:t>"</w:t>
      </w:r>
      <w:r>
        <w:rPr>
          <w:rtl w:val="true"/>
        </w:rPr>
        <w:t xml:space="preserve">א לעיל שמפריש לעצמו </w:t>
      </w:r>
      <w:r>
        <w:rPr>
          <w:rtl w:val="true"/>
        </w:rPr>
        <w:t>(</w:t>
      </w:r>
      <w:r>
        <w:rPr>
          <w:rtl w:val="true"/>
        </w:rPr>
        <w:t>שהוא ספק חיוב זה</w:t>
      </w:r>
      <w:r>
        <w:rPr>
          <w:rtl w:val="true"/>
        </w:rPr>
        <w:t xml:space="preserve">), </w:t>
      </w:r>
      <w:r>
        <w:rPr>
          <w:rtl w:val="true"/>
        </w:rPr>
        <w:t xml:space="preserve">ואז צריך להפריש שני טלאים </w:t>
      </w:r>
      <w:r>
        <w:rPr>
          <w:rtl w:val="true"/>
        </w:rPr>
        <w:t>(</w:t>
      </w:r>
      <w:r>
        <w:rPr>
          <w:rtl w:val="true"/>
        </w:rPr>
        <w:t>ואולי יכול להיות אותו טלה</w:t>
      </w:r>
      <w:r>
        <w:rPr>
          <w:rtl w:val="true"/>
        </w:rPr>
        <w:t xml:space="preserve">).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 xml:space="preserve">ם חולק </w:t>
      </w:r>
      <w:r>
        <w:rPr>
          <w:rtl w:val="true"/>
        </w:rPr>
        <w:t>(</w:t>
      </w:r>
      <w:r>
        <w:rPr>
          <w:rtl w:val="true"/>
        </w:rPr>
        <w:t>ויש דוחים שלא רצה לומר כן</w:t>
      </w:r>
      <w:r>
        <w:rPr>
          <w:rtl w:val="true"/>
        </w:rPr>
        <w:t xml:space="preserve">), </w:t>
      </w:r>
      <w:r>
        <w:rPr>
          <w:rtl w:val="true"/>
        </w:rPr>
        <w:t>שכיון שיש כמה צדדים כאן</w:t>
      </w:r>
      <w:r>
        <w:rPr>
          <w:rtl w:val="true"/>
        </w:rPr>
        <w:t xml:space="preserve">, </w:t>
      </w:r>
      <w:r>
        <w:rPr>
          <w:rtl w:val="true"/>
        </w:rPr>
        <w:t>אין צריכים להפריש כלל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יותר צדדים שיעשו שהוא פטור לגמרא</w:t>
      </w:r>
      <w:r>
        <w:rPr>
          <w:rtl w:val="true"/>
        </w:rPr>
        <w:t xml:space="preserve">, </w:t>
      </w:r>
      <w:r>
        <w:rPr>
          <w:rtl w:val="true"/>
        </w:rPr>
        <w:t>שהצדדים לחייבו שוה</w:t>
      </w:r>
      <w:r>
        <w:rPr>
          <w:rtl w:val="true"/>
        </w:rPr>
        <w:t xml:space="preserve">. </w:t>
      </w:r>
      <w:r>
        <w:rPr>
          <w:rtl w:val="true"/>
        </w:rPr>
        <w:t>דנו בזה</w:t>
      </w:r>
      <w:r>
        <w:rPr>
          <w:rtl w:val="true"/>
        </w:rPr>
        <w:t>.</w:t>
      </w:r>
    </w:p>
  </w:footnote>
  <w:footnote w:id="24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2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חלקו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 xml:space="preserve">ש אם פטר חמור בלי פדיון שה אסור בהנאה או מותר </w:t>
      </w:r>
      <w:r>
        <w:rPr>
          <w:rtl w:val="true"/>
        </w:rPr>
        <w:t>(</w:t>
      </w:r>
      <w:r>
        <w:rPr>
          <w:rtl w:val="true"/>
        </w:rPr>
        <w:t>אלא שחייב לערפו</w:t>
      </w:r>
      <w:r>
        <w:rPr>
          <w:rtl w:val="true"/>
        </w:rPr>
        <w:t xml:space="preserve">). </w:t>
      </w:r>
      <w:r>
        <w:rPr>
          <w:rtl w:val="true"/>
        </w:rPr>
        <w:t>גמרא מבאר שמשניות שאומרים שמפריש שה לעצמו הוא רק כר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כדי להסיר קדושה ואיסור של פט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). </w:t>
      </w:r>
      <w:r>
        <w:rPr>
          <w:rtl w:val="true"/>
        </w:rPr>
        <w:t>מק’ תוס’ שאף לר</w:t>
      </w:r>
      <w:r>
        <w:rPr>
          <w:rtl w:val="true"/>
        </w:rPr>
        <w:t>"</w:t>
      </w:r>
      <w:r>
        <w:rPr>
          <w:rtl w:val="true"/>
        </w:rPr>
        <w:t>ש נצטרך עריפה כדי לגרום שלא יחייב לערפו</w:t>
      </w:r>
      <w:r>
        <w:rPr>
          <w:rtl w:val="true"/>
        </w:rPr>
        <w:t xml:space="preserve">. </w:t>
      </w:r>
      <w:r>
        <w:rPr>
          <w:rtl w:val="true"/>
        </w:rPr>
        <w:t>ת’ שכיון שא</w:t>
      </w:r>
      <w:r>
        <w:rPr>
          <w:rtl w:val="true"/>
        </w:rPr>
        <w:t>"</w:t>
      </w:r>
      <w:r>
        <w:rPr>
          <w:rtl w:val="true"/>
        </w:rPr>
        <w:t>צ ליתן לכהן את השה</w:t>
      </w:r>
      <w:r>
        <w:rPr>
          <w:rtl w:val="true"/>
        </w:rPr>
        <w:t xml:space="preserve">, </w:t>
      </w:r>
      <w:r>
        <w:rPr>
          <w:rtl w:val="true"/>
        </w:rPr>
        <w:t>אינו חייב בעריפה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כוונתו למר </w:t>
      </w:r>
      <w:r>
        <w:rPr>
          <w:rtl w:val="true"/>
        </w:rPr>
        <w:t>(</w:t>
      </w:r>
      <w:r>
        <w:rPr>
          <w:rtl w:val="true"/>
        </w:rPr>
        <w:t xml:space="preserve">ודנו </w:t>
      </w:r>
      <w:r>
        <w:rPr>
          <w:rtl w:val="true"/>
        </w:rPr>
        <w:t>(</w:t>
      </w:r>
      <w:r>
        <w:rPr>
          <w:rtl w:val="true"/>
        </w:rPr>
        <w:t>ע’ ר</w:t>
      </w:r>
      <w:r>
        <w:rPr>
          <w:rtl w:val="true"/>
        </w:rPr>
        <w:t>"</w:t>
      </w:r>
      <w:r>
        <w:rPr>
          <w:rtl w:val="true"/>
        </w:rPr>
        <w:t>ש בשערי יושר</w:t>
      </w:r>
      <w:r>
        <w:rPr>
          <w:rtl w:val="true"/>
        </w:rPr>
        <w:t xml:space="preserve">) </w:t>
      </w:r>
      <w:r>
        <w:rPr>
          <w:rtl w:val="true"/>
        </w:rPr>
        <w:t>מהו הפשט בזה</w:t>
      </w:r>
      <w:r>
        <w:rPr>
          <w:rtl w:val="true"/>
        </w:rPr>
        <w:t xml:space="preserve">) </w:t>
      </w:r>
      <w:r>
        <w:rPr>
          <w:rtl w:val="true"/>
        </w:rPr>
        <w:t>שתלוי מצות עפירה במצות נתינה לכהן</w:t>
      </w:r>
      <w:r>
        <w:rPr>
          <w:rtl w:val="true"/>
        </w:rPr>
        <w:t xml:space="preserve">. </w:t>
      </w:r>
      <w:r>
        <w:rPr>
          <w:rtl w:val="true"/>
        </w:rPr>
        <w:t>המקור לומר כן צריך ביאור</w:t>
      </w:r>
      <w:r>
        <w:rPr>
          <w:rtl w:val="true"/>
        </w:rPr>
        <w:t xml:space="preserve">. </w:t>
      </w:r>
      <w:r>
        <w:rPr>
          <w:rtl w:val="true"/>
        </w:rPr>
        <w:t>מתוס’ נמצא שמה שא</w:t>
      </w:r>
      <w:r>
        <w:rPr>
          <w:rtl w:val="true"/>
        </w:rPr>
        <w:t>"</w:t>
      </w:r>
      <w:r>
        <w:rPr>
          <w:rtl w:val="true"/>
        </w:rPr>
        <w:t xml:space="preserve">צ ליתן לכהן הוא דין ודאי </w:t>
      </w:r>
      <w:r>
        <w:rPr>
          <w:rtl w:val="true"/>
        </w:rPr>
        <w:t>(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נאמר שמספק צריך לקיים מצות עריפה</w:t>
      </w:r>
      <w:r>
        <w:rPr>
          <w:rtl w:val="true"/>
        </w:rPr>
        <w:t xml:space="preserve">. </w:t>
      </w:r>
      <w:r>
        <w:rPr>
          <w:rtl w:val="true"/>
        </w:rPr>
        <w:t>זה שייך לסוגית תקפו כהן</w:t>
      </w:r>
      <w:r>
        <w:rPr>
          <w:rtl w:val="true"/>
        </w:rPr>
        <w:t xml:space="preserve">. </w:t>
      </w:r>
      <w:r>
        <w:rPr>
          <w:rtl w:val="true"/>
        </w:rPr>
        <w:t xml:space="preserve">יש </w:t>
      </w:r>
      <w:r>
        <w:rPr>
          <w:rtl w:val="true"/>
        </w:rPr>
        <w:t>(</w:t>
      </w:r>
      <w:r>
        <w:rPr>
          <w:rtl w:val="true"/>
        </w:rPr>
        <w:t>רי”ט אלגאזי</w:t>
      </w:r>
      <w:r>
        <w:rPr>
          <w:rtl w:val="true"/>
        </w:rPr>
        <w:t xml:space="preserve">) </w:t>
      </w:r>
      <w:r>
        <w:rPr>
          <w:rtl w:val="true"/>
        </w:rPr>
        <w:t>שאומר שעל מצות עריפה אומרים המוציא מחבירו עליו הראיה</w:t>
      </w:r>
      <w:r>
        <w:rPr>
          <w:rtl w:val="true"/>
        </w:rPr>
        <w:t xml:space="preserve">. </w:t>
      </w:r>
      <w:r>
        <w:rPr>
          <w:rtl w:val="true"/>
        </w:rPr>
        <w:t>מחודש לומר כן</w:t>
      </w:r>
      <w:r>
        <w:rPr>
          <w:rtl w:val="true"/>
        </w:rPr>
        <w:t xml:space="preserve">, </w:t>
      </w:r>
      <w:r>
        <w:rPr>
          <w:rtl w:val="true"/>
        </w:rPr>
        <w:t>אבל מחדש שעיקר הדין הוא שצריך להפסיד חמורו</w:t>
      </w:r>
      <w:r>
        <w:rPr>
          <w:rtl w:val="true"/>
        </w:rPr>
        <w:t xml:space="preserve">, </w:t>
      </w:r>
      <w:r>
        <w:rPr>
          <w:rtl w:val="true"/>
        </w:rPr>
        <w:t>וצריכים להוציאו ממנו</w:t>
      </w:r>
      <w:r>
        <w:rPr>
          <w:rtl w:val="true"/>
        </w:rPr>
        <w:t xml:space="preserve">. </w:t>
      </w:r>
      <w:r>
        <w:rPr>
          <w:rtl w:val="true"/>
        </w:rPr>
        <w:t>על פי זה</w:t>
      </w:r>
      <w:r>
        <w:rPr>
          <w:rtl w:val="true"/>
        </w:rPr>
        <w:t xml:space="preserve">, </w:t>
      </w:r>
      <w:r>
        <w:rPr>
          <w:rtl w:val="true"/>
        </w:rPr>
        <w:t>מת’ ק’ תוס’</w:t>
      </w:r>
      <w:r>
        <w:rPr>
          <w:rtl w:val="true"/>
        </w:rPr>
        <w:t>.).</w:t>
      </w:r>
    </w:p>
  </w:footnote>
  <w:footnote w:id="2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משמע מדין זה שמה שמסיר קדושת חמור הוא ההפרשה ולא הנתינה לכהן</w:t>
      </w:r>
      <w:r>
        <w:rPr>
          <w:rtl w:val="true"/>
        </w:rPr>
        <w:t xml:space="preserve">. </w:t>
      </w:r>
      <w:r>
        <w:rPr>
          <w:rtl w:val="true"/>
        </w:rPr>
        <w:t>בעז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לקמן נדון בזה</w:t>
      </w:r>
      <w:r>
        <w:rPr>
          <w:rtl w:val="true"/>
        </w:rPr>
        <w:t>.</w:t>
      </w:r>
    </w:p>
  </w:footnote>
  <w:footnote w:id="2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כבר מבואר בקרא</w:t>
      </w:r>
      <w:r>
        <w:rPr>
          <w:rtl w:val="true"/>
        </w:rPr>
        <w:t>.</w:t>
      </w:r>
    </w:p>
  </w:footnote>
  <w:footnote w:id="2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מבאר שאם כהן חוזרו לו</w:t>
      </w:r>
      <w:r>
        <w:rPr>
          <w:rtl w:val="true"/>
        </w:rPr>
        <w:t xml:space="preserve">, </w:t>
      </w:r>
      <w:r>
        <w:rPr>
          <w:rtl w:val="true"/>
        </w:rPr>
        <w:t>יכול לפדות עוד חמור בו</w:t>
      </w:r>
      <w:r>
        <w:rPr>
          <w:rtl w:val="true"/>
        </w:rPr>
        <w:t xml:space="preserve">. </w:t>
      </w:r>
      <w:r>
        <w:rPr>
          <w:rtl w:val="true"/>
        </w:rPr>
        <w:t>יש הוה אמינא לומר שכבר בא קדושת חמור לו</w:t>
      </w:r>
      <w:r>
        <w:rPr>
          <w:rtl w:val="true"/>
        </w:rPr>
        <w:t xml:space="preserve">, </w:t>
      </w:r>
      <w:r>
        <w:rPr>
          <w:rtl w:val="true"/>
        </w:rPr>
        <w:t>ואי אפשר לסבול עוד קדושה</w:t>
      </w:r>
      <w:r>
        <w:rPr>
          <w:rtl w:val="true"/>
        </w:rPr>
        <w:t xml:space="preserve">. </w:t>
      </w:r>
      <w:r>
        <w:rPr>
          <w:rtl w:val="true"/>
        </w:rPr>
        <w:t>תוס’ כ’ שישראל שלא נתחייב ליתן שה לכהן</w:t>
      </w:r>
      <w:r>
        <w:rPr>
          <w:rtl w:val="true"/>
        </w:rPr>
        <w:t>(</w:t>
      </w:r>
      <w:r>
        <w:rPr>
          <w:rtl w:val="true"/>
        </w:rPr>
        <w:t>במצב ספק</w:t>
      </w:r>
      <w:r>
        <w:rPr>
          <w:rtl w:val="true"/>
        </w:rPr>
        <w:t xml:space="preserve">) </w:t>
      </w:r>
      <w:r>
        <w:rPr>
          <w:rtl w:val="true"/>
        </w:rPr>
        <w:t>פודה בו פעמים הרבה כיון שעדיין שלו הוא</w:t>
      </w:r>
      <w:r>
        <w:rPr>
          <w:rtl w:val="true"/>
        </w:rPr>
        <w:t xml:space="preserve">. </w:t>
      </w:r>
      <w:r>
        <w:rPr>
          <w:rtl w:val="true"/>
        </w:rPr>
        <w:t>יש שמדייקים מרש</w:t>
      </w:r>
      <w:r>
        <w:rPr>
          <w:rtl w:val="true"/>
        </w:rPr>
        <w:t>"</w:t>
      </w:r>
      <w:r>
        <w:rPr>
          <w:rtl w:val="true"/>
        </w:rPr>
        <w:t>י שלא סובר שיכול לעשות כמה שאומר תוס’</w:t>
      </w:r>
      <w:r>
        <w:rPr>
          <w:rtl w:val="true"/>
        </w:rPr>
        <w:t>.</w:t>
      </w:r>
    </w:p>
  </w:footnote>
  <w:footnote w:id="29">
    <w:p>
      <w:pPr>
        <w:pStyle w:val="Footnote"/>
        <w:bidi w:val="1"/>
        <w:jc w:val="left"/>
        <w:rPr>
          <w:b/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</w:p>
  </w:footnote>
  <w:footnote w:id="3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טריפה וכלאים הם שה</w:t>
      </w:r>
      <w:r>
        <w:rPr>
          <w:rtl w:val="true"/>
        </w:rPr>
        <w:t xml:space="preserve">, </w:t>
      </w:r>
      <w:r>
        <w:rPr>
          <w:rtl w:val="true"/>
        </w:rPr>
        <w:t>ונתמעטו מקרא כיון שפסולים לקרבן</w:t>
      </w:r>
      <w:r>
        <w:rPr>
          <w:rtl w:val="true"/>
        </w:rPr>
        <w:t xml:space="preserve">.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מרבים בע</w:t>
      </w:r>
      <w:r>
        <w:rPr>
          <w:rtl w:val="true"/>
        </w:rPr>
        <w:t>"</w:t>
      </w:r>
      <w:r>
        <w:rPr>
          <w:rtl w:val="true"/>
        </w:rPr>
        <w:t>מ מדרשה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 xml:space="preserve">בכורת בקר על מסכת </w:t>
    </w:r>
    <w:r>
      <w:rPr>
        <w:b/>
        <w:b/>
        <w:bCs/>
        <w:rtl w:val="true"/>
      </w:rPr>
      <w:t>בכורות</w: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LibreOffice/7.3.2.2$Windows_X86_64 LibreOffice_project/49f2b1bff42cfccbd8f788c8dc32c1c309559be0</Application>
  <AppVersion>15.0000</AppVersion>
  <Pages>2</Pages>
  <Words>960</Words>
  <Characters>4030</Characters>
  <CharactersWithSpaces>4954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2022-07-26T07:39:06Z</dcterms:created>
  <dc:creator/>
  <dc:description/>
  <dc:language>en-US</dc:language>
  <cp:lastModifiedBy/>
  <dcterms:modified xsi:type="dcterms:W3CDTF">2022-09-05T09:35:58Z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