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ind w:left="0" w:right="0" w:firstLine="490"/>
        <w:jc w:val="both"/>
        <w:rPr>
          <w:rFonts w:cs="Keter YG"/>
        </w:rPr>
      </w:pPr>
      <w:r>
        <w:rPr>
          <w:rStyle w:val="FootnoteAnchor"/>
          <w:rFonts w:cs="Keter YG"/>
          <w:rtl w:val="true"/>
        </w:rPr>
        <w:footnoteReference w:id="2"/>
      </w:r>
      <w:r>
        <w:rPr>
          <w:rFonts w:cs="Keter YG"/>
          <w:rtl w:val="true"/>
        </w:rPr>
        <w:t xml:space="preserve">מבואר מכמה </w:t>
      </w:r>
      <w:r>
        <w:rPr>
          <w:rFonts w:cs="Keter YG"/>
          <w:b/>
          <w:b/>
          <w:bCs/>
          <w:rtl w:val="true"/>
        </w:rPr>
        <w:t>ראשונים</w:t>
      </w:r>
      <w:r>
        <w:rPr>
          <w:rFonts w:cs="Keter YG"/>
          <w:rtl w:val="true"/>
        </w:rPr>
        <w:t xml:space="preserve"> שאין עוסק בתורה פטור ממצווה</w:t>
      </w:r>
      <w:r>
        <w:rPr>
          <w:rFonts w:cs="Keter YG"/>
          <w:rtl w:val="true"/>
        </w:rPr>
        <w:t xml:space="preserve">. </w:t>
      </w:r>
      <w:r>
        <w:rPr>
          <w:rFonts w:cs="Keter YG"/>
          <w:b/>
          <w:b/>
          <w:bCs/>
          <w:rtl w:val="true"/>
        </w:rPr>
        <w:t>רמב</w:t>
      </w:r>
      <w:r>
        <w:rPr>
          <w:rFonts w:cs="Keter YG"/>
          <w:b/>
          <w:bCs/>
          <w:rtl w:val="true"/>
        </w:rPr>
        <w:t>"</w:t>
      </w:r>
      <w:r>
        <w:rPr>
          <w:rFonts w:cs="Keter YG"/>
          <w:b/>
          <w:b/>
          <w:bCs/>
          <w:rtl w:val="true"/>
        </w:rPr>
        <w:t>ם</w:t>
      </w:r>
      <w:r>
        <w:rPr>
          <w:rFonts w:cs="Keter YG"/>
          <w:b w:val="false"/>
          <w:b w:val="false"/>
          <w:bCs w:val="false"/>
          <w:rtl w:val="true"/>
        </w:rPr>
        <w:t xml:space="preserve"> באישות פוסק שאם היה אדם טרוד בתורה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ולא נשא אשה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רשאי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שעוב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מ פטור ממצווה וכש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כ</w:t>
      </w:r>
      <w:r>
        <w:rPr>
          <w:rStyle w:val="FootnoteAnchor"/>
          <w:rFonts w:cs="Keter YG"/>
          <w:b w:val="false"/>
          <w:b w:val="false"/>
          <w:bCs w:val="false"/>
          <w:rtl w:val="true"/>
        </w:rPr>
        <w:footnoteReference w:id="3"/>
      </w:r>
      <w:r>
        <w:rPr>
          <w:rFonts w:cs="Keter YG"/>
          <w:b w:val="false"/>
          <w:b w:val="false"/>
          <w:bCs w:val="false"/>
          <w:rtl w:val="true"/>
        </w:rPr>
        <w:t xml:space="preserve"> ת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ת</w:t>
      </w:r>
      <w:r>
        <w:rPr>
          <w:rStyle w:val="FootnoteAnchor"/>
          <w:rFonts w:cs="Keter YG"/>
          <w:b w:val="false"/>
          <w:b w:val="false"/>
          <w:bCs w:val="false"/>
          <w:rtl w:val="true"/>
        </w:rPr>
        <w:footnoteReference w:id="4"/>
      </w:r>
      <w:r>
        <w:rPr>
          <w:rFonts w:cs="Keter YG"/>
          <w:b w:val="false"/>
          <w:bCs w:val="false"/>
          <w:rtl w:val="true"/>
        </w:rPr>
        <w:t xml:space="preserve">. </w:t>
      </w:r>
      <w:r>
        <w:rPr>
          <w:rFonts w:cs="Keter YG"/>
          <w:b/>
          <w:b/>
          <w:bCs/>
          <w:rtl w:val="true"/>
        </w:rPr>
        <w:t>גמרא</w:t>
      </w:r>
      <w:r>
        <w:rPr>
          <w:rFonts w:cs="Keter YG"/>
          <w:b w:val="false"/>
          <w:b w:val="false"/>
          <w:bCs w:val="false"/>
          <w:rtl w:val="true"/>
        </w:rPr>
        <w:t xml:space="preserve"> </w:t>
      </w:r>
      <w:r>
        <w:rPr>
          <w:rFonts w:cs="Keter YG"/>
          <w:b w:val="false"/>
          <w:bCs w:val="false"/>
          <w:rtl w:val="true"/>
        </w:rPr>
        <w:t>(</w:t>
      </w:r>
      <w:r>
        <w:rPr>
          <w:rFonts w:cs="Keter YG"/>
          <w:b w:val="false"/>
          <w:b w:val="false"/>
          <w:bCs w:val="false"/>
          <w:rtl w:val="true"/>
        </w:rPr>
        <w:t>שבת</w:t>
      </w:r>
      <w:r>
        <w:rPr>
          <w:rFonts w:cs="Keter YG"/>
          <w:b w:val="false"/>
          <w:bCs w:val="false"/>
          <w:rtl w:val="true"/>
        </w:rPr>
        <w:t xml:space="preserve">) </w:t>
      </w:r>
      <w:r>
        <w:rPr>
          <w:rFonts w:cs="Keter YG"/>
          <w:b w:val="false"/>
          <w:b w:val="false"/>
          <w:bCs w:val="false"/>
          <w:rtl w:val="true"/>
        </w:rPr>
        <w:t>אומר שבימי ר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ש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לומדי תורה הפסיקו לק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ש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ולא תפלה</w:t>
      </w:r>
      <w:r>
        <w:rPr>
          <w:rFonts w:cs="Keter YG"/>
          <w:b w:val="false"/>
          <w:bCs w:val="false"/>
          <w:rtl w:val="true"/>
        </w:rPr>
        <w:t xml:space="preserve">; </w:t>
      </w:r>
      <w:r>
        <w:rPr>
          <w:rFonts w:cs="Keter YG"/>
          <w:b w:val="false"/>
          <w:b w:val="false"/>
          <w:bCs w:val="false"/>
          <w:rtl w:val="true"/>
        </w:rPr>
        <w:t>ר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 xml:space="preserve">י מוסיף שבימיו </w:t>
      </w:r>
      <w:r>
        <w:rPr>
          <w:rFonts w:cs="Keter YG"/>
          <w:b w:val="false"/>
          <w:bCs w:val="false"/>
          <w:rtl w:val="true"/>
        </w:rPr>
        <w:t>(</w:t>
      </w:r>
      <w:r>
        <w:rPr>
          <w:rFonts w:cs="Keter YG"/>
          <w:b w:val="false"/>
          <w:b w:val="false"/>
          <w:bCs w:val="false"/>
          <w:rtl w:val="true"/>
        </w:rPr>
        <w:t>שאין תורתנו אומנתנו</w:t>
      </w:r>
      <w:r>
        <w:rPr>
          <w:rFonts w:cs="Keter YG"/>
          <w:b w:val="false"/>
          <w:bCs w:val="false"/>
          <w:rtl w:val="true"/>
        </w:rPr>
        <w:t xml:space="preserve">) </w:t>
      </w:r>
      <w:r>
        <w:rPr>
          <w:rFonts w:cs="Keter YG"/>
          <w:b w:val="false"/>
          <w:b w:val="false"/>
          <w:bCs w:val="false"/>
          <w:rtl w:val="true"/>
        </w:rPr>
        <w:t>חייבים אף בתפלה</w:t>
      </w:r>
      <w:r>
        <w:rPr>
          <w:rFonts w:cs="Keter YG"/>
          <w:b w:val="false"/>
          <w:bCs w:val="false"/>
          <w:rtl w:val="true"/>
        </w:rPr>
        <w:t xml:space="preserve">. </w:t>
      </w:r>
      <w:r>
        <w:rPr>
          <w:rFonts w:cs="Keter YG"/>
          <w:b w:val="false"/>
          <w:b w:val="false"/>
          <w:bCs w:val="false"/>
          <w:rtl w:val="true"/>
        </w:rPr>
        <w:t>כ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 xml:space="preserve">פ </w:t>
      </w:r>
      <w:r>
        <w:rPr>
          <w:rFonts w:cs="Keter YG"/>
          <w:b/>
          <w:b/>
          <w:bCs/>
          <w:rtl w:val="true"/>
        </w:rPr>
        <w:t>רמב</w:t>
      </w:r>
      <w:r>
        <w:rPr>
          <w:rFonts w:cs="Keter YG"/>
          <w:b/>
          <w:bCs/>
          <w:rtl w:val="true"/>
        </w:rPr>
        <w:t>"</w:t>
      </w:r>
      <w:r>
        <w:rPr>
          <w:rFonts w:cs="Keter YG"/>
          <w:b/>
          <w:b/>
          <w:bCs/>
          <w:rtl w:val="true"/>
        </w:rPr>
        <w:t>ם</w:t>
      </w:r>
      <w:r>
        <w:rPr>
          <w:rFonts w:cs="Keter YG"/>
          <w:b w:val="false"/>
          <w:bCs w:val="false"/>
          <w:rtl w:val="true"/>
        </w:rPr>
        <w:t xml:space="preserve">. </w:t>
      </w:r>
      <w:r>
        <w:rPr>
          <w:rFonts w:cs="Keter YG"/>
          <w:b w:val="false"/>
          <w:b w:val="false"/>
          <w:bCs w:val="false"/>
          <w:rtl w:val="true"/>
        </w:rPr>
        <w:t>נמצא שעוסק בתורה חייב במצוות</w:t>
      </w:r>
      <w:r>
        <w:rPr>
          <w:rFonts w:cs="Keter YG"/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ind w:left="0" w:right="0" w:firstLine="490"/>
        <w:jc w:val="both"/>
        <w:rPr>
          <w:rFonts w:cs="Keter YG"/>
        </w:rPr>
      </w:pPr>
      <w:r>
        <w:rPr>
          <w:rFonts w:cs="Keter YG"/>
          <w:b w:val="false"/>
          <w:b w:val="false"/>
          <w:bCs w:val="false"/>
          <w:rtl w:val="true"/>
        </w:rPr>
        <w:t>המקור שעוסק בת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 xml:space="preserve">ת חייב הוא </w:t>
      </w:r>
      <w:r>
        <w:rPr>
          <w:rFonts w:cs="Keter YG"/>
          <w:b/>
          <w:b/>
          <w:bCs/>
          <w:rtl w:val="true"/>
        </w:rPr>
        <w:t>גמרא</w:t>
      </w:r>
      <w:r>
        <w:rPr>
          <w:rFonts w:cs="Keter YG"/>
          <w:b w:val="false"/>
          <w:b w:val="false"/>
          <w:bCs w:val="false"/>
          <w:rtl w:val="true"/>
        </w:rPr>
        <w:t xml:space="preserve"> </w:t>
      </w:r>
      <w:r>
        <w:rPr>
          <w:rFonts w:cs="Keter YG"/>
          <w:b w:val="false"/>
          <w:bCs w:val="false"/>
          <w:rtl w:val="true"/>
        </w:rPr>
        <w:t>(</w:t>
      </w:r>
      <w:r>
        <w:rPr>
          <w:rFonts w:cs="Keter YG"/>
          <w:b w:val="false"/>
          <w:b w:val="false"/>
          <w:bCs w:val="false"/>
          <w:rtl w:val="true"/>
        </w:rPr>
        <w:t>מ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ק</w:t>
      </w:r>
      <w:r>
        <w:rPr>
          <w:rFonts w:cs="Keter YG"/>
          <w:b w:val="false"/>
          <w:bCs w:val="false"/>
          <w:rtl w:val="true"/>
        </w:rPr>
        <w:t xml:space="preserve">) </w:t>
      </w:r>
      <w:r>
        <w:rPr>
          <w:rFonts w:cs="Keter YG"/>
          <w:b w:val="false"/>
          <w:b w:val="false"/>
          <w:bCs w:val="false"/>
          <w:rtl w:val="true"/>
        </w:rPr>
        <w:t>שמק’ סתירה מפסוקים שמשמעים שמצוות שוות לתורה ושאינם שווים לתורה</w:t>
      </w:r>
      <w:r>
        <w:rPr>
          <w:rFonts w:cs="Keter YG"/>
          <w:b w:val="false"/>
          <w:bCs w:val="false"/>
          <w:rtl w:val="true"/>
        </w:rPr>
        <w:t xml:space="preserve">. </w:t>
      </w:r>
      <w:r>
        <w:rPr>
          <w:rFonts w:cs="Keter YG"/>
          <w:b w:val="false"/>
          <w:b w:val="false"/>
          <w:bCs w:val="false"/>
          <w:rtl w:val="true"/>
        </w:rPr>
        <w:t>מת’ ש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כאן במצווה שאפשר לעשותה ע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י אחרים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וכאן בשא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א לעשות עי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א</w:t>
      </w:r>
      <w:r>
        <w:rPr>
          <w:rFonts w:cs="Keter YG"/>
          <w:b w:val="false"/>
          <w:bCs w:val="false"/>
          <w:rtl w:val="true"/>
        </w:rPr>
        <w:t xml:space="preserve">.” </w:t>
      </w:r>
      <w:r>
        <w:rPr>
          <w:rFonts w:cs="Keter YG"/>
          <w:b/>
          <w:b/>
          <w:bCs/>
          <w:rtl w:val="true"/>
        </w:rPr>
        <w:t>ירושלמי</w:t>
      </w:r>
      <w:r>
        <w:rPr>
          <w:rFonts w:cs="Keter YG"/>
          <w:b w:val="false"/>
          <w:b w:val="false"/>
          <w:bCs w:val="false"/>
          <w:rtl w:val="true"/>
        </w:rPr>
        <w:t xml:space="preserve"> </w:t>
      </w:r>
      <w:r>
        <w:rPr>
          <w:rFonts w:cs="Keter YG"/>
          <w:b w:val="false"/>
          <w:bCs w:val="false"/>
          <w:rtl w:val="true"/>
        </w:rPr>
        <w:t>(</w:t>
      </w:r>
      <w:r>
        <w:rPr>
          <w:rFonts w:cs="Keter YG"/>
          <w:b w:val="false"/>
          <w:b w:val="false"/>
          <w:bCs w:val="false"/>
          <w:rtl w:val="true"/>
        </w:rPr>
        <w:t>ברכות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שבת</w:t>
      </w:r>
      <w:r>
        <w:rPr>
          <w:rFonts w:cs="Keter YG"/>
          <w:b w:val="false"/>
          <w:bCs w:val="false"/>
          <w:rtl w:val="true"/>
        </w:rPr>
        <w:t xml:space="preserve">) </w:t>
      </w:r>
      <w:r>
        <w:rPr>
          <w:rFonts w:cs="Keter YG"/>
          <w:b w:val="false"/>
          <w:b w:val="false"/>
          <w:bCs w:val="false"/>
          <w:rtl w:val="true"/>
        </w:rPr>
        <w:t>כ’ שר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ש היה פטור אף מק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ש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אבל לא משאר מצוות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ומק’ שיהיו לומ’ שלא ע”מ לעשות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ומת’ שק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ש חלוק משאר מצות כיון ש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הכא שינון והכא שינון</w:t>
      </w:r>
      <w:r>
        <w:rPr>
          <w:rFonts w:cs="Keter YG"/>
          <w:b w:val="false"/>
          <w:bCs w:val="false"/>
          <w:rtl w:val="true"/>
        </w:rPr>
        <w:t xml:space="preserve">.”). </w:t>
      </w:r>
      <w:r>
        <w:rPr>
          <w:rFonts w:cs="Keter YG"/>
          <w:b w:val="false"/>
          <w:b w:val="false"/>
          <w:bCs w:val="false"/>
          <w:rtl w:val="true"/>
        </w:rPr>
        <w:t>נמצא מירושלמי שחיובו הוא מפני שאם היה פטור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לימודו נפגם</w:t>
      </w:r>
      <w:r>
        <w:rPr>
          <w:rFonts w:cs="Keter YG"/>
          <w:b w:val="false"/>
          <w:bCs w:val="false"/>
          <w:rtl w:val="true"/>
        </w:rPr>
        <w:t xml:space="preserve">. </w:t>
      </w:r>
      <w:r>
        <w:rPr>
          <w:rFonts w:cs="Keter YG"/>
          <w:b/>
          <w:b/>
          <w:bCs/>
          <w:rtl w:val="true"/>
        </w:rPr>
        <w:t>רמב</w:t>
      </w:r>
      <w:r>
        <w:rPr>
          <w:rFonts w:cs="Keter YG"/>
          <w:b/>
          <w:bCs/>
          <w:rtl w:val="true"/>
        </w:rPr>
        <w:t>"</w:t>
      </w:r>
      <w:r>
        <w:rPr>
          <w:rFonts w:cs="Keter YG"/>
          <w:b/>
          <w:b/>
          <w:bCs/>
          <w:rtl w:val="true"/>
        </w:rPr>
        <w:t>ם</w:t>
      </w:r>
      <w:r>
        <w:rPr>
          <w:rStyle w:val="FootnoteAnchor"/>
          <w:rFonts w:cs="Keter YG"/>
          <w:b/>
          <w:b/>
          <w:bCs/>
          <w:rtl w:val="true"/>
        </w:rPr>
        <w:footnoteReference w:id="5"/>
      </w:r>
      <w:r>
        <w:rPr>
          <w:rFonts w:cs="Keter YG"/>
          <w:b w:val="false"/>
          <w:b w:val="false"/>
          <w:bCs w:val="false"/>
          <w:rtl w:val="true"/>
        </w:rPr>
        <w:t xml:space="preserve"> כ’ ש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אין מצווה שהיא שקולה כנגד ת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ת</w:t>
      </w:r>
      <w:r>
        <w:rPr>
          <w:rFonts w:cs="Keter YG"/>
          <w:b w:val="false"/>
          <w:bCs w:val="false"/>
          <w:rtl w:val="true"/>
        </w:rPr>
        <w:t xml:space="preserve">" </w:t>
      </w:r>
      <w:r>
        <w:rPr>
          <w:rFonts w:cs="Keter YG"/>
          <w:b w:val="false"/>
          <w:b w:val="false"/>
          <w:bCs w:val="false"/>
          <w:rtl w:val="true"/>
        </w:rPr>
        <w:t>ולכן תורה וקדם לכל מצוות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אא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כ אפשר לעשות עי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א</w:t>
      </w:r>
      <w:r>
        <w:rPr>
          <w:rFonts w:cs="Keter YG"/>
          <w:b w:val="false"/>
          <w:bCs w:val="false"/>
          <w:rtl w:val="true"/>
        </w:rPr>
        <w:t>.</w:t>
      </w:r>
      <w:r>
        <w:rPr>
          <w:rStyle w:val="FootnoteAnchor"/>
          <w:rFonts w:cs="Keter YG"/>
          <w:b w:val="false"/>
          <w:bCs w:val="false"/>
          <w:rtl w:val="true"/>
        </w:rPr>
        <w:footnoteReference w:id="6"/>
      </w:r>
    </w:p>
    <w:p>
      <w:pPr>
        <w:pStyle w:val="Normal"/>
        <w:bidi w:val="1"/>
        <w:ind w:left="0" w:right="0" w:firstLine="490"/>
        <w:jc w:val="both"/>
        <w:rPr>
          <w:rFonts w:cs="Keter YG"/>
        </w:rPr>
      </w:pPr>
      <w:r>
        <w:rPr>
          <w:rFonts w:cs="Keter YG"/>
          <w:b/>
          <w:b/>
          <w:bCs/>
          <w:rtl w:val="true"/>
        </w:rPr>
        <w:t>נצי</w:t>
      </w:r>
      <w:r>
        <w:rPr>
          <w:rFonts w:cs="Keter YG"/>
          <w:b/>
          <w:bCs/>
          <w:rtl w:val="true"/>
        </w:rPr>
        <w:t>"</w:t>
      </w:r>
      <w:r>
        <w:rPr>
          <w:rFonts w:cs="Keter YG"/>
          <w:b/>
          <w:b/>
          <w:bCs/>
          <w:rtl w:val="true"/>
        </w:rPr>
        <w:t>ב ור</w:t>
      </w:r>
      <w:r>
        <w:rPr>
          <w:rFonts w:cs="Keter YG"/>
          <w:b/>
          <w:bCs/>
          <w:rtl w:val="true"/>
        </w:rPr>
        <w:t>"</w:t>
      </w:r>
      <w:r>
        <w:rPr>
          <w:rFonts w:cs="Keter YG"/>
          <w:b/>
          <w:b/>
          <w:bCs/>
          <w:rtl w:val="true"/>
        </w:rPr>
        <w:t>א</w:t>
      </w:r>
      <w:r>
        <w:rPr>
          <w:rFonts w:cs="Keter YG"/>
          <w:b w:val="false"/>
          <w:b w:val="false"/>
          <w:bCs w:val="false"/>
          <w:rtl w:val="true"/>
        </w:rPr>
        <w:t xml:space="preserve"> כ’ לתרץ סתירה שברמב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ם שכיון שיכול לקיים לאח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ז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נחשב אפשר לקיים עי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א</w:t>
      </w:r>
      <w:r>
        <w:rPr>
          <w:rFonts w:cs="Keter YG"/>
          <w:b w:val="false"/>
          <w:bCs w:val="false"/>
          <w:rtl w:val="true"/>
        </w:rPr>
        <w:t xml:space="preserve">. </w:t>
      </w:r>
      <w:r>
        <w:rPr>
          <w:rFonts w:cs="Keter YG"/>
          <w:b w:val="false"/>
          <w:b w:val="false"/>
          <w:bCs w:val="false"/>
          <w:rtl w:val="true"/>
        </w:rPr>
        <w:t xml:space="preserve">מק’ </w:t>
      </w:r>
      <w:r>
        <w:rPr>
          <w:rFonts w:cs="Keter YG"/>
          <w:b/>
          <w:b/>
          <w:bCs/>
          <w:rtl w:val="true"/>
        </w:rPr>
        <w:t>נצי</w:t>
      </w:r>
      <w:r>
        <w:rPr>
          <w:rFonts w:cs="Keter YG"/>
          <w:b/>
          <w:bCs/>
          <w:rtl w:val="true"/>
        </w:rPr>
        <w:t>"</w:t>
      </w:r>
      <w:r>
        <w:rPr>
          <w:rFonts w:cs="Keter YG"/>
          <w:b/>
          <w:b/>
          <w:bCs/>
          <w:rtl w:val="true"/>
        </w:rPr>
        <w:t>ב</w:t>
      </w:r>
      <w:r>
        <w:rPr>
          <w:rFonts w:cs="Keter YG"/>
          <w:b w:val="false"/>
          <w:b w:val="false"/>
          <w:bCs w:val="false"/>
          <w:rtl w:val="true"/>
        </w:rPr>
        <w:t xml:space="preserve"> שלשון רמב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ם לא משמע כן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שמשמע שנלמד מכלל רגיל של עב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מ</w:t>
      </w:r>
      <w:r>
        <w:rPr>
          <w:rFonts w:cs="Keter YG"/>
          <w:b w:val="false"/>
          <w:bCs w:val="false"/>
          <w:rtl w:val="true"/>
        </w:rPr>
        <w:t>.</w:t>
      </w:r>
      <w:r>
        <w:rPr>
          <w:rStyle w:val="FootnoteAnchor"/>
          <w:rFonts w:cs="Keter YG"/>
          <w:b w:val="false"/>
          <w:bCs w:val="false"/>
          <w:rtl w:val="true"/>
        </w:rPr>
        <w:footnoteReference w:id="7"/>
      </w:r>
      <w:r>
        <w:rPr>
          <w:rFonts w:cs="Keter YG"/>
          <w:b w:val="false"/>
          <w:bCs w:val="false"/>
          <w:rtl w:val="true"/>
        </w:rPr>
        <w:t xml:space="preserve"> </w:t>
      </w:r>
      <w:r>
        <w:rPr>
          <w:rFonts w:cs="Keter YG"/>
          <w:b/>
          <w:b/>
          <w:bCs/>
          <w:rtl w:val="true"/>
        </w:rPr>
        <w:t>שו</w:t>
      </w:r>
      <w:r>
        <w:rPr>
          <w:rFonts w:cs="Keter YG"/>
          <w:b/>
          <w:bCs/>
          <w:rtl w:val="true"/>
        </w:rPr>
        <w:t>"</w:t>
      </w:r>
      <w:r>
        <w:rPr>
          <w:rFonts w:cs="Keter YG"/>
          <w:b/>
          <w:b/>
          <w:bCs/>
          <w:rtl w:val="true"/>
        </w:rPr>
        <w:t>ע הרב</w:t>
      </w:r>
      <w:r>
        <w:rPr>
          <w:rFonts w:cs="Keter YG"/>
          <w:b w:val="false"/>
          <w:b w:val="false"/>
          <w:bCs w:val="false"/>
          <w:rtl w:val="true"/>
        </w:rPr>
        <w:t xml:space="preserve"> כ’ שיש שני חיובי תורה</w:t>
      </w:r>
      <w:r>
        <w:rPr>
          <w:rFonts w:cs="Keter YG"/>
          <w:b w:val="false"/>
          <w:bCs w:val="false"/>
          <w:rtl w:val="true"/>
        </w:rPr>
        <w:t xml:space="preserve">- </w:t>
      </w:r>
      <w:r>
        <w:rPr>
          <w:rFonts w:cs="Keter YG"/>
          <w:b w:val="false"/>
          <w:b w:val="false"/>
          <w:bCs w:val="false"/>
          <w:rtl w:val="true"/>
        </w:rPr>
        <w:t>יש חיוב ללמוד בכל זמן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ועל זה אין העוסק פטור</w:t>
      </w:r>
      <w:r>
        <w:rPr>
          <w:rFonts w:cs="Keter YG"/>
          <w:b w:val="false"/>
          <w:bCs w:val="false"/>
          <w:rtl w:val="true"/>
        </w:rPr>
        <w:t xml:space="preserve">; </w:t>
      </w:r>
      <w:r>
        <w:rPr>
          <w:rFonts w:cs="Keter YG"/>
          <w:b w:val="false"/>
          <w:b w:val="false"/>
          <w:bCs w:val="false"/>
          <w:rtl w:val="true"/>
        </w:rPr>
        <w:t>ויש מצווה שיהיו דברי תורה מחודדים בפיך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ועל זה יש פטור עב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מ</w:t>
      </w:r>
      <w:r>
        <w:rPr>
          <w:rStyle w:val="FootnoteAnchor"/>
          <w:rFonts w:cs="Keter YG"/>
          <w:b w:val="false"/>
          <w:b w:val="false"/>
          <w:bCs w:val="false"/>
          <w:rtl w:val="true"/>
        </w:rPr>
        <w:footnoteReference w:id="8"/>
      </w:r>
      <w:r>
        <w:rPr>
          <w:rFonts w:cs="Keter YG"/>
          <w:b w:val="false"/>
          <w:bCs w:val="false"/>
          <w:rtl w:val="true"/>
        </w:rPr>
        <w:t xml:space="preserve">. </w:t>
      </w:r>
      <w:r>
        <w:rPr>
          <w:rFonts w:cs="Keter YG"/>
          <w:b w:val="false"/>
          <w:b w:val="false"/>
          <w:bCs w:val="false"/>
          <w:rtl w:val="true"/>
        </w:rPr>
        <w:t>דחוק בלשון הרמב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ם</w:t>
      </w:r>
      <w:r>
        <w:rPr>
          <w:rFonts w:cs="Keter YG"/>
          <w:b w:val="false"/>
          <w:bCs w:val="false"/>
          <w:rtl w:val="true"/>
        </w:rPr>
        <w:t>.</w:t>
      </w:r>
    </w:p>
    <w:p>
      <w:pPr>
        <w:pStyle w:val="Normal"/>
        <w:bidi w:val="1"/>
        <w:ind w:left="0" w:right="0" w:firstLine="490"/>
        <w:jc w:val="both"/>
        <w:rPr>
          <w:rFonts w:cs="Keter YG"/>
          <w:b/>
          <w:b/>
          <w:bCs/>
        </w:rPr>
      </w:pPr>
      <w:r>
        <w:rPr>
          <w:rFonts w:cs="Keter YG"/>
          <w:b/>
          <w:b/>
          <w:bCs/>
          <w:rtl w:val="true"/>
        </w:rPr>
        <w:t>באר’</w:t>
      </w:r>
      <w:r>
        <w:rPr>
          <w:rFonts w:cs="Keter YG"/>
          <w:b w:val="false"/>
          <w:b w:val="false"/>
          <w:bCs w:val="false"/>
          <w:rtl w:val="true"/>
        </w:rPr>
        <w:t xml:space="preserve"> שבאמת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מצוות ת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ת מחייב אדם ללמוד תמיד</w:t>
      </w:r>
      <w:r>
        <w:rPr>
          <w:rFonts w:cs="Keter YG"/>
          <w:b w:val="false"/>
          <w:bCs w:val="false"/>
          <w:rtl w:val="true"/>
        </w:rPr>
        <w:t xml:space="preserve">. </w:t>
      </w:r>
      <w:r>
        <w:rPr>
          <w:rFonts w:cs="Keter YG"/>
          <w:b w:val="false"/>
          <w:b w:val="false"/>
          <w:bCs w:val="false"/>
          <w:rtl w:val="true"/>
        </w:rPr>
        <w:t>כיון שצ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ל נעשה בכל זמן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רואים שצריך להיות חיי אדם מנודב לת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ת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שדבקים בה’ ע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י דבקות בתורתו</w:t>
      </w:r>
      <w:r>
        <w:rPr>
          <w:rFonts w:cs="Keter YG"/>
          <w:b w:val="false"/>
          <w:bCs w:val="false"/>
          <w:rtl w:val="true"/>
        </w:rPr>
        <w:t xml:space="preserve">. </w:t>
      </w:r>
      <w:r>
        <w:rPr>
          <w:rFonts w:cs="Keter YG"/>
          <w:b w:val="false"/>
          <w:b w:val="false"/>
          <w:bCs w:val="false"/>
          <w:rtl w:val="true"/>
        </w:rPr>
        <w:t>לעוסק בזה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יש פטור</w:t>
      </w:r>
      <w:r>
        <w:rPr>
          <w:rFonts w:cs="Keter YG"/>
          <w:b w:val="false"/>
          <w:bCs w:val="false"/>
          <w:rtl w:val="true"/>
        </w:rPr>
        <w:t xml:space="preserve">- </w:t>
      </w:r>
      <w:r>
        <w:rPr>
          <w:rFonts w:cs="Keter YG"/>
          <w:b w:val="false"/>
          <w:b w:val="false"/>
          <w:bCs w:val="false"/>
          <w:rtl w:val="true"/>
        </w:rPr>
        <w:t>אם בא מצווה שסותר לדבקות בתורה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פטור ממנה</w:t>
      </w:r>
      <w:r>
        <w:rPr>
          <w:rFonts w:cs="Keter YG"/>
          <w:b w:val="false"/>
          <w:bCs w:val="false"/>
          <w:rtl w:val="true"/>
        </w:rPr>
        <w:t xml:space="preserve">. </w:t>
      </w:r>
      <w:r>
        <w:rPr>
          <w:rFonts w:cs="Keter YG"/>
          <w:b w:val="false"/>
          <w:b w:val="false"/>
          <w:bCs w:val="false"/>
          <w:rtl w:val="true"/>
        </w:rPr>
        <w:t>אם כן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בנשואים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חושש שלא יוכל ללמוד אחר שיישא אשה</w:t>
      </w:r>
      <w:r>
        <w:rPr>
          <w:rFonts w:cs="Keter YG"/>
          <w:b w:val="false"/>
          <w:bCs w:val="false"/>
          <w:rtl w:val="true"/>
        </w:rPr>
        <w:t xml:space="preserve">, </w:t>
      </w:r>
      <w:r>
        <w:rPr>
          <w:rFonts w:cs="Keter YG"/>
          <w:b w:val="false"/>
          <w:b w:val="false"/>
          <w:bCs w:val="false"/>
          <w:rtl w:val="true"/>
        </w:rPr>
        <w:t>יש פטור מחמת עסקו בת</w:t>
      </w:r>
      <w:r>
        <w:rPr>
          <w:rFonts w:cs="Keter YG"/>
          <w:b w:val="false"/>
          <w:bCs w:val="false"/>
          <w:rtl w:val="true"/>
        </w:rPr>
        <w:t>"</w:t>
      </w:r>
      <w:r>
        <w:rPr>
          <w:rFonts w:cs="Keter YG"/>
          <w:b w:val="false"/>
          <w:b w:val="false"/>
          <w:bCs w:val="false"/>
          <w:rtl w:val="true"/>
        </w:rPr>
        <w:t>ת</w:t>
      </w:r>
      <w:r>
        <w:rPr>
          <w:rFonts w:cs="Keter YG"/>
          <w:b w:val="false"/>
          <w:bCs w:val="false"/>
          <w:rtl w:val="true"/>
        </w:rPr>
        <w:t>.</w:t>
      </w:r>
      <w:r>
        <w:rPr>
          <w:rStyle w:val="FootnoteAnchor"/>
          <w:rFonts w:cs="Keter YG"/>
          <w:b w:val="false"/>
          <w:bCs w:val="false"/>
          <w:rtl w:val="true"/>
        </w:rPr>
        <w:footnoteReference w:id="9"/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3"/>
        </w:rPr>
      </w:pPr>
      <w:r>
        <w:separator/>
      </w:r>
    </w:p>
  </w:footnote>
  <w:footnote w:id="1" w:type="continuationSeparator">
    <w:p>
      <w:pPr>
        <w:rPr>
          <w:sz w:val="13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אמר’ שלא יודע אם יאמר שיחה או שיעור</w:t>
      </w:r>
      <w:r>
        <w:rPr>
          <w:rtl w:val="true"/>
        </w:rPr>
        <w:t xml:space="preserve">; </w:t>
      </w:r>
      <w:r>
        <w:rPr>
          <w:rtl w:val="true"/>
        </w:rPr>
        <w:t>שמע מאדם גדול שאם לא יודעים בחורים אם הוא שיחה או שיעור</w:t>
      </w:r>
      <w:r>
        <w:rPr>
          <w:rtl w:val="true"/>
        </w:rPr>
        <w:t xml:space="preserve">, </w:t>
      </w:r>
      <w:r>
        <w:rPr>
          <w:rtl w:val="true"/>
        </w:rPr>
        <w:t>אותו ראש ישיבה צריך פרנסה אחרת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ש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"</w:t>
      </w:r>
      <w:r>
        <w:rPr>
          <w:rtl w:val="true"/>
        </w:rPr>
        <w:t>ת כנגד כולם</w:t>
      </w:r>
      <w:r>
        <w:rPr>
          <w:rtl w:val="true"/>
        </w:rPr>
        <w:t>.”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להקשות מגמרא</w:t>
      </w:r>
      <w:r>
        <w:rPr>
          <w:rtl w:val="true"/>
        </w:rPr>
        <w:t xml:space="preserve">, </w:t>
      </w:r>
      <w:r>
        <w:rPr>
          <w:rtl w:val="true"/>
        </w:rPr>
        <w:t>שיש טעמים אחרים שיכולים להסביר אותו דין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העיר’ שנכתבים בשני אותיות</w:t>
      </w:r>
      <w:r>
        <w:rPr>
          <w:rtl w:val="true"/>
        </w:rPr>
        <w:t xml:space="preserve">, </w:t>
      </w:r>
      <w:r>
        <w:rPr>
          <w:rtl w:val="true"/>
        </w:rPr>
        <w:t>אבל באמת הם באות אחת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כס</w:t>
      </w:r>
      <w:r>
        <w:rPr>
          <w:rtl w:val="true"/>
        </w:rPr>
        <w:t>"</w:t>
      </w:r>
      <w:r>
        <w:rPr>
          <w:rtl w:val="true"/>
        </w:rPr>
        <w:t>מ מביא ירושלמי למקור לזה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למה</w:t>
      </w:r>
      <w:r>
        <w:rPr>
          <w:rtl w:val="true"/>
        </w:rPr>
        <w:t xml:space="preserve">, </w:t>
      </w:r>
      <w:r>
        <w:rPr>
          <w:rtl w:val="true"/>
        </w:rPr>
        <w:t>שהוא גמרא מפורשת במ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הניח ששני הדינים</w:t>
      </w:r>
      <w:r>
        <w:rPr>
          <w:rtl w:val="true"/>
        </w:rPr>
        <w:t xml:space="preserve">- </w:t>
      </w:r>
      <w:r>
        <w:rPr>
          <w:rtl w:val="true"/>
        </w:rPr>
        <w:t>דין תורה כשא</w:t>
      </w:r>
      <w:r>
        <w:rPr>
          <w:rtl w:val="true"/>
        </w:rPr>
        <w:t>"</w:t>
      </w:r>
      <w:r>
        <w:rPr>
          <w:rtl w:val="true"/>
        </w:rPr>
        <w:t>א לקיים עי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ועב</w:t>
      </w:r>
      <w:r>
        <w:rPr>
          <w:rtl w:val="true"/>
        </w:rPr>
        <w:t>,</w:t>
      </w:r>
      <w:r>
        <w:rPr>
          <w:rtl w:val="true"/>
        </w:rPr>
        <w:t>מ</w:t>
      </w:r>
      <w:r>
        <w:rPr>
          <w:rtl w:val="true"/>
        </w:rPr>
        <w:t xml:space="preserve">- </w:t>
      </w:r>
      <w:r>
        <w:rPr>
          <w:rtl w:val="true"/>
        </w:rPr>
        <w:t>הם דינים חלוקים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העיר ר’ שמואליביץ על פי זה שכל בחור שאינו יודע כבר על התורה כולה יכול לפטור את עצמו מכל מצווה שרוצה כדי ללמוד</w:t>
      </w:r>
      <w:r>
        <w:rPr>
          <w:rtl w:val="true"/>
        </w:rPr>
        <w:t xml:space="preserve">. </w:t>
      </w:r>
      <w:r>
        <w:rPr>
          <w:rtl w:val="true"/>
        </w:rPr>
        <w:t>אם אין קיום</w:t>
      </w:r>
      <w:r>
        <w:rPr>
          <w:rtl w:val="true"/>
        </w:rPr>
        <w:t xml:space="preserve">, </w:t>
      </w:r>
      <w:r>
        <w:rPr>
          <w:rtl w:val="true"/>
        </w:rPr>
        <w:t>נמצא שאי אפשר לכל בחור לברך על מצוות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העיר’ שזה דומה לשוע הרב</w:t>
      </w:r>
      <w:r>
        <w:rPr>
          <w:rtl w:val="true"/>
        </w:rPr>
        <w:t xml:space="preserve">, </w:t>
      </w:r>
      <w:r>
        <w:rPr>
          <w:rtl w:val="true"/>
        </w:rPr>
        <w:t>אלא שהגדרתו קצת חלוק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2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rFonts w:cs="Noto Rashi Hebrew Medium"/>
      <w:bCs w:val="false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LibreOffice/7.3.2.2$Windows_X86_64 LibreOffice_project/49f2b1bff42cfccbd8f788c8dc32c1c309559be0</Application>
  <AppVersion>15.0000</AppVersion>
  <Pages>1</Pages>
  <Words>362</Words>
  <Characters>1586</Characters>
  <CharactersWithSpaces>1937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2022-09-18T10:16:00Z</dcterms:created>
  <dc:creator/>
  <dc:description/>
  <dc:language>en-US</dc:language>
  <cp:lastModifiedBy/>
  <dcterms:modified xsi:type="dcterms:W3CDTF">2022-09-18T10:50:35Z</dcterms:modified>
  <cp:revision>23</cp:revision>
  <dc:subject/>
  <dc:title/>
</cp:coreProperties>
</file>