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cs="Shofar"/>
          <w:b/>
          <w:b/>
          <w:bCs/>
        </w:rPr>
      </w:pPr>
      <w:r>
        <w:rPr>
          <w:rFonts w:cs="Shofar"/>
          <w:b/>
          <w:b/>
          <w:bCs/>
          <w:rtl w:val="true"/>
        </w:rPr>
        <w:t>קצות</w:t>
      </w:r>
      <w:r>
        <w:rPr>
          <w:rFonts w:cs="Shofar"/>
          <w:b w:val="false"/>
          <w:b w:val="false"/>
          <w:bCs w:val="false"/>
          <w:rtl w:val="true"/>
        </w:rPr>
        <w:t xml:space="preserve"> דן בגדרי באים כאחד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יוצא מדבריו שממה שחל גט בע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רואים שא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צ קנין הגט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אלא נתינתו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לכן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מפ’ שכ’ גט על א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rtl w:val="true"/>
        </w:rPr>
        <w:t xml:space="preserve">אחרונים </w:t>
      </w:r>
      <w:r>
        <w:rPr>
          <w:rFonts w:cs="Shofar"/>
          <w:b w:val="false"/>
          <w:b w:val="false"/>
          <w:bCs w:val="false"/>
          <w:rtl w:val="true"/>
        </w:rPr>
        <w:t>מק’ מפסול נייר שלי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מק’ גם מלשון רש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י שם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אז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מפ’ שנתינה גורם קנין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rtl w:val="true"/>
        </w:rPr>
        <w:t>קה</w:t>
      </w:r>
      <w:r>
        <w:rPr>
          <w:rFonts w:cs="Shofar"/>
          <w:b/>
          <w:bCs/>
          <w:rtl w:val="true"/>
        </w:rPr>
        <w:t>"</w:t>
      </w:r>
      <w:r>
        <w:rPr>
          <w:rFonts w:cs="Shofar"/>
          <w:b/>
          <w:b/>
          <w:bCs/>
          <w:rtl w:val="true"/>
        </w:rPr>
        <w:t>י</w:t>
      </w:r>
      <w:r>
        <w:rPr>
          <w:rFonts w:cs="Shofar"/>
          <w:b w:val="false"/>
          <w:b w:val="false"/>
          <w:bCs w:val="false"/>
          <w:rtl w:val="true"/>
        </w:rPr>
        <w:t xml:space="preserve"> כ’ שהבעיה שם הוא שקנין בעל מעכב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ואינו כריתות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rtl w:val="true"/>
        </w:rPr>
        <w:t>רש</w:t>
      </w:r>
      <w:r>
        <w:rPr>
          <w:rFonts w:cs="Shofar"/>
          <w:b/>
          <w:bCs/>
          <w:rtl w:val="true"/>
        </w:rPr>
        <w:t>"</w:t>
      </w:r>
      <w:r>
        <w:rPr>
          <w:rFonts w:cs="Shofar"/>
          <w:b/>
          <w:b/>
          <w:bCs/>
          <w:rtl w:val="true"/>
        </w:rPr>
        <w:t xml:space="preserve">י </w:t>
      </w:r>
      <w:r>
        <w:rPr>
          <w:rFonts w:cs="Shofar"/>
          <w:b w:val="false"/>
          <w:bCs w:val="false"/>
          <w:rtl w:val="true"/>
        </w:rPr>
        <w:t>(</w:t>
      </w:r>
      <w:r>
        <w:rPr>
          <w:rFonts w:cs="Shofar"/>
          <w:b w:val="false"/>
          <w:b w:val="false"/>
          <w:bCs w:val="false"/>
          <w:rtl w:val="true"/>
        </w:rPr>
        <w:t>עה</w:t>
      </w:r>
      <w:r>
        <w:rPr>
          <w:rFonts w:cs="Shofar"/>
          <w:b w:val="false"/>
          <w:b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rtl w:val="true"/>
        </w:rPr>
        <w:t>לא משמע כן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לא יהב לה ולא מידי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ורחמנא אמר ונתן בידה</w:t>
      </w:r>
      <w:r>
        <w:rPr>
          <w:rFonts w:cs="Shofar"/>
          <w:b w:val="false"/>
          <w:b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rtl w:val="true"/>
        </w:rPr>
        <w:t>לא משמע כקה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י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rtl w:val="true"/>
        </w:rPr>
        <w:t xml:space="preserve">מגיה </w:t>
      </w:r>
      <w:r>
        <w:rPr>
          <w:rFonts w:cs="Shofar"/>
          <w:b w:val="false"/>
          <w:b w:val="false"/>
          <w:bCs w:val="false"/>
          <w:rtl w:val="true"/>
        </w:rPr>
        <w:t>כ’ שצ’ נתינה שראויה לקנין</w:t>
      </w:r>
      <w:r>
        <w:rPr>
          <w:rFonts w:cs="Shofar"/>
          <w:b w:val="false"/>
          <w:b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rtl w:val="true"/>
        </w:rPr>
        <w:footnoteReference w:id="2"/>
      </w:r>
      <w:r>
        <w:rPr>
          <w:rFonts w:cs="Shofar"/>
          <w:b w:val="false"/>
          <w:b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rtl w:val="true"/>
        </w:rPr>
        <w:t>זה גדר מוזר לנתינה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/>
          <w:b/>
          <w:bCs/>
        </w:rPr>
      </w:pPr>
      <w:r>
        <w:rPr>
          <w:rFonts w:cs="Shofar"/>
          <w:b w:val="false"/>
          <w:b w:val="false"/>
          <w:bCs w:val="false"/>
          <w:rtl w:val="true"/>
        </w:rPr>
        <w:t>יש סיבות לחשוב שצ’ קנין הגט</w:t>
      </w:r>
      <w:r>
        <w:rPr>
          <w:rFonts w:cs="Shofar"/>
          <w:b w:val="false"/>
          <w:bCs w:val="false"/>
          <w:rtl w:val="true"/>
        </w:rPr>
        <w:t>.</w:t>
      </w:r>
      <w:r>
        <w:rPr>
          <w:rFonts w:cs="Shofar"/>
          <w:b/>
          <w:bCs/>
          <w:rtl w:val="true"/>
        </w:rPr>
        <w:t xml:space="preserve"> </w:t>
      </w:r>
      <w:r>
        <w:rPr>
          <w:rFonts w:cs="Shofar"/>
          <w:b/>
          <w:b/>
          <w:bCs/>
          <w:rtl w:val="true"/>
        </w:rPr>
        <w:t>גמ’</w:t>
      </w:r>
      <w:r>
        <w:rPr>
          <w:rFonts w:cs="Shofar"/>
          <w:b w:val="false"/>
          <w:b w:val="false"/>
          <w:bCs w:val="false"/>
          <w:rtl w:val="true"/>
        </w:rPr>
        <w:t xml:space="preserve"> דן בזכייה לקטנים</w:t>
      </w:r>
      <w:r>
        <w:rPr>
          <w:rFonts w:cs="Shofar"/>
          <w:b w:val="false"/>
          <w:bCs w:val="false"/>
          <w:rtl w:val="true"/>
        </w:rPr>
        <w:t>.</w:t>
      </w:r>
      <w:r>
        <w:rPr>
          <w:rFonts w:cs="Shofar"/>
          <w:b/>
          <w:bCs/>
          <w:rtl w:val="true"/>
        </w:rPr>
        <w:t xml:space="preserve"> </w:t>
      </w:r>
      <w:r>
        <w:rPr>
          <w:rFonts w:cs="Shofar"/>
          <w:b/>
          <w:b/>
          <w:bCs/>
          <w:rtl w:val="true"/>
        </w:rPr>
        <w:t xml:space="preserve">תוס’ שאנץ </w:t>
      </w:r>
      <w:r>
        <w:rPr>
          <w:rFonts w:cs="Shofar"/>
          <w:b w:val="false"/>
          <w:b w:val="false"/>
          <w:bCs w:val="false"/>
          <w:rtl w:val="true"/>
        </w:rPr>
        <w:t>מק’ ש</w:t>
      </w:r>
      <w:r>
        <w:rPr>
          <w:rFonts w:cs="Shofar"/>
          <w:b w:val="false"/>
          <w:bCs w:val="false"/>
          <w:rtl w:val="true"/>
        </w:rPr>
        <w:t>[</w:t>
      </w:r>
      <w:r>
        <w:rPr>
          <w:rFonts w:cs="Shofar"/>
          <w:b w:val="false"/>
          <w:b w:val="false"/>
          <w:bCs w:val="false"/>
          <w:rtl w:val="true"/>
        </w:rPr>
        <w:t>אם אין קונות מדאו’</w:t>
      </w:r>
      <w:r>
        <w:rPr>
          <w:rFonts w:cs="Shofar"/>
          <w:b w:val="false"/>
          <w:bCs w:val="false"/>
          <w:rtl w:val="true"/>
        </w:rPr>
        <w:t>, ]</w:t>
      </w:r>
      <w:r>
        <w:rPr>
          <w:rFonts w:cs="Shofar"/>
          <w:b w:val="false"/>
          <w:b w:val="false"/>
          <w:bCs w:val="false"/>
          <w:rtl w:val="true"/>
        </w:rPr>
        <w:t>ק’ איך נתג’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ת’ שדע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מ מהני מדאו’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לכאו’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צ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ל שאשה צ’ שום דעת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שמק’ ממה שאינה בר דעת</w:t>
      </w:r>
      <w:r>
        <w:rPr>
          <w:rFonts w:cs="Shofar"/>
          <w:b w:val="false"/>
          <w:b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rtl w:val="true"/>
        </w:rPr>
        <w:footnoteReference w:id="3"/>
      </w:r>
    </w:p>
    <w:p>
      <w:pPr>
        <w:pStyle w:val="Normal"/>
        <w:bidi w:val="1"/>
        <w:jc w:val="left"/>
        <w:rPr>
          <w:rFonts w:cs="Shofar"/>
          <w:b/>
          <w:b/>
          <w:bCs/>
        </w:rPr>
      </w:pPr>
      <w:r>
        <w:rPr>
          <w:rFonts w:cs="Shofar"/>
          <w:b/>
          <w:b/>
          <w:bCs/>
          <w:rtl w:val="true"/>
        </w:rPr>
        <w:t>רש</w:t>
      </w:r>
      <w:r>
        <w:rPr>
          <w:rFonts w:cs="Shofar"/>
          <w:b/>
          <w:bCs/>
          <w:rtl w:val="true"/>
        </w:rPr>
        <w:t>"</w:t>
      </w:r>
      <w:r>
        <w:rPr>
          <w:rFonts w:cs="Shofar"/>
          <w:b/>
          <w:b/>
          <w:bCs/>
          <w:rtl w:val="true"/>
        </w:rPr>
        <w:t xml:space="preserve">י </w:t>
      </w:r>
      <w:r>
        <w:rPr>
          <w:rFonts w:cs="Shofar"/>
          <w:b w:val="false"/>
          <w:b w:val="false"/>
          <w:bCs w:val="false"/>
          <w:rtl w:val="true"/>
        </w:rPr>
        <w:t>בכתובות כ’ שאין קנין יד פחות מג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ט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חול’ תוס’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כיון שכ’ יד בגט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משמע שיש קנין בגט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rtl w:val="true"/>
        </w:rPr>
        <w:t xml:space="preserve">גמ’ </w:t>
      </w:r>
      <w:r>
        <w:rPr>
          <w:rFonts w:cs="Shofar"/>
          <w:b w:val="false"/>
          <w:b w:val="false"/>
          <w:bCs w:val="false"/>
          <w:rtl w:val="true"/>
        </w:rPr>
        <w:t>ג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 בכ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מ לשונות של קנין</w:t>
      </w:r>
      <w:r>
        <w:rPr>
          <w:rFonts w:cs="Shofar"/>
          <w:b w:val="false"/>
          <w:b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rtl w:val="true"/>
        </w:rPr>
        <w:footnoteReference w:id="4"/>
      </w:r>
      <w:r>
        <w:rPr>
          <w:rFonts w:cs="Shofar"/>
          <w:b w:val="false"/>
          <w:b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rtl w:val="true"/>
        </w:rPr>
        <w:t>כמו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גמ’ שמק’ בתחלת הזורק 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מה שקנתה אשה קנה בעלה</w:t>
      </w:r>
      <w:r>
        <w:rPr>
          <w:rFonts w:cs="Shofar"/>
          <w:b w:val="false"/>
          <w:b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rtl w:val="true"/>
        </w:rPr>
        <w:t>קשה לקצות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כמו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 גמ’ מנסה להביא ראיה מזה לענין כליו של לוקח ברשות מוכר</w:t>
      </w:r>
      <w:r>
        <w:rPr>
          <w:rFonts w:cs="Shofar"/>
          <w:b w:val="false"/>
          <w:bCs w:val="false"/>
          <w:rtl w:val="true"/>
        </w:rPr>
        <w:t>. (</w:t>
      </w:r>
      <w:r>
        <w:rPr>
          <w:rFonts w:cs="Shofar"/>
          <w:b w:val="false"/>
          <w:b w:val="false"/>
          <w:bCs w:val="false"/>
          <w:rtl w:val="true"/>
        </w:rPr>
        <w:t>לכאו’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חצר מהני בע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 ג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ואז צ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ל שרק צ’ נתינה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עוד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נל’ מיד</w:t>
      </w:r>
      <w:r>
        <w:rPr>
          <w:rFonts w:cs="Shofar"/>
          <w:b w:val="false"/>
          <w:bCs w:val="false"/>
          <w:rtl w:val="true"/>
        </w:rPr>
        <w:t xml:space="preserve">.) </w:t>
      </w:r>
      <w:r>
        <w:rPr>
          <w:rFonts w:cs="Shofar"/>
          <w:b w:val="false"/>
          <w:b w:val="false"/>
          <w:bCs w:val="false"/>
          <w:rtl w:val="true"/>
        </w:rPr>
        <w:t>אז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נ’ שקונה גט</w:t>
      </w:r>
      <w:r>
        <w:rPr>
          <w:rFonts w:cs="Shofar"/>
          <w:b w:val="false"/>
          <w:b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rtl w:val="true"/>
        </w:rPr>
        <w:footnoteReference w:id="5"/>
      </w:r>
    </w:p>
    <w:p>
      <w:pPr>
        <w:pStyle w:val="Normal"/>
        <w:bidi w:val="1"/>
        <w:jc w:val="left"/>
        <w:rPr>
          <w:rFonts w:cs="Shofar"/>
          <w:b/>
          <w:b/>
          <w:bCs/>
        </w:rPr>
      </w:pPr>
      <w:r>
        <w:rPr>
          <w:rFonts w:cs="Shofar"/>
          <w:b/>
          <w:b/>
          <w:bCs/>
          <w:rtl w:val="true"/>
        </w:rPr>
        <w:t>שט</w:t>
      </w:r>
      <w:r>
        <w:rPr>
          <w:rFonts w:cs="Shofar"/>
          <w:b/>
          <w:bCs/>
          <w:rtl w:val="true"/>
        </w:rPr>
        <w:t>"</w:t>
      </w:r>
      <w:r>
        <w:rPr>
          <w:rFonts w:cs="Shofar"/>
          <w:b/>
          <w:b/>
          <w:bCs/>
          <w:rtl w:val="true"/>
        </w:rPr>
        <w:t xml:space="preserve">מ </w:t>
      </w:r>
      <w:r>
        <w:rPr>
          <w:rFonts w:cs="Shofar"/>
          <w:b w:val="false"/>
          <w:b w:val="false"/>
          <w:bCs w:val="false"/>
          <w:rtl w:val="true"/>
        </w:rPr>
        <w:t>מבאר רש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י בכתובות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וכ’ שא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א ללמוד מגט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יש שכ’ שסובר שהוא נתינה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ק’ ממש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באמת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עו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ק לל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א שאין לומ’ ממון מאיסור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באמת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עיין ברש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י בב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מ גבי חצר מתורת שליחות</w:t>
      </w:r>
      <w:r>
        <w:rPr>
          <w:rFonts w:cs="Shofar"/>
          <w:b w:val="false"/>
          <w:b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rtl w:val="true"/>
        </w:rPr>
        <w:t>וצריך ביאור איך כל זה שייך לזה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לא נראה שכן אומר שט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מ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שכ’ שיש לו ראיות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אבל לא יפ’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אם ר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ל זה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הוא כמעט מפורש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ותו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ת</w:t>
      </w:r>
      <w:r>
        <w:rPr>
          <w:rFonts w:cs="Shofar"/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 איך זה מתרץ לשום אחד מן הקושיות</w:t>
      </w:r>
      <w:r>
        <w:rPr>
          <w:rtl w:val="true"/>
        </w:rPr>
        <w:t xml:space="preserve">. </w:t>
      </w:r>
      <w:r>
        <w:rPr>
          <w:rtl w:val="true"/>
        </w:rPr>
        <w:t xml:space="preserve">צריך לבאר מהו בגדר </w:t>
      </w:r>
      <w:r>
        <w:rPr>
          <w:rtl w:val="true"/>
        </w:rPr>
        <w:t>"</w:t>
      </w:r>
      <w:r>
        <w:rPr>
          <w:rtl w:val="true"/>
        </w:rPr>
        <w:t>ראוי</w:t>
      </w:r>
      <w:r>
        <w:rPr>
          <w:rtl w:val="true"/>
        </w:rPr>
        <w:t>.”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נראה לומר שמי שאינה בר דעת לא יכולה להיות לה קנין</w:t>
      </w:r>
      <w:r>
        <w:rPr>
          <w:rtl w:val="true"/>
        </w:rPr>
        <w:t xml:space="preserve">, </w:t>
      </w:r>
      <w:r>
        <w:rPr>
          <w:rtl w:val="true"/>
        </w:rPr>
        <w:t>שהרי רבנן עושים לה קנין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כל אלו לא קונים מדאו’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הביא תוס’ רי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אבל נראה לי שאותו לשון שהביא לא קאי על קנין גט</w:t>
      </w:r>
      <w:r>
        <w:rPr>
          <w:rtl w:val="true"/>
        </w:rPr>
        <w:t xml:space="preserve">, </w:t>
      </w:r>
      <w:r>
        <w:rPr>
          <w:rtl w:val="true"/>
        </w:rPr>
        <w:t>אלא על קנין אשה</w:t>
      </w:r>
      <w:r>
        <w:rPr>
          <w:rtl w:val="true"/>
        </w:rPr>
        <w:t xml:space="preserve">. </w:t>
      </w:r>
      <w:r>
        <w:rPr>
          <w:rtl w:val="true"/>
        </w:rPr>
        <w:t>וצריך לעיין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היה קל לומר שנתינה ר</w:t>
      </w:r>
      <w:r>
        <w:rPr>
          <w:rtl w:val="true"/>
        </w:rPr>
        <w:t>"</w:t>
      </w:r>
      <w:r>
        <w:rPr>
          <w:rtl w:val="true"/>
        </w:rPr>
        <w:t>ל כל סיבות קנין חוץ מדעת אשה</w:t>
      </w:r>
      <w:r>
        <w:rPr>
          <w:rtl w:val="true"/>
        </w:rPr>
        <w:t xml:space="preserve">. </w:t>
      </w:r>
      <w:r>
        <w:rPr>
          <w:rtl w:val="true"/>
        </w:rPr>
        <w:t>אולי זהו מה שאומר ראוי</w:t>
      </w:r>
      <w:r>
        <w:rPr>
          <w:rtl w:val="true"/>
        </w:rPr>
        <w:t xml:space="preserve">. </w:t>
      </w:r>
      <w:r>
        <w:rPr>
          <w:rtl w:val="true"/>
        </w:rPr>
        <w:t>ודע שזה יתרץ למה אין בעיה בדבר שאסור בהנאה</w:t>
      </w:r>
      <w:r>
        <w:rPr>
          <w:rtl w:val="true"/>
        </w:rPr>
        <w:t xml:space="preserve">, </w:t>
      </w:r>
      <w:r>
        <w:rPr>
          <w:rtl w:val="true"/>
        </w:rPr>
        <w:t>שלכאורה הבעיה הוא רק שלא נעשה כל כך שלה</w:t>
      </w:r>
      <w:r>
        <w:rPr>
          <w:rtl w:val="true"/>
        </w:rPr>
        <w:t xml:space="preserve">, </w:t>
      </w:r>
      <w:r>
        <w:rPr>
          <w:rtl w:val="true"/>
        </w:rPr>
        <w:t>אבל יש עדיין סיבות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זה אף עושה שאין לו כוח לתת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LibreOffice/7.3.2.2$Windows_X86_64 LibreOffice_project/49f2b1bff42cfccbd8f788c8dc32c1c309559be0</Application>
  <AppVersion>15.0000</AppVersion>
  <Pages>1</Pages>
  <Words>340</Words>
  <Characters>1334</Characters>
  <CharactersWithSpaces>1666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2023-02-16T21:28:29Z</dcterms:modified>
  <cp:revision>29</cp:revision>
  <dc:subject/>
  <dc:title/>
</cp:coreProperties>
</file>