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7D7" w:rsidRDefault="00CA6E2A">
      <w:pPr>
        <w:rPr>
          <w:rFonts w:ascii="Shofar" w:hAnsi="Shofar" w:cs="Shofar"/>
          <w:rtl/>
        </w:rPr>
      </w:pPr>
      <w:r w:rsidRPr="00731EC6">
        <w:rPr>
          <w:rFonts w:ascii="Shofar" w:hAnsi="Shofar" w:cs="Shofar"/>
          <w:b/>
          <w:bCs/>
          <w:rtl/>
        </w:rPr>
        <w:t xml:space="preserve">משנה </w:t>
      </w:r>
      <w:r w:rsidRPr="00731EC6">
        <w:rPr>
          <w:rFonts w:ascii="Shofar" w:hAnsi="Shofar" w:cs="Shofar"/>
          <w:rtl/>
        </w:rPr>
        <w:t xml:space="preserve">אומר שזכין </w:t>
      </w:r>
      <w:r w:rsidR="00856F04" w:rsidRPr="00731EC6">
        <w:rPr>
          <w:rFonts w:ascii="Shofar" w:hAnsi="Shofar" w:cs="Shofar"/>
          <w:rtl/>
        </w:rPr>
        <w:t xml:space="preserve">ש"ש </w:t>
      </w:r>
      <w:r w:rsidRPr="00731EC6">
        <w:rPr>
          <w:rFonts w:ascii="Shofar" w:hAnsi="Shofar" w:cs="Shofar"/>
          <w:rtl/>
        </w:rPr>
        <w:t>לשחרר עבד.</w:t>
      </w:r>
      <w:r w:rsidR="00856F04" w:rsidRPr="00731EC6">
        <w:rPr>
          <w:rFonts w:ascii="Shofar" w:hAnsi="Shofar" w:cs="Shofar"/>
          <w:rtl/>
        </w:rPr>
        <w:t xml:space="preserve"> </w:t>
      </w:r>
      <w:r w:rsidR="00856F04" w:rsidRPr="00731EC6">
        <w:rPr>
          <w:rFonts w:ascii="Shofar" w:hAnsi="Shofar" w:cs="Shofar"/>
          <w:b/>
          <w:bCs/>
          <w:rtl/>
        </w:rPr>
        <w:t>משנה</w:t>
      </w:r>
      <w:r w:rsidR="00225758" w:rsidRPr="00731EC6">
        <w:rPr>
          <w:rFonts w:ascii="Shofar" w:hAnsi="Shofar" w:cs="Shofar"/>
          <w:rtl/>
        </w:rPr>
        <w:t xml:space="preserve"> לקמן אומר שאם מזכה ש"ש לעבד, ומת קודם שבא ליד עבד, לא ניתן לעבד לאח"מ.</w:t>
      </w:r>
      <w:r w:rsidR="0070131C" w:rsidRPr="00731EC6">
        <w:rPr>
          <w:rFonts w:ascii="Shofar" w:hAnsi="Shofar" w:cs="Shofar"/>
          <w:rtl/>
        </w:rPr>
        <w:t xml:space="preserve"> משמע שחל רק כשבא לידו. </w:t>
      </w:r>
      <w:r w:rsidR="00FA3443" w:rsidRPr="00731EC6">
        <w:rPr>
          <w:rFonts w:ascii="Shofar" w:hAnsi="Shofar" w:cs="Shofar"/>
          <w:b/>
          <w:bCs/>
          <w:rtl/>
        </w:rPr>
        <w:t>ראשונים</w:t>
      </w:r>
      <w:r w:rsidR="00FA3443" w:rsidRPr="00731EC6">
        <w:rPr>
          <w:rFonts w:ascii="Shofar" w:hAnsi="Shofar" w:cs="Shofar"/>
          <w:rtl/>
        </w:rPr>
        <w:t xml:space="preserve"> כ' שלא גו', "תן," והוא שנתן לשליח לזכות, אלא "תנו," שאמר לתת לשליח, ואז לא זיכה.</w:t>
      </w:r>
      <w:r w:rsidR="00A7278B" w:rsidRPr="00731EC6">
        <w:rPr>
          <w:rFonts w:ascii="Shofar" w:hAnsi="Shofar" w:cs="Shofar"/>
          <w:rtl/>
        </w:rPr>
        <w:t xml:space="preserve"> </w:t>
      </w:r>
      <w:r w:rsidR="00A7278B" w:rsidRPr="00731EC6">
        <w:rPr>
          <w:rFonts w:ascii="Shofar" w:hAnsi="Shofar" w:cs="Shofar"/>
          <w:b/>
          <w:bCs/>
          <w:rtl/>
        </w:rPr>
        <w:t xml:space="preserve">רש"י </w:t>
      </w:r>
      <w:r w:rsidR="008D7083" w:rsidRPr="00731EC6">
        <w:rPr>
          <w:rFonts w:ascii="Shofar" w:hAnsi="Shofar" w:cs="Shofar"/>
          <w:rtl/>
        </w:rPr>
        <w:t xml:space="preserve">(וכ"כ </w:t>
      </w:r>
      <w:r w:rsidR="008D7083" w:rsidRPr="00731EC6">
        <w:rPr>
          <w:rFonts w:ascii="Shofar" w:hAnsi="Shofar" w:cs="Shofar"/>
          <w:b/>
          <w:bCs/>
          <w:rtl/>
        </w:rPr>
        <w:t>רי"ף</w:t>
      </w:r>
      <w:r w:rsidR="008D7083" w:rsidRPr="00731EC6">
        <w:rPr>
          <w:rFonts w:ascii="Shofar" w:hAnsi="Shofar" w:cs="Shofar"/>
          <w:rtl/>
        </w:rPr>
        <w:t>)</w:t>
      </w:r>
      <w:r w:rsidR="004F7496" w:rsidRPr="00731EC6">
        <w:rPr>
          <w:rFonts w:ascii="Shofar" w:hAnsi="Shofar" w:cs="Shofar"/>
          <w:rtl/>
        </w:rPr>
        <w:t xml:space="preserve"> כ' שזכה עד שא"א לחזור, אבל לא חל עד שבא לידו.</w:t>
      </w:r>
      <w:r w:rsidR="00731EC6">
        <w:rPr>
          <w:rFonts w:ascii="Shofar" w:hAnsi="Shofar" w:cs="Shofar" w:hint="cs"/>
          <w:rtl/>
        </w:rPr>
        <w:t xml:space="preserve"> לא חל לאח"מ, כיון ששל יורשים הוא. ק':</w:t>
      </w:r>
    </w:p>
    <w:p w:rsidR="00731EC6" w:rsidRDefault="00731EC6" w:rsidP="006A6559">
      <w:pPr>
        <w:pStyle w:val="ListParagraph"/>
        <w:numPr>
          <w:ilvl w:val="0"/>
          <w:numId w:val="2"/>
        </w:numPr>
        <w:rPr>
          <w:rFonts w:ascii="Shofar" w:hAnsi="Shofar" w:cs="Shofar" w:hint="cs"/>
        </w:rPr>
      </w:pPr>
      <w:r>
        <w:rPr>
          <w:rFonts w:ascii="Shofar" w:hAnsi="Shofar" w:cs="Shofar" w:hint="cs"/>
          <w:b/>
          <w:bCs/>
          <w:rtl/>
        </w:rPr>
        <w:t xml:space="preserve">רש"י </w:t>
      </w:r>
      <w:r>
        <w:rPr>
          <w:rFonts w:ascii="Shofar" w:hAnsi="Shofar" w:cs="Shofar" w:hint="cs"/>
          <w:rtl/>
        </w:rPr>
        <w:t>במק"א כ' שחל מיד כשזכה.</w:t>
      </w:r>
    </w:p>
    <w:p w:rsidR="00731EC6" w:rsidRDefault="00731EC6" w:rsidP="006A6559">
      <w:pPr>
        <w:pStyle w:val="ListParagraph"/>
        <w:numPr>
          <w:ilvl w:val="0"/>
          <w:numId w:val="2"/>
        </w:numPr>
        <w:rPr>
          <w:rFonts w:ascii="Shofar" w:hAnsi="Shofar" w:cs="Shofar" w:hint="cs"/>
        </w:rPr>
      </w:pPr>
      <w:r>
        <w:rPr>
          <w:rFonts w:ascii="Shofar" w:hAnsi="Shofar" w:cs="Shofar" w:hint="cs"/>
          <w:rtl/>
        </w:rPr>
        <w:t>קשה ל"ל נאמר זכים כאן כמו בכ"מ.</w:t>
      </w:r>
    </w:p>
    <w:p w:rsidR="00731EC6" w:rsidRDefault="00731EC6" w:rsidP="006A6559">
      <w:pPr>
        <w:pStyle w:val="ListParagraph"/>
        <w:numPr>
          <w:ilvl w:val="0"/>
          <w:numId w:val="2"/>
        </w:numPr>
        <w:rPr>
          <w:rFonts w:ascii="Shofar" w:hAnsi="Shofar" w:cs="Shofar"/>
        </w:rPr>
      </w:pPr>
      <w:r>
        <w:rPr>
          <w:rFonts w:ascii="Shofar" w:hAnsi="Shofar" w:cs="Shofar" w:hint="cs"/>
          <w:b/>
          <w:bCs/>
          <w:rtl/>
        </w:rPr>
        <w:t>רא"ש</w:t>
      </w:r>
      <w:r>
        <w:rPr>
          <w:rFonts w:ascii="Shofar" w:hAnsi="Shofar" w:cs="Shofar" w:hint="cs"/>
          <w:rtl/>
        </w:rPr>
        <w:t xml:space="preserve"> מקשה ל"ל </w:t>
      </w:r>
      <w:r w:rsidR="00BE1215">
        <w:rPr>
          <w:rFonts w:ascii="Shofar" w:hAnsi="Shofar" w:cs="Shofar" w:hint="cs"/>
          <w:rtl/>
        </w:rPr>
        <w:t>יכול לחזור, כיון שלא קנה א"ע להיות משוחרר.</w:t>
      </w:r>
    </w:p>
    <w:p w:rsidR="006A6559" w:rsidRDefault="000618FA" w:rsidP="006A6559">
      <w:pPr>
        <w:pStyle w:val="ListParagraph"/>
        <w:numPr>
          <w:ilvl w:val="0"/>
          <w:numId w:val="2"/>
        </w:numPr>
        <w:rPr>
          <w:rFonts w:ascii="Shofar" w:hAnsi="Shofar" w:cs="Shofar"/>
        </w:rPr>
      </w:pPr>
      <w:r>
        <w:rPr>
          <w:rFonts w:ascii="Shofar" w:hAnsi="Shofar" w:cs="Shofar" w:hint="cs"/>
          <w:b/>
          <w:bCs/>
          <w:rtl/>
        </w:rPr>
        <w:t>קצות</w:t>
      </w:r>
      <w:r w:rsidR="00E27DAF">
        <w:rPr>
          <w:rFonts w:ascii="Shofar" w:hAnsi="Shofar" w:cs="Shofar" w:hint="cs"/>
          <w:rtl/>
        </w:rPr>
        <w:t xml:space="preserve"> מעורר ש</w:t>
      </w:r>
      <w:r>
        <w:rPr>
          <w:rFonts w:ascii="Shofar" w:hAnsi="Shofar" w:cs="Shofar" w:hint="cs"/>
          <w:rtl/>
        </w:rPr>
        <w:t xml:space="preserve">רשי </w:t>
      </w:r>
      <w:r w:rsidR="00505333">
        <w:rPr>
          <w:rFonts w:ascii="Shofar" w:hAnsi="Shofar" w:cs="Shofar" w:hint="cs"/>
          <w:rtl/>
        </w:rPr>
        <w:t>שכ' שא"א לשחרר כיון שאינו שלו, ולא רק כ' שאין שליחות.</w:t>
      </w:r>
      <w:r w:rsidR="001F598E">
        <w:rPr>
          <w:rFonts w:ascii="Shofar" w:hAnsi="Shofar" w:cs="Shofar" w:hint="cs"/>
          <w:rtl/>
        </w:rPr>
        <w:t xml:space="preserve"> (מזה מוכיח שסובר כרמבם שיש שליחות לאח"מ.)</w:t>
      </w:r>
      <w:r w:rsidR="006D1103">
        <w:rPr>
          <w:rFonts w:ascii="Shofar" w:hAnsi="Shofar" w:cs="Shofar" w:hint="cs"/>
          <w:rtl/>
        </w:rPr>
        <w:t xml:space="preserve"> קשה, ש</w:t>
      </w:r>
      <w:r w:rsidR="006D1103">
        <w:rPr>
          <w:rFonts w:ascii="Shofar" w:hAnsi="Shofar" w:cs="Shofar" w:hint="cs"/>
          <w:b/>
          <w:bCs/>
          <w:rtl/>
        </w:rPr>
        <w:t>רש"י</w:t>
      </w:r>
      <w:r w:rsidR="006D1103">
        <w:rPr>
          <w:rFonts w:ascii="Shofar" w:hAnsi="Shofar" w:cs="Shofar" w:hint="cs"/>
          <w:rtl/>
        </w:rPr>
        <w:t xml:space="preserve"> כ' במק"א ששליחות בטל לאח"מ.</w:t>
      </w:r>
    </w:p>
    <w:p w:rsidR="00B5695E" w:rsidRDefault="00B5695E" w:rsidP="006A6559">
      <w:pPr>
        <w:pStyle w:val="ListParagraph"/>
        <w:numPr>
          <w:ilvl w:val="0"/>
          <w:numId w:val="2"/>
        </w:numPr>
        <w:rPr>
          <w:rFonts w:ascii="Shofar" w:hAnsi="Shofar" w:cs="Shofar"/>
        </w:rPr>
      </w:pPr>
      <w:r w:rsidRPr="006A6559">
        <w:rPr>
          <w:rFonts w:ascii="Shofar" w:hAnsi="Shofar" w:cs="Shofar" w:hint="cs"/>
          <w:b/>
          <w:bCs/>
          <w:rtl/>
        </w:rPr>
        <w:t>גמ'</w:t>
      </w:r>
      <w:r w:rsidRPr="006A6559">
        <w:rPr>
          <w:rFonts w:ascii="Shofar" w:hAnsi="Shofar" w:cs="Shofar" w:hint="cs"/>
          <w:rtl/>
        </w:rPr>
        <w:t xml:space="preserve"> כ' ששולח ממון לבע"ח לא יכול לחזור, אבל חייב באחריות. נמצא שיכו"ל שלא יכול לחזור בו, אף שעדיין שלו הוא.</w:t>
      </w:r>
      <w:r w:rsidR="00F1734A" w:rsidRPr="006A6559">
        <w:rPr>
          <w:rFonts w:ascii="Shofar" w:hAnsi="Shofar" w:cs="Shofar" w:hint="cs"/>
          <w:rtl/>
        </w:rPr>
        <w:t xml:space="preserve"> </w:t>
      </w:r>
      <w:r w:rsidR="00F1734A" w:rsidRPr="006A6559">
        <w:rPr>
          <w:rFonts w:ascii="Shofar" w:hAnsi="Shofar" w:cs="Shofar" w:hint="cs"/>
          <w:b/>
          <w:bCs/>
          <w:rtl/>
        </w:rPr>
        <w:t>רא"ש</w:t>
      </w:r>
      <w:r w:rsidR="00F1734A" w:rsidRPr="006A6559">
        <w:rPr>
          <w:rFonts w:ascii="Shofar" w:hAnsi="Shofar" w:cs="Shofar" w:hint="cs"/>
          <w:rtl/>
        </w:rPr>
        <w:t xml:space="preserve"> דוחה שזה מפני שחוב הוא שיהיה ממון לבע"ח, שאז אחריותו עליו. עדיין קשה ל"ל יכול לח' בו.</w:t>
      </w:r>
    </w:p>
    <w:p w:rsidR="006A6559" w:rsidRDefault="006A6559" w:rsidP="006A6559">
      <w:pPr>
        <w:rPr>
          <w:rFonts w:ascii="Shofar" w:hAnsi="Shofar" w:cs="Shofar"/>
          <w:rtl/>
        </w:rPr>
      </w:pPr>
      <w:r>
        <w:rPr>
          <w:rFonts w:ascii="Shofar" w:hAnsi="Shofar" w:cs="Shofar" w:hint="cs"/>
          <w:b/>
          <w:bCs/>
          <w:rtl/>
        </w:rPr>
        <w:t>פנ"י</w:t>
      </w:r>
      <w:r>
        <w:rPr>
          <w:rFonts w:ascii="Shofar" w:hAnsi="Shofar" w:cs="Shofar" w:hint="cs"/>
          <w:rtl/>
        </w:rPr>
        <w:t xml:space="preserve"> כ' לת' לשני: </w:t>
      </w:r>
      <w:r w:rsidR="003B2AC8">
        <w:rPr>
          <w:rFonts w:ascii="Shofar" w:hAnsi="Shofar" w:cs="Shofar" w:hint="cs"/>
          <w:rtl/>
        </w:rPr>
        <w:t>קנין ש"ש חוב לעבד, שמס' נשוי לשפחה, ויבעל באיסור כיון שלא שמע</w:t>
      </w:r>
      <w:r w:rsidR="003B2AC8">
        <w:rPr>
          <w:rStyle w:val="FootnoteReference"/>
          <w:rFonts w:ascii="Shofar" w:hAnsi="Shofar" w:cs="Shofar"/>
          <w:rtl/>
        </w:rPr>
        <w:footnoteReference w:id="1"/>
      </w:r>
      <w:r w:rsidR="003B2AC8">
        <w:rPr>
          <w:rFonts w:ascii="Shofar" w:hAnsi="Shofar" w:cs="Shofar" w:hint="cs"/>
          <w:rtl/>
        </w:rPr>
        <w:t>.</w:t>
      </w:r>
      <w:r w:rsidR="00811891">
        <w:rPr>
          <w:rFonts w:ascii="Shofar" w:hAnsi="Shofar" w:cs="Shofar" w:hint="cs"/>
          <w:rtl/>
        </w:rPr>
        <w:t xml:space="preserve"> דחוק לומר אוקמתא כזה.</w:t>
      </w:r>
    </w:p>
    <w:p w:rsidR="009D2EDE" w:rsidRDefault="006D1A05" w:rsidP="009D2EDE">
      <w:pPr>
        <w:rPr>
          <w:rFonts w:ascii="Shofar" w:hAnsi="Shofar" w:cs="Shofar"/>
          <w:rtl/>
        </w:rPr>
      </w:pPr>
      <w:r>
        <w:rPr>
          <w:rFonts w:ascii="Shofar" w:hAnsi="Shofar" w:cs="Shofar" w:hint="cs"/>
          <w:b/>
          <w:bCs/>
          <w:rtl/>
        </w:rPr>
        <w:t xml:space="preserve">אחרונים </w:t>
      </w:r>
      <w:r>
        <w:rPr>
          <w:rFonts w:ascii="Shofar" w:hAnsi="Shofar" w:cs="Shofar" w:hint="cs"/>
          <w:rtl/>
        </w:rPr>
        <w:t>מדיי' שרא"ש מק' כיון שזכייה מטע"ש.</w:t>
      </w:r>
      <w:r w:rsidR="007C24DD">
        <w:rPr>
          <w:rFonts w:ascii="Shofar" w:hAnsi="Shofar" w:cs="Shofar" w:hint="cs"/>
          <w:rtl/>
        </w:rPr>
        <w:t xml:space="preserve"> לכאו', אם אין זמט"ש, ק' איך מקיים, "ונתן בידה."</w:t>
      </w:r>
      <w:r w:rsidR="00B003F0">
        <w:rPr>
          <w:rStyle w:val="FootnoteReference"/>
          <w:rFonts w:ascii="Shofar" w:hAnsi="Shofar" w:cs="Shofar"/>
          <w:rtl/>
        </w:rPr>
        <w:footnoteReference w:id="2"/>
      </w:r>
      <w:r w:rsidR="009D2EDE">
        <w:rPr>
          <w:rFonts w:ascii="Shofar" w:hAnsi="Shofar" w:cs="Shofar" w:hint="cs"/>
          <w:rtl/>
        </w:rPr>
        <w:t xml:space="preserve"> </w:t>
      </w:r>
      <w:r w:rsidR="009D2EDE">
        <w:rPr>
          <w:rFonts w:ascii="Shofar" w:hAnsi="Shofar" w:cs="Shofar" w:hint="cs"/>
          <w:b/>
          <w:bCs/>
          <w:rtl/>
        </w:rPr>
        <w:t>ר"א</w:t>
      </w:r>
      <w:r w:rsidR="009D2EDE">
        <w:rPr>
          <w:rFonts w:ascii="Shofar" w:hAnsi="Shofar" w:cs="Shofar" w:hint="cs"/>
          <w:rtl/>
        </w:rPr>
        <w:t xml:space="preserve"> מביא </w:t>
      </w:r>
      <w:r w:rsidR="009D2EDE">
        <w:rPr>
          <w:rFonts w:ascii="Shofar" w:hAnsi="Shofar" w:cs="Shofar" w:hint="cs"/>
          <w:b/>
          <w:bCs/>
          <w:rtl/>
        </w:rPr>
        <w:t xml:space="preserve">רמב"ם </w:t>
      </w:r>
      <w:r w:rsidR="009D2EDE">
        <w:rPr>
          <w:rFonts w:ascii="Shofar" w:hAnsi="Shofar" w:cs="Shofar" w:hint="cs"/>
          <w:rtl/>
        </w:rPr>
        <w:t>בשליח להבאה (שיחול גט כשבא ליד עבד).</w:t>
      </w:r>
      <w:r w:rsidR="005F51F9">
        <w:rPr>
          <w:rFonts w:ascii="Shofar" w:hAnsi="Shofar" w:cs="Shofar" w:hint="cs"/>
          <w:rtl/>
        </w:rPr>
        <w:t xml:space="preserve"> כ' ש</w:t>
      </w:r>
      <w:r w:rsidR="00AA77F1">
        <w:rPr>
          <w:rFonts w:ascii="Shofar" w:hAnsi="Shofar" w:cs="Shofar" w:hint="cs"/>
          <w:rtl/>
        </w:rPr>
        <w:t>שליח קונה גט, ומביא לה. אבל, נתינת בעל רק צ"ל לקנין, אבל לא לידה. אז, נתקיים מה שצ' בעל לעשות; רק חסר נתינה בידה, וכשנעשה, חל.</w:t>
      </w:r>
      <w:r w:rsidR="001208D0">
        <w:rPr>
          <w:rStyle w:val="FootnoteReference"/>
          <w:rFonts w:ascii="Shofar" w:hAnsi="Shofar" w:cs="Shofar"/>
          <w:rtl/>
        </w:rPr>
        <w:footnoteReference w:id="3"/>
      </w:r>
      <w:r w:rsidR="0019323A">
        <w:rPr>
          <w:rFonts w:ascii="Shofar" w:hAnsi="Shofar" w:cs="Shofar" w:hint="cs"/>
          <w:rtl/>
        </w:rPr>
        <w:t xml:space="preserve"> כמו"כ י"ל כאן.</w:t>
      </w:r>
      <w:r w:rsidR="0024318E">
        <w:rPr>
          <w:rFonts w:ascii="Shofar" w:hAnsi="Shofar" w:cs="Shofar" w:hint="cs"/>
          <w:rtl/>
        </w:rPr>
        <w:t xml:space="preserve"> זה ית' ראשון (שם שליח הוא), ושני (צ' קיום בידה), שלישי (</w:t>
      </w:r>
      <w:r w:rsidR="00880E32">
        <w:rPr>
          <w:rFonts w:ascii="Shofar" w:hAnsi="Shofar" w:cs="Shofar" w:hint="cs"/>
          <w:rtl/>
        </w:rPr>
        <w:t xml:space="preserve">יש קנין, וא"א לחזור מאותו קנין), </w:t>
      </w:r>
      <w:r w:rsidR="00120334">
        <w:rPr>
          <w:rFonts w:ascii="Shofar" w:hAnsi="Shofar" w:cs="Shofar" w:hint="cs"/>
          <w:rtl/>
        </w:rPr>
        <w:t>ו</w:t>
      </w:r>
      <w:r w:rsidR="00880E32">
        <w:rPr>
          <w:rFonts w:ascii="Shofar" w:hAnsi="Shofar" w:cs="Shofar" w:hint="cs"/>
          <w:rtl/>
        </w:rPr>
        <w:t>רביעי (לא צ' עוד שליחות).</w:t>
      </w:r>
      <w:r w:rsidR="00ED3740">
        <w:rPr>
          <w:rFonts w:ascii="Shofar" w:hAnsi="Shofar" w:cs="Shofar" w:hint="cs"/>
          <w:rtl/>
        </w:rPr>
        <w:t xml:space="preserve"> ראית רי"ף צ"ב, שאין קונה שם.</w:t>
      </w:r>
      <w:r w:rsidR="00AD53BB">
        <w:rPr>
          <w:rFonts w:ascii="Shofar" w:hAnsi="Shofar" w:cs="Shofar" w:hint="cs"/>
          <w:rtl/>
        </w:rPr>
        <w:t xml:space="preserve"> </w:t>
      </w:r>
      <w:r w:rsidR="00AD53BB">
        <w:rPr>
          <w:rFonts w:ascii="Shofar" w:hAnsi="Shofar" w:cs="Shofar" w:hint="cs"/>
          <w:b/>
          <w:bCs/>
          <w:rtl/>
        </w:rPr>
        <w:t>ר"א</w:t>
      </w:r>
      <w:r w:rsidR="00AD53BB">
        <w:rPr>
          <w:rFonts w:ascii="Shofar" w:hAnsi="Shofar" w:cs="Shofar" w:hint="cs"/>
          <w:rtl/>
        </w:rPr>
        <w:t xml:space="preserve"> מפ' </w:t>
      </w:r>
      <w:r w:rsidR="00E131EC">
        <w:rPr>
          <w:rFonts w:ascii="Shofar" w:hAnsi="Shofar" w:cs="Shofar" w:hint="cs"/>
          <w:rtl/>
        </w:rPr>
        <w:t>שנתינת ממון לא לעולם מהני לחוב, אלא צריך לשלם לחוב.</w:t>
      </w:r>
      <w:r w:rsidR="000D79F5">
        <w:rPr>
          <w:rFonts w:ascii="Shofar" w:hAnsi="Shofar" w:cs="Shofar" w:hint="cs"/>
          <w:rtl/>
        </w:rPr>
        <w:t xml:space="preserve"> חוב הוא לבע"ח להיות משתלם עכשיו, ואז לא חל הקנין מתורת חוב</w:t>
      </w:r>
      <w:r w:rsidR="00F97E65">
        <w:rPr>
          <w:rFonts w:ascii="Shofar" w:hAnsi="Shofar" w:cs="Shofar" w:hint="cs"/>
          <w:rtl/>
        </w:rPr>
        <w:t>, שלא נדחה החוב שלא לרצונו ע"י זכים.</w:t>
      </w:r>
      <w:r w:rsidR="006855A6">
        <w:rPr>
          <w:rStyle w:val="FootnoteReference"/>
          <w:rFonts w:ascii="Shofar" w:hAnsi="Shofar" w:cs="Shofar"/>
          <w:rtl/>
        </w:rPr>
        <w:footnoteReference w:id="4"/>
      </w:r>
    </w:p>
    <w:p w:rsidR="00C17457" w:rsidRPr="00C17457" w:rsidRDefault="00C17457" w:rsidP="009D2EDE">
      <w:pPr>
        <w:rPr>
          <w:rFonts w:ascii="Shofar" w:hAnsi="Shofar" w:cs="Shofar"/>
        </w:rPr>
      </w:pPr>
      <w:r>
        <w:rPr>
          <w:rFonts w:ascii="Shofar" w:hAnsi="Shofar" w:cs="Shofar" w:hint="cs"/>
          <w:b/>
          <w:bCs/>
          <w:rtl/>
        </w:rPr>
        <w:t xml:space="preserve">רש"י </w:t>
      </w:r>
      <w:r>
        <w:rPr>
          <w:rFonts w:ascii="Shofar" w:hAnsi="Shofar" w:cs="Shofar" w:hint="cs"/>
          <w:rtl/>
        </w:rPr>
        <w:t xml:space="preserve">כ' בפ' שזכייה מטע"ש. </w:t>
      </w:r>
      <w:r>
        <w:rPr>
          <w:rFonts w:ascii="Shofar" w:hAnsi="Shofar" w:cs="Shofar" w:hint="cs"/>
          <w:b/>
          <w:bCs/>
          <w:rtl/>
        </w:rPr>
        <w:t xml:space="preserve">רש"י </w:t>
      </w:r>
      <w:r>
        <w:rPr>
          <w:rFonts w:ascii="Shofar" w:hAnsi="Shofar" w:cs="Shofar" w:hint="cs"/>
          <w:rtl/>
        </w:rPr>
        <w:t>בקידושין קצת משמע שיש לו צד שזכייה האינו מטע"ש. אולי סובר ששניהם אפשרים להיות, וכ' לפעמים וכזה ולפעמים כזה. אז, יש ליישב הסתירה ברש"י.</w:t>
      </w:r>
      <w:bookmarkStart w:id="0" w:name="_GoBack"/>
      <w:bookmarkEnd w:id="0"/>
    </w:p>
    <w:sectPr w:rsidR="00C17457" w:rsidRPr="00C1745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A49" w:rsidRDefault="00423A49" w:rsidP="003B2AC8">
      <w:pPr>
        <w:spacing w:after="0" w:line="240" w:lineRule="auto"/>
      </w:pPr>
      <w:r>
        <w:separator/>
      </w:r>
    </w:p>
  </w:endnote>
  <w:endnote w:type="continuationSeparator" w:id="0">
    <w:p w:rsidR="00423A49" w:rsidRDefault="00423A49" w:rsidP="003B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A49" w:rsidRDefault="00423A49" w:rsidP="003B2AC8">
      <w:pPr>
        <w:spacing w:after="0" w:line="240" w:lineRule="auto"/>
      </w:pPr>
      <w:r>
        <w:separator/>
      </w:r>
    </w:p>
  </w:footnote>
  <w:footnote w:type="continuationSeparator" w:id="0">
    <w:p w:rsidR="00423A49" w:rsidRDefault="00423A49" w:rsidP="003B2AC8">
      <w:pPr>
        <w:spacing w:after="0" w:line="240" w:lineRule="auto"/>
      </w:pPr>
      <w:r>
        <w:continuationSeparator/>
      </w:r>
    </w:p>
  </w:footnote>
  <w:footnote w:id="1">
    <w:p w:rsidR="003B2AC8" w:rsidRDefault="003B2AC8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מחודש, שזה אונס.</w:t>
      </w:r>
    </w:p>
  </w:footnote>
  <w:footnote w:id="2">
    <w:p w:rsidR="00B003F0" w:rsidRDefault="00B003F0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לא כל כך פשוט שזה יהיה מתורץ אם הוא שליח.</w:t>
      </w:r>
      <w:r w:rsidR="0080587C">
        <w:rPr>
          <w:rFonts w:hint="cs"/>
          <w:rtl/>
        </w:rPr>
        <w:t xml:space="preserve"> גם יש לדון למה כל כך פשוט לומר כן, שנראה שיש צד לומר שהקנין הוא נתינת ביד מי שעושה מעשה קנין. ותחשב.</w:t>
      </w:r>
    </w:p>
  </w:footnote>
  <w:footnote w:id="3">
    <w:p w:rsidR="001208D0" w:rsidRDefault="001208D0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דורש את הקרא להיות אומר שני דברים: ונתן- שבעל יתן, ובידה- שיימצא בידה.</w:t>
      </w:r>
      <w:r w:rsidR="00E82B23">
        <w:rPr>
          <w:rFonts w:hint="cs"/>
          <w:rtl/>
        </w:rPr>
        <w:t xml:space="preserve"> כמובן, צ"ב למה.</w:t>
      </w:r>
    </w:p>
  </w:footnote>
  <w:footnote w:id="4">
    <w:p w:rsidR="006855A6" w:rsidRDefault="006855A6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צריך ביאור מה אומר, שלכאורה, לא ניתן לו קנין אחר חוץ מתשלומים.</w:t>
      </w:r>
      <w:r w:rsidR="005A4683">
        <w:rPr>
          <w:rFonts w:hint="cs"/>
          <w:rtl/>
        </w:rPr>
        <w:t xml:space="preserve"> גם עדיין צריך ביאור מהו הראיה; דחיית רא"ש מובן, אבל לא כ"ז.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07CE7"/>
    <w:multiLevelType w:val="hybridMultilevel"/>
    <w:tmpl w:val="188C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C0D8E"/>
    <w:multiLevelType w:val="hybridMultilevel"/>
    <w:tmpl w:val="48A4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F8F"/>
    <w:rsid w:val="000618FA"/>
    <w:rsid w:val="00076365"/>
    <w:rsid w:val="000B2175"/>
    <w:rsid w:val="000D79F5"/>
    <w:rsid w:val="00120334"/>
    <w:rsid w:val="001208D0"/>
    <w:rsid w:val="00144A5A"/>
    <w:rsid w:val="0019323A"/>
    <w:rsid w:val="001B1F8F"/>
    <w:rsid w:val="001F598E"/>
    <w:rsid w:val="00225758"/>
    <w:rsid w:val="0024318E"/>
    <w:rsid w:val="003B2AC8"/>
    <w:rsid w:val="00423A49"/>
    <w:rsid w:val="004F7496"/>
    <w:rsid w:val="00505333"/>
    <w:rsid w:val="005A4683"/>
    <w:rsid w:val="005F51F9"/>
    <w:rsid w:val="00642A59"/>
    <w:rsid w:val="006855A6"/>
    <w:rsid w:val="006A6559"/>
    <w:rsid w:val="006B4025"/>
    <w:rsid w:val="006D1103"/>
    <w:rsid w:val="006D1A05"/>
    <w:rsid w:val="0070131C"/>
    <w:rsid w:val="00731EC6"/>
    <w:rsid w:val="007C24DD"/>
    <w:rsid w:val="0080587C"/>
    <w:rsid w:val="00811891"/>
    <w:rsid w:val="00856F04"/>
    <w:rsid w:val="00880E32"/>
    <w:rsid w:val="008D7083"/>
    <w:rsid w:val="009D2EDE"/>
    <w:rsid w:val="00A7278B"/>
    <w:rsid w:val="00AA77F1"/>
    <w:rsid w:val="00AD53BB"/>
    <w:rsid w:val="00B003F0"/>
    <w:rsid w:val="00B5695E"/>
    <w:rsid w:val="00BA7BEC"/>
    <w:rsid w:val="00BE1215"/>
    <w:rsid w:val="00C17457"/>
    <w:rsid w:val="00CA6E2A"/>
    <w:rsid w:val="00DC77D7"/>
    <w:rsid w:val="00E131EC"/>
    <w:rsid w:val="00E16B96"/>
    <w:rsid w:val="00E27DAF"/>
    <w:rsid w:val="00E82B23"/>
    <w:rsid w:val="00ED3740"/>
    <w:rsid w:val="00F1734A"/>
    <w:rsid w:val="00F97E65"/>
    <w:rsid w:val="00FA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483F3"/>
  <w15:chartTrackingRefBased/>
  <w15:docId w15:val="{35CF678D-FD03-4A45-BDE4-DB07A3A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BE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EC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B2A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2A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2A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הכהן</dc:creator>
  <cp:keywords/>
  <dc:description/>
  <cp:lastModifiedBy>שי הכהן</cp:lastModifiedBy>
  <cp:revision>45</cp:revision>
  <dcterms:created xsi:type="dcterms:W3CDTF">2023-05-19T00:28:00Z</dcterms:created>
  <dcterms:modified xsi:type="dcterms:W3CDTF">2023-05-19T00:59:00Z</dcterms:modified>
</cp:coreProperties>
</file>