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B25" w:rsidRDefault="006F12C5">
      <w:pPr>
        <w:bidi/>
        <w:rPr>
          <w:rFonts w:hint="cs"/>
          <w:rtl/>
        </w:rPr>
      </w:pPr>
      <w:r>
        <w:rPr>
          <w:rFonts w:hint="cs"/>
          <w:rtl/>
        </w:rPr>
        <w:t>ר"א סובר שיכול אדם לגרש את אשתו חוץ מאיש מיוחד. אם נושא אחד, יכול לישא אותו איש אחר כן. מקשה איך מצאנו שזה אוסר וזה מתיר.</w:t>
      </w:r>
      <w:r w:rsidR="00DE12B4">
        <w:rPr>
          <w:rFonts w:hint="cs"/>
          <w:rtl/>
        </w:rPr>
        <w:t xml:space="preserve"> מק' גמ' מהפרת בעל. מת' שנודרת על דעת בעל נודרת, אבל אין איש מתיר.</w:t>
      </w:r>
    </w:p>
    <w:p w:rsidR="00DE12B4" w:rsidRDefault="00B068AF" w:rsidP="00DE12B4">
      <w:pPr>
        <w:bidi/>
        <w:rPr>
          <w:rtl/>
        </w:rPr>
      </w:pPr>
      <w:r>
        <w:rPr>
          <w:rFonts w:hint="cs"/>
          <w:rtl/>
        </w:rPr>
        <w:t>משמע שזה תנאי. אם כן, יעקור למפרע, כיון שע"מ חל למפרע.</w:t>
      </w:r>
      <w:r w:rsidR="00983152">
        <w:rPr>
          <w:rFonts w:hint="cs"/>
          <w:rtl/>
        </w:rPr>
        <w:t xml:space="preserve"> גמ' אומר שבעל מהני מכאן ולהבא. </w:t>
      </w:r>
      <w:r w:rsidR="00983152">
        <w:rPr>
          <w:rFonts w:hint="cs"/>
          <w:b/>
          <w:bCs/>
          <w:rtl/>
        </w:rPr>
        <w:t>קובץ הערות</w:t>
      </w:r>
      <w:r w:rsidR="00983152">
        <w:rPr>
          <w:rFonts w:hint="cs"/>
          <w:rtl/>
        </w:rPr>
        <w:t xml:space="preserve"> כ' שהוא נדר לזמן. מק' שאז לא יהני בנזירות, שאינו פחות משלשים יום.</w:t>
      </w:r>
      <w:r w:rsidR="00E23484">
        <w:rPr>
          <w:rFonts w:hint="cs"/>
          <w:rtl/>
        </w:rPr>
        <w:t xml:space="preserve"> י"ל שכ' בתורה, ומניחים שתורה אומר אף זה, ומסתמא הוא מפני לא פלוג. </w:t>
      </w:r>
      <w:r w:rsidR="00E02937">
        <w:rPr>
          <w:rFonts w:hint="cs"/>
          <w:rtl/>
        </w:rPr>
        <w:t>גם ק' למה תורה כ' שצ' לשון הפרה וכדומה.</w:t>
      </w:r>
      <w:bookmarkStart w:id="0" w:name="_GoBack"/>
      <w:bookmarkEnd w:id="0"/>
    </w:p>
    <w:p w:rsidR="00AC146D" w:rsidRDefault="00AC146D" w:rsidP="00AC146D">
      <w:pPr>
        <w:bidi/>
        <w:rPr>
          <w:rtl/>
        </w:rPr>
      </w:pPr>
      <w:r>
        <w:rPr>
          <w:rFonts w:hint="cs"/>
          <w:b/>
          <w:bCs/>
          <w:rtl/>
        </w:rPr>
        <w:t>תוס'</w:t>
      </w:r>
      <w:r>
        <w:rPr>
          <w:rFonts w:hint="cs"/>
          <w:rtl/>
        </w:rPr>
        <w:t xml:space="preserve"> מק' בנדה למה צ' שתורה יפרש שבעל מפיר. ת' שצ' לדין קיום.</w:t>
      </w:r>
      <w:r w:rsidR="00A04281">
        <w:rPr>
          <w:rFonts w:hint="cs"/>
          <w:rtl/>
        </w:rPr>
        <w:t xml:space="preserve"> גם ת' שנודרת על דעתו כיון שהוא יכול להפר.</w:t>
      </w:r>
    </w:p>
    <w:p w:rsidR="00DA6ACF" w:rsidRDefault="00DA6ACF" w:rsidP="00DA6ACF">
      <w:pPr>
        <w:bidi/>
        <w:rPr>
          <w:rFonts w:hint="cs"/>
          <w:rtl/>
        </w:rPr>
      </w:pPr>
      <w:r>
        <w:rPr>
          <w:rFonts w:hint="cs"/>
          <w:b/>
          <w:bCs/>
          <w:rtl/>
        </w:rPr>
        <w:t>ר"ן</w:t>
      </w:r>
      <w:r>
        <w:rPr>
          <w:rFonts w:hint="cs"/>
          <w:rtl/>
        </w:rPr>
        <w:t xml:space="preserve"> מביא שי"א שיכול אדם לנדור על דעת חברו, ודוחה </w:t>
      </w:r>
      <w:r w:rsidR="00E5355A">
        <w:rPr>
          <w:rFonts w:hint="cs"/>
          <w:rtl/>
        </w:rPr>
        <w:t>שגזה"כ הוא, אבל תורה זכה לבעל מחמת זה.</w:t>
      </w:r>
      <w:r w:rsidR="002E1718">
        <w:rPr>
          <w:rFonts w:hint="cs"/>
          <w:rtl/>
        </w:rPr>
        <w:t xml:space="preserve"> אז, חולק על תוס', ואומר שהוא רק באישתה. קשה, אז, איך מתרץ גמ' בזה לקידושין דרבנן. </w:t>
      </w:r>
      <w:r w:rsidR="002E1718">
        <w:rPr>
          <w:rFonts w:hint="cs"/>
          <w:b/>
          <w:bCs/>
          <w:rtl/>
        </w:rPr>
        <w:t>ק"ש</w:t>
      </w:r>
      <w:r w:rsidR="002E1718">
        <w:rPr>
          <w:rFonts w:hint="cs"/>
          <w:rtl/>
        </w:rPr>
        <w:t xml:space="preserve"> מבאר שגה"כ חל על אישות דרבנן</w:t>
      </w:r>
      <w:r w:rsidR="00765849">
        <w:rPr>
          <w:rFonts w:hint="cs"/>
          <w:rtl/>
        </w:rPr>
        <w:t>, והוא כל מי שסובר שאיש זה אישתה</w:t>
      </w:r>
      <w:r w:rsidR="002E1718">
        <w:rPr>
          <w:rFonts w:hint="cs"/>
          <w:rtl/>
        </w:rPr>
        <w:t>.</w:t>
      </w:r>
      <w:r w:rsidR="002E1718">
        <w:rPr>
          <w:rStyle w:val="FootnoteReference"/>
          <w:rtl/>
        </w:rPr>
        <w:footnoteReference w:id="1"/>
      </w:r>
      <w:r w:rsidR="00765849">
        <w:rPr>
          <w:rFonts w:hint="cs"/>
          <w:rtl/>
        </w:rPr>
        <w:t xml:space="preserve"> </w:t>
      </w:r>
    </w:p>
    <w:p w:rsidR="00765849" w:rsidRDefault="007371C0" w:rsidP="00765849">
      <w:pPr>
        <w:bidi/>
        <w:rPr>
          <w:rtl/>
        </w:rPr>
      </w:pPr>
      <w:r>
        <w:rPr>
          <w:rFonts w:hint="cs"/>
          <w:rtl/>
        </w:rPr>
        <w:t xml:space="preserve">לר"ן, </w:t>
      </w:r>
      <w:r w:rsidR="00765849">
        <w:rPr>
          <w:rFonts w:hint="cs"/>
          <w:rtl/>
        </w:rPr>
        <w:t>קשה למה אין מאמר של ר"פ דרישת טעם הקרא.</w:t>
      </w:r>
      <w:r w:rsidR="006F60C9">
        <w:rPr>
          <w:rFonts w:hint="cs"/>
          <w:rtl/>
        </w:rPr>
        <w:t xml:space="preserve"> ת' </w:t>
      </w:r>
      <w:r w:rsidR="006F60C9">
        <w:rPr>
          <w:rFonts w:hint="cs"/>
          <w:b/>
          <w:bCs/>
          <w:rtl/>
        </w:rPr>
        <w:t>ברכת אברהם</w:t>
      </w:r>
      <w:r w:rsidR="006F60C9">
        <w:rPr>
          <w:rFonts w:hint="cs"/>
          <w:rtl/>
        </w:rPr>
        <w:t xml:space="preserve"> שלומדים מטעם קרא כדי להוסיף, כמו במ"מ, ורק לא יכולים למעט.</w:t>
      </w:r>
    </w:p>
    <w:p w:rsidR="00E23484" w:rsidRPr="000C1F86" w:rsidRDefault="00E911B7" w:rsidP="00E23484">
      <w:pPr>
        <w:bidi/>
      </w:pPr>
      <w:r>
        <w:rPr>
          <w:rFonts w:hint="cs"/>
          <w:rtl/>
        </w:rPr>
        <w:t>לר"ן, קשה מהו תירוץ גמרא בגיטין.</w:t>
      </w:r>
      <w:r w:rsidR="00320F99">
        <w:rPr>
          <w:rStyle w:val="FootnoteReference"/>
          <w:rtl/>
        </w:rPr>
        <w:footnoteReference w:id="2"/>
      </w:r>
      <w:r w:rsidR="000C1F86">
        <w:rPr>
          <w:rFonts w:hint="cs"/>
          <w:rtl/>
        </w:rPr>
        <w:t xml:space="preserve"> </w:t>
      </w:r>
      <w:r w:rsidR="000C1F86">
        <w:rPr>
          <w:rFonts w:hint="cs"/>
          <w:b/>
          <w:bCs/>
          <w:rtl/>
        </w:rPr>
        <w:t>ברכת אברהם</w:t>
      </w:r>
      <w:r w:rsidR="000C1F86">
        <w:rPr>
          <w:rFonts w:hint="cs"/>
          <w:rtl/>
        </w:rPr>
        <w:t xml:space="preserve"> ת' שכוחו בא מכוחה, ולכן מהני רק אם לדעתו נעשה.</w:t>
      </w:r>
    </w:p>
    <w:sectPr w:rsidR="00E23484" w:rsidRPr="000C1F86">
      <w:pgSz w:w="12240" w:h="15840"/>
      <w:pgMar w:top="1134" w:right="1134" w:bottom="1134" w:left="1134" w:header="0" w:footer="0" w:gutter="0"/>
      <w:cols w:space="720"/>
      <w:formProt w:val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B86" w:rsidRDefault="002C4B86" w:rsidP="002E1718">
      <w:r>
        <w:separator/>
      </w:r>
    </w:p>
  </w:endnote>
  <w:endnote w:type="continuationSeparator" w:id="0">
    <w:p w:rsidR="002C4B86" w:rsidRDefault="002C4B86" w:rsidP="002E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B86" w:rsidRDefault="002C4B86" w:rsidP="002E1718">
      <w:r>
        <w:separator/>
      </w:r>
    </w:p>
  </w:footnote>
  <w:footnote w:type="continuationSeparator" w:id="0">
    <w:p w:rsidR="002C4B86" w:rsidRDefault="002C4B86" w:rsidP="002E1718">
      <w:r>
        <w:continuationSeparator/>
      </w:r>
    </w:p>
  </w:footnote>
  <w:footnote w:id="1">
    <w:p w:rsidR="002E1718" w:rsidRDefault="002E1718" w:rsidP="002E1718">
      <w:pPr>
        <w:pStyle w:val="FootnoteText"/>
        <w:bidi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אף זה צריך פירוש, שלכאורה, לא חושב שהוא אישתה, אלא נודר על דעתו כיון שנותן לו מזון. ותחשב.</w:t>
      </w:r>
    </w:p>
  </w:footnote>
  <w:footnote w:id="2">
    <w:p w:rsidR="00320F99" w:rsidRDefault="00320F99" w:rsidP="00320F99">
      <w:pPr>
        <w:pStyle w:val="FootnoteText"/>
        <w:bidi/>
        <w:rPr>
          <w:rFonts w:hint="cs"/>
          <w:rtl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אין זה כל כך קשה, שיש סיבה שתורה יזכה לו, והוא שנודרת על דעתו.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B25"/>
    <w:rsid w:val="000C1F86"/>
    <w:rsid w:val="002C4B86"/>
    <w:rsid w:val="002E1718"/>
    <w:rsid w:val="00320F99"/>
    <w:rsid w:val="006F12C5"/>
    <w:rsid w:val="006F60C9"/>
    <w:rsid w:val="007371C0"/>
    <w:rsid w:val="00765849"/>
    <w:rsid w:val="00983152"/>
    <w:rsid w:val="00A04281"/>
    <w:rsid w:val="00AB3B25"/>
    <w:rsid w:val="00AC146D"/>
    <w:rsid w:val="00B068AF"/>
    <w:rsid w:val="00DA6ACF"/>
    <w:rsid w:val="00DE12B4"/>
    <w:rsid w:val="00E02937"/>
    <w:rsid w:val="00E23484"/>
    <w:rsid w:val="00E5355A"/>
    <w:rsid w:val="00E9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53A2"/>
  <w15:docId w15:val="{41C47AB6-E4A5-45EE-B589-4EE4366D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Shofar"/>
        <w:kern w:val="2"/>
        <w:sz w:val="24"/>
        <w:szCs w:val="24"/>
        <w:lang w:val="en-US" w:eastAsia="zh-CN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E171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171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17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שי הכהן</cp:lastModifiedBy>
  <cp:revision>18</cp:revision>
  <dcterms:created xsi:type="dcterms:W3CDTF">2023-04-21T01:06:00Z</dcterms:created>
  <dcterms:modified xsi:type="dcterms:W3CDTF">2023-04-21T01:22:00Z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2023-04-20T21:06:29Z</dcterms:modified>
  <cp:revision>1</cp:revision>
  <dc:subject/>
  <dc:title/>
</cp:coreProperties>
</file>