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1"/>
        <w:jc w:val="left"/>
        <w:rPr>
          <w:b/>
          <w:b/>
          <w:bCs/>
        </w:rPr>
      </w:pPr>
      <w:r>
        <w:rPr>
          <w:b/>
          <w:b/>
          <w:bCs/>
          <w:rtl w:val="true"/>
        </w:rPr>
        <w:t>משנה</w:t>
      </w:r>
      <w:r>
        <w:rPr>
          <w:b w:val="false"/>
          <w:b w:val="false"/>
          <w:bCs w:val="false"/>
          <w:rtl w:val="true"/>
        </w:rPr>
        <w:t xml:space="preserve">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כד</w:t>
      </w:r>
      <w:r>
        <w:rPr>
          <w:b w:val="false"/>
          <w:bCs w:val="false"/>
          <w:rtl w:val="true"/>
        </w:rPr>
        <w:t xml:space="preserve">) </w:t>
      </w:r>
      <w:r>
        <w:rPr>
          <w:b w:val="false"/>
          <w:b w:val="false"/>
          <w:bCs w:val="false"/>
          <w:rtl w:val="true"/>
        </w:rPr>
        <w:t>כ’ שאשה עצמה מביאה את גטה ובלבד שהיא אומרת ב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נ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מק’ גמ’ שכבר קבלה גט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גמ’ כ’ שהיא שליח לקבלה עד שבאתה שם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מק’ שלא חזרה שליחות אצל בעל</w:t>
      </w:r>
      <w:r>
        <w:rPr>
          <w:b w:val="false"/>
          <w:bCs w:val="false"/>
          <w:rtl w:val="true"/>
        </w:rPr>
        <w:t xml:space="preserve">. </w:t>
      </w:r>
      <w:r>
        <w:rPr>
          <w:b/>
          <w:b/>
          <w:bCs/>
          <w:rtl w:val="true"/>
        </w:rPr>
        <w:t>רש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 xml:space="preserve">י </w:t>
      </w:r>
      <w:r>
        <w:rPr>
          <w:b w:val="false"/>
          <w:b w:val="false"/>
          <w:bCs w:val="false"/>
          <w:rtl w:val="true"/>
        </w:rPr>
        <w:t>מפרש שצ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 שליח עד שתחזור לבעל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כאן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כבר נעשה בעל מעשה</w:t>
      </w:r>
      <w:r>
        <w:rPr>
          <w:b w:val="false"/>
          <w:bCs w:val="false"/>
          <w:rtl w:val="true"/>
        </w:rPr>
        <w:t xml:space="preserve">. </w:t>
      </w:r>
      <w:r>
        <w:rPr>
          <w:b/>
          <w:b/>
          <w:bCs/>
          <w:rtl w:val="true"/>
        </w:rPr>
        <w:t>תוס’</w:t>
      </w:r>
      <w:r>
        <w:rPr>
          <w:b w:val="false"/>
          <w:b w:val="false"/>
          <w:bCs w:val="false"/>
          <w:rtl w:val="true"/>
        </w:rPr>
        <w:t xml:space="preserve"> כ’ שכבר נעשה שליח לעצמה</w:t>
      </w:r>
      <w:r>
        <w:rPr>
          <w:b w:val="false"/>
          <w:bCs w:val="false"/>
          <w:rtl w:val="true"/>
        </w:rPr>
        <w:t xml:space="preserve">. </w:t>
      </w:r>
    </w:p>
    <w:p>
      <w:pPr>
        <w:pStyle w:val="Normal"/>
        <w:bidi w:val="1"/>
        <w:jc w:val="left"/>
        <w:rPr>
          <w:b/>
          <w:b/>
          <w:bCs/>
        </w:rPr>
      </w:pPr>
      <w:r>
        <w:rPr>
          <w:b w:val="false"/>
          <w:b w:val="false"/>
          <w:bCs w:val="false"/>
          <w:rtl w:val="true"/>
        </w:rPr>
        <w:t>יש להביא קצת ראיה שיש מושג כעין מש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 xml:space="preserve">כ תוס’ מגמ’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סג</w:t>
      </w:r>
      <w:r>
        <w:rPr>
          <w:b w:val="false"/>
          <w:bCs w:val="false"/>
          <w:rtl w:val="true"/>
        </w:rPr>
        <w:t xml:space="preserve">) </w:t>
      </w:r>
      <w:r>
        <w:rPr>
          <w:b w:val="false"/>
          <w:b w:val="false"/>
          <w:bCs w:val="false"/>
          <w:rtl w:val="true"/>
        </w:rPr>
        <w:t>גבי שליח שנעשה שליח להולכה וקבלה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אפשר שרש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 xml:space="preserve">י סובר ששני הפסולים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אם נעשה שליח או בעל מעשה</w:t>
      </w:r>
      <w:r>
        <w:rPr>
          <w:b w:val="false"/>
          <w:bCs w:val="false"/>
          <w:rtl w:val="true"/>
        </w:rPr>
        <w:t xml:space="preserve">) </w:t>
      </w:r>
      <w:r>
        <w:rPr>
          <w:b w:val="false"/>
          <w:b w:val="false"/>
          <w:bCs w:val="false"/>
          <w:rtl w:val="true"/>
        </w:rPr>
        <w:t>הם פסול אחד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והוא שהוא אחר בתוך הציור כשהוא כבר שליח להולכה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צריך ביאור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עדיין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ל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 באר רש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י כתוס’ גבי אשה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>
          <w:b/>
          <w:b/>
          <w:bCs/>
        </w:rPr>
      </w:pPr>
      <w:r>
        <w:rPr>
          <w:b w:val="false"/>
          <w:b w:val="false"/>
          <w:bCs w:val="false"/>
          <w:rtl w:val="true"/>
        </w:rPr>
        <w:t>לזה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אפשר שרש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י ותוס’ לא חולקים בדין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אלא רק נוקטים פסול חלוק בדף כד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עיין בלשון תוס’ סג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שמשמע שיש בעיה אם נעשה שליח אף לענין שום דבר אחר</w:t>
      </w:r>
      <w:r>
        <w:rPr>
          <w:b w:val="false"/>
          <w:bCs w:val="false"/>
          <w:rtl w:val="true"/>
        </w:rPr>
        <w:t>.</w:t>
      </w:r>
      <w:r>
        <w:rPr>
          <w:rStyle w:val="FootnoteAnchor"/>
          <w:b w:val="false"/>
          <w:bCs w:val="false"/>
          <w:rtl w:val="true"/>
        </w:rPr>
        <w:footnoteReference w:id="2"/>
      </w:r>
      <w:r>
        <w:rPr>
          <w:b w:val="false"/>
          <w:bCs w:val="false"/>
          <w:rtl w:val="true"/>
        </w:rPr>
        <w:t xml:space="preserve"> </w:t>
      </w:r>
      <w:r>
        <w:rPr>
          <w:b w:val="false"/>
          <w:b w:val="false"/>
          <w:bCs w:val="false"/>
          <w:rtl w:val="true"/>
        </w:rPr>
        <w:t>גם ממה שאומר</w:t>
      </w:r>
      <w:r>
        <w:rPr>
          <w:b w:val="false"/>
          <w:bCs w:val="false"/>
          <w:rtl w:val="true"/>
        </w:rPr>
        <w:t>, “</w:t>
      </w:r>
      <w:r>
        <w:rPr>
          <w:b w:val="false"/>
          <w:b w:val="false"/>
          <w:bCs w:val="false"/>
          <w:rtl w:val="true"/>
        </w:rPr>
        <w:t>קונ’ לא פ’ כן</w:t>
      </w:r>
      <w:r>
        <w:rPr>
          <w:b w:val="false"/>
          <w:bCs w:val="false"/>
          <w:rtl w:val="true"/>
        </w:rPr>
        <w:t xml:space="preserve">" </w:t>
      </w:r>
      <w:r>
        <w:rPr>
          <w:b w:val="false"/>
          <w:b w:val="false"/>
          <w:bCs w:val="false"/>
          <w:rtl w:val="true"/>
        </w:rPr>
        <w:t>בכד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לא משמע כן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>
          <w:b/>
          <w:b/>
          <w:bCs/>
        </w:rPr>
      </w:pPr>
      <w:r>
        <w:rPr>
          <w:b w:val="false"/>
          <w:b w:val="false"/>
          <w:bCs w:val="false"/>
          <w:rtl w:val="true"/>
        </w:rPr>
        <w:t>אפשר שרש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י פי’ שיש פסול אחד של בע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ד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ופסול בסג הוא מחמת ששלוחו כמותו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גם בזה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היה אפשר לומר שתוס’ לא חולק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אלא שיש שני הבעיות שכ’ לעיל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>
          <w:b/>
          <w:b/>
          <w:bCs/>
        </w:rPr>
      </w:pPr>
      <w:r>
        <w:rPr>
          <w:b w:val="false"/>
          <w:b w:val="false"/>
          <w:bCs w:val="false"/>
          <w:rtl w:val="true"/>
        </w:rPr>
        <w:t>יש להעיר שלכאורה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יש בעיה בכל שליח להולכה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כיון שהוא שליח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 xml:space="preserve">וגם הוא בעל מעשה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של מוליך</w:t>
      </w:r>
      <w:r>
        <w:rPr>
          <w:b w:val="false"/>
          <w:bCs w:val="false"/>
          <w:rtl w:val="true"/>
        </w:rPr>
        <w:t>).</w:t>
      </w:r>
    </w:p>
    <w:p>
      <w:pPr>
        <w:pStyle w:val="Normal"/>
        <w:bidi w:val="1"/>
        <w:jc w:val="left"/>
        <w:rPr>
          <w:b/>
          <w:b/>
          <w:bCs/>
        </w:rPr>
      </w:pPr>
      <w:r>
        <w:rPr>
          <w:b w:val="false"/>
          <w:b w:val="false"/>
          <w:bCs w:val="false"/>
          <w:rtl w:val="true"/>
        </w:rPr>
        <w:t>יש לדון למה תוס’ יחלוק על רש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י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אולי הוא מוכיח כן ממה שאומר גמרא לקמן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שמת’ שאומרת שעושה אחר לקבל גט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אם כן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היא בעל מעשה שם גם כן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אפשר לחלק ששם יש אחר שעושה שליחות לה</w:t>
      </w:r>
      <w:r>
        <w:rPr>
          <w:b w:val="false"/>
          <w:bCs w:val="false"/>
          <w:rtl w:val="true"/>
        </w:rPr>
        <w:t>.</w:t>
      </w:r>
      <w:r>
        <w:rPr>
          <w:rStyle w:val="FootnoteAnchor"/>
          <w:b w:val="false"/>
          <w:bCs w:val="false"/>
          <w:rtl w:val="true"/>
        </w:rPr>
        <w:footnoteReference w:id="3"/>
      </w:r>
    </w:p>
    <w:p>
      <w:pPr>
        <w:pStyle w:val="Normal"/>
        <w:bidi w:val="1"/>
        <w:jc w:val="left"/>
        <w:rPr>
          <w:b/>
          <w:b/>
          <w:bCs/>
        </w:rPr>
      </w:pPr>
      <w:r>
        <w:rPr>
          <w:b w:val="false"/>
          <w:b w:val="false"/>
          <w:bCs w:val="false"/>
          <w:rtl w:val="true"/>
        </w:rPr>
        <w:t>בביאור למה פסול אם היא שליח לשני בני אדם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אפשר שהולכה וקבלה סותרים זא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ז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אי אפשר להיות שליח לשניהם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אם כן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הוא רק בשליח לקבלה והולכה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אבל תוס’ בסג משמע שהוא אף בשליח לשני דברים שאינם שייכים זל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ז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באמת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היה אפשר להק’ ממשנה שאומ’ שיכול שליח להיות שליח לשני בני אדם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אז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צריך לומר שתוס’ לא פוסל כל שליח לשני דברים</w:t>
      </w:r>
      <w:r>
        <w:rPr>
          <w:b w:val="false"/>
          <w:bCs w:val="false"/>
          <w:rtl w:val="true"/>
        </w:rPr>
        <w:t>.</w:t>
      </w:r>
      <w:r>
        <w:rPr>
          <w:rStyle w:val="FootnoteAnchor"/>
          <w:b w:val="false"/>
          <w:bCs w:val="false"/>
          <w:rtl w:val="true"/>
        </w:rPr>
        <w:footnoteReference w:id="4"/>
      </w:r>
    </w:p>
    <w:p>
      <w:pPr>
        <w:pStyle w:val="Normal"/>
        <w:bidi w:val="1"/>
        <w:jc w:val="left"/>
        <w:rPr>
          <w:b/>
          <w:b/>
          <w:bCs/>
        </w:rPr>
      </w:pPr>
      <w:r>
        <w:rPr>
          <w:b w:val="false"/>
          <w:b w:val="false"/>
          <w:bCs w:val="false"/>
          <w:rtl w:val="true"/>
        </w:rPr>
        <w:t>גם אפשר שתוס’ לא סובר כרש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י מחמת סברה שלו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והוא שכיון שדין זה הוא מחודש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לא נניח שהוא במקום אחר ממקום שמצאנו אותו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כיון שאפשר שהוא רק בשליחות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שאפשר כצד שכ’ לעיל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לא נלמד לומר כרש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י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>
          <w:b/>
          <w:b/>
          <w:bCs/>
        </w:rPr>
      </w:pPr>
      <w:r>
        <w:rPr>
          <w:b/>
          <w:b/>
          <w:bCs/>
          <w:rtl w:val="true"/>
        </w:rPr>
        <w:t>אבני מלואים</w:t>
      </w:r>
      <w:r>
        <w:rPr>
          <w:b w:val="false"/>
          <w:b w:val="false"/>
          <w:bCs w:val="false"/>
          <w:rtl w:val="true"/>
        </w:rPr>
        <w:t xml:space="preserve"> כ’ שרש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י לא פ’ כתוס’ מח’ ק’ רשב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א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והוא שגמ’ מניח בפשטות שיש בעיה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אבל בסג מסופק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אז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יש לומר שרש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י סובר שכאן בבע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מ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וכאן בשליח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הסברה לומר שהוא רק בבעל מעשה הוא אולי שאולי צריך שני דברים שעושה שהם חשובים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אבל לא לשליח ושליח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 xml:space="preserve">אלא לבעל מעשה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אולי מסופק אם שליח כבעל מעשה או אם צריך בעל מעשה</w:t>
      </w:r>
      <w:r>
        <w:rPr>
          <w:b w:val="false"/>
          <w:bCs w:val="false"/>
          <w:rtl w:val="true"/>
        </w:rPr>
        <w:t xml:space="preserve">). </w:t>
      </w:r>
      <w:r>
        <w:rPr>
          <w:b w:val="false"/>
          <w:b w:val="false"/>
          <w:bCs w:val="false"/>
          <w:rtl w:val="true"/>
        </w:rPr>
        <w:t>אפשר שמסופק אם ענין בעל מעשה הוא אם עושה החלות או שלו הוא החלות</w:t>
      </w:r>
      <w:r>
        <w:rPr>
          <w:b w:val="false"/>
          <w:bCs w:val="false"/>
          <w:rtl w:val="true"/>
        </w:rPr>
        <w:t xml:space="preserve">. </w:t>
      </w:r>
      <w:r>
        <w:rPr>
          <w:b/>
          <w:b/>
          <w:bCs/>
          <w:rtl w:val="true"/>
        </w:rPr>
        <w:t xml:space="preserve">תוס’ </w:t>
      </w:r>
      <w:r>
        <w:rPr>
          <w:b w:val="false"/>
          <w:b w:val="false"/>
          <w:bCs w:val="false"/>
          <w:rtl w:val="true"/>
        </w:rPr>
        <w:t>יבאר כרשב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א שכ’ שמה שגמ’ מסופק הוא אם צ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ל חוזר בשעת מינוי או בסוף</w:t>
      </w:r>
      <w:r>
        <w:rPr>
          <w:b w:val="false"/>
          <w:bCs w:val="false"/>
          <w:rtl w:val="true"/>
        </w:rPr>
        <w:t>.</w:t>
      </w:r>
    </w:p>
    <w:p>
      <w:pPr>
        <w:pStyle w:val="Normal"/>
        <w:bidi w:val="1"/>
        <w:jc w:val="left"/>
        <w:rPr>
          <w:b/>
          <w:b/>
          <w:bCs/>
        </w:rPr>
      </w:pPr>
      <w:r>
        <w:rPr>
          <w:b/>
          <w:b/>
          <w:bCs/>
          <w:rtl w:val="true"/>
        </w:rPr>
        <w:t>ריטב</w:t>
      </w:r>
      <w:r>
        <w:rPr>
          <w:b/>
          <w:bCs/>
          <w:rtl w:val="true"/>
        </w:rPr>
        <w:t>"</w:t>
      </w:r>
      <w:r>
        <w:rPr>
          <w:b/>
          <w:b/>
          <w:bCs/>
          <w:rtl w:val="true"/>
        </w:rPr>
        <w:t xml:space="preserve">א </w:t>
      </w:r>
      <w:r>
        <w:rPr>
          <w:b w:val="false"/>
          <w:b w:val="false"/>
          <w:bCs w:val="false"/>
          <w:rtl w:val="true"/>
        </w:rPr>
        <w:t xml:space="preserve">כ’ </w:t>
      </w:r>
      <w:r>
        <w:rPr>
          <w:b w:val="false"/>
          <w:bCs w:val="false"/>
          <w:rtl w:val="true"/>
        </w:rPr>
        <w:t>(</w:t>
      </w:r>
      <w:r>
        <w:rPr>
          <w:b w:val="false"/>
          <w:b w:val="false"/>
          <w:bCs w:val="false"/>
          <w:rtl w:val="true"/>
        </w:rPr>
        <w:t>ומביא גי’ אחרת לסמך לזה</w:t>
      </w:r>
      <w:r>
        <w:rPr>
          <w:b w:val="false"/>
          <w:bCs w:val="false"/>
          <w:rtl w:val="true"/>
        </w:rPr>
        <w:t xml:space="preserve">) </w:t>
      </w:r>
      <w:r>
        <w:rPr>
          <w:b w:val="false"/>
          <w:b w:val="false"/>
          <w:bCs w:val="false"/>
          <w:rtl w:val="true"/>
        </w:rPr>
        <w:t>שהבעיה הוא שבטל שליחותו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ואז לא נותנו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לכאורה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הוא מפני שאמר לשון</w:t>
      </w:r>
      <w:r>
        <w:rPr>
          <w:b w:val="false"/>
          <w:bCs w:val="false"/>
          <w:rtl w:val="true"/>
        </w:rPr>
        <w:t>, “</w:t>
      </w:r>
      <w:r>
        <w:rPr>
          <w:b w:val="false"/>
          <w:b w:val="false"/>
          <w:bCs w:val="false"/>
          <w:rtl w:val="true"/>
        </w:rPr>
        <w:t>עד דמטית…</w:t>
      </w:r>
      <w:r>
        <w:rPr>
          <w:b w:val="false"/>
          <w:bCs w:val="false"/>
          <w:rtl w:val="true"/>
        </w:rPr>
        <w:t xml:space="preserve">.” </w:t>
      </w:r>
      <w:r>
        <w:rPr>
          <w:b w:val="false"/>
          <w:b w:val="false"/>
          <w:bCs w:val="false"/>
          <w:rtl w:val="true"/>
        </w:rPr>
        <w:t>ק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ק שההוה אמינא לפני זה בגמרא יש בו בעיה של טלי גטך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ואז צריך לומר שהיה אותו קושיה שני פעמים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ושינה לשון ת’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גם ק’ מהו הת’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גם ק’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מהו הבעיה בסג</w:t>
      </w:r>
      <w:r>
        <w:rPr>
          <w:b w:val="false"/>
          <w:bCs w:val="false"/>
          <w:rtl w:val="true"/>
        </w:rPr>
        <w:t xml:space="preserve">. </w:t>
      </w:r>
      <w:r>
        <w:rPr>
          <w:b w:val="false"/>
          <w:b w:val="false"/>
          <w:bCs w:val="false"/>
          <w:rtl w:val="true"/>
        </w:rPr>
        <w:t>לכאורה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צריך לומר שמה שנעשה שליח או בעל מעשה מנתק שליחותו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ואז לא בא מן השליח</w:t>
      </w:r>
      <w:r>
        <w:rPr>
          <w:b w:val="false"/>
          <w:bCs w:val="false"/>
          <w:rtl w:val="true"/>
        </w:rPr>
        <w:t xml:space="preserve">, </w:t>
      </w:r>
      <w:r>
        <w:rPr>
          <w:b w:val="false"/>
          <w:b w:val="false"/>
          <w:bCs w:val="false"/>
          <w:rtl w:val="true"/>
        </w:rPr>
        <w:t>שבטל שלחותו</w:t>
      </w:r>
      <w:r>
        <w:rPr>
          <w:b w:val="false"/>
          <w:bCs w:val="false"/>
          <w:rtl w:val="true"/>
        </w:rPr>
        <w:t>.</w:t>
      </w:r>
      <w:r>
        <w:rPr>
          <w:rStyle w:val="FootnoteAnchor"/>
          <w:b w:val="false"/>
          <w:bCs w:val="false"/>
          <w:rtl w:val="true"/>
        </w:rPr>
        <w:footnoteReference w:id="5"/>
      </w:r>
      <w:r>
        <w:rPr>
          <w:b w:val="false"/>
          <w:bCs w:val="false"/>
          <w:rtl w:val="true"/>
        </w:rPr>
        <w:t xml:space="preserve"> (</w:t>
      </w:r>
      <w:r>
        <w:rPr>
          <w:b w:val="false"/>
          <w:b w:val="false"/>
          <w:bCs w:val="false"/>
          <w:rtl w:val="true"/>
        </w:rPr>
        <w:t>עדיין ק’ ראשונה ק</w:t>
      </w:r>
      <w:r>
        <w:rPr>
          <w:b w:val="false"/>
          <w:bCs w:val="false"/>
          <w:rtl w:val="true"/>
        </w:rPr>
        <w:t>"</w:t>
      </w:r>
      <w:r>
        <w:rPr>
          <w:b w:val="false"/>
          <w:b w:val="false"/>
          <w:bCs w:val="false"/>
          <w:rtl w:val="true"/>
        </w:rPr>
        <w:t>ק</w:t>
      </w:r>
      <w:r>
        <w:rPr>
          <w:b w:val="false"/>
          <w:bCs w:val="false"/>
          <w:rtl w:val="true"/>
        </w:rPr>
        <w:t>).</w:t>
      </w:r>
    </w:p>
    <w:sectPr>
      <w:footnotePr>
        <w:numFmt w:val="decimal"/>
      </w:footnote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default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pPr>
        <w:rPr>
          <w:sz w:val="12"/>
        </w:rPr>
      </w:pPr>
      <w:r>
        <w:separator/>
      </w:r>
    </w:p>
  </w:footnote>
  <w:footnote w:id="1" w:type="continuationSeparator">
    <w:p>
      <w:pPr>
        <w:rPr>
          <w:sz w:val="12"/>
        </w:rPr>
      </w:pPr>
      <w:r>
        <w:continuationSeparator/>
      </w:r>
    </w:p>
  </w:footnote>
  <w:footnote w:id="2">
    <w:p>
      <w:pPr>
        <w:pStyle w:val="Footnot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לא נראה שהוא נכון בזה</w:t>
      </w:r>
      <w:r>
        <w:rPr>
          <w:rtl w:val="true"/>
        </w:rPr>
        <w:t xml:space="preserve">, </w:t>
      </w:r>
      <w:r>
        <w:rPr>
          <w:rtl w:val="true"/>
        </w:rPr>
        <w:t>שנראה שאין זה הדין</w:t>
      </w:r>
      <w:r>
        <w:rPr>
          <w:rtl w:val="true"/>
        </w:rPr>
        <w:t>.</w:t>
      </w:r>
    </w:p>
  </w:footnote>
  <w:footnote w:id="3">
    <w:p>
      <w:pPr>
        <w:pStyle w:val="Footnot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יש לדון</w:t>
      </w:r>
      <w:r>
        <w:rPr>
          <w:rtl w:val="true"/>
        </w:rPr>
        <w:t xml:space="preserve">, </w:t>
      </w:r>
      <w:r>
        <w:rPr>
          <w:rtl w:val="true"/>
        </w:rPr>
        <w:t>שכאן כ’</w:t>
      </w:r>
      <w:r>
        <w:rPr>
          <w:rtl w:val="true"/>
        </w:rPr>
        <w:t xml:space="preserve">, </w:t>
      </w:r>
      <w:r>
        <w:rPr>
          <w:rtl w:val="true"/>
        </w:rPr>
        <w:t>על כל פנים בתוס’</w:t>
      </w:r>
      <w:r>
        <w:rPr>
          <w:rtl w:val="true"/>
        </w:rPr>
        <w:t xml:space="preserve">, </w:t>
      </w:r>
      <w:r>
        <w:rPr>
          <w:rtl w:val="true"/>
        </w:rPr>
        <w:t>שהיא שליח לעצמה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 xml:space="preserve">, </w:t>
      </w:r>
      <w:r>
        <w:rPr>
          <w:rtl w:val="true"/>
        </w:rPr>
        <w:t>שאולי רש</w:t>
      </w:r>
      <w:r>
        <w:rPr>
          <w:rtl w:val="true"/>
        </w:rPr>
        <w:t>"</w:t>
      </w:r>
      <w:r>
        <w:rPr>
          <w:rtl w:val="true"/>
        </w:rPr>
        <w:t>י אינו מודה לזה</w:t>
      </w:r>
      <w:r>
        <w:rPr>
          <w:rtl w:val="true"/>
        </w:rPr>
        <w:t xml:space="preserve">. </w:t>
      </w:r>
      <w:r>
        <w:rPr>
          <w:rtl w:val="true"/>
        </w:rPr>
        <w:t>באמת</w:t>
      </w:r>
      <w:r>
        <w:rPr>
          <w:rtl w:val="true"/>
        </w:rPr>
        <w:t xml:space="preserve">, </w:t>
      </w:r>
      <w:r>
        <w:rPr>
          <w:rtl w:val="true"/>
        </w:rPr>
        <w:t>לא הבנתי מה אומר שהיא שליח לעצמה</w:t>
      </w:r>
      <w:r>
        <w:rPr>
          <w:rtl w:val="true"/>
        </w:rPr>
        <w:t xml:space="preserve">, </w:t>
      </w:r>
      <w:r>
        <w:rPr>
          <w:rtl w:val="true"/>
        </w:rPr>
        <w:t>שאין לזה כל כך הבנה</w:t>
      </w:r>
      <w:r>
        <w:rPr>
          <w:rtl w:val="true"/>
        </w:rPr>
        <w:t>.</w:t>
      </w:r>
    </w:p>
  </w:footnote>
  <w:footnote w:id="4">
    <w:p>
      <w:pPr>
        <w:pStyle w:val="Footnot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יש לדון</w:t>
      </w:r>
      <w:r>
        <w:rPr>
          <w:rtl w:val="true"/>
        </w:rPr>
        <w:t xml:space="preserve">, </w:t>
      </w:r>
      <w:r>
        <w:rPr>
          <w:rtl w:val="true"/>
        </w:rPr>
        <w:t>שאולי צריך להיות שני דברים חלוקים</w:t>
      </w:r>
      <w:r>
        <w:rPr>
          <w:rtl w:val="true"/>
        </w:rPr>
        <w:t>.</w:t>
      </w:r>
    </w:p>
  </w:footnote>
  <w:footnote w:id="5">
    <w:p>
      <w:pPr>
        <w:pStyle w:val="Footnot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כיון שהגענו לזה</w:t>
      </w:r>
      <w:r>
        <w:rPr>
          <w:rtl w:val="true"/>
        </w:rPr>
        <w:t xml:space="preserve">, </w:t>
      </w:r>
      <w:r>
        <w:rPr>
          <w:rtl w:val="true"/>
        </w:rPr>
        <w:t>היה נראה לומר שלא חולק ריטב</w:t>
      </w:r>
      <w:r>
        <w:rPr>
          <w:rtl w:val="true"/>
        </w:rPr>
        <w:t>"</w:t>
      </w:r>
      <w:r>
        <w:rPr>
          <w:rtl w:val="true"/>
        </w:rPr>
        <w:t>א על שאר ראשונים</w:t>
      </w:r>
      <w:r>
        <w:rPr>
          <w:rtl w:val="true"/>
        </w:rPr>
        <w:t xml:space="preserve">, </w:t>
      </w:r>
      <w:r>
        <w:rPr>
          <w:rtl w:val="true"/>
        </w:rPr>
        <w:t>שהם מבארים למה אין שליחות</w:t>
      </w:r>
      <w:r>
        <w:rPr>
          <w:rtl w:val="true"/>
        </w:rPr>
        <w:t xml:space="preserve">, </w:t>
      </w:r>
      <w:r>
        <w:rPr>
          <w:rtl w:val="true"/>
        </w:rPr>
        <w:t>וריטב</w:t>
      </w:r>
      <w:r>
        <w:rPr>
          <w:rtl w:val="true"/>
        </w:rPr>
        <w:t>"</w:t>
      </w:r>
      <w:r>
        <w:rPr>
          <w:rtl w:val="true"/>
        </w:rPr>
        <w:t>א מבאר למה צריך שליחות</w:t>
      </w:r>
      <w:r>
        <w:rPr>
          <w:rtl w:val="true"/>
        </w:rPr>
        <w:t>.</w:t>
      </w:r>
    </w:p>
  </w:footnote>
</w:footnotes>
</file>

<file path=word/settings.xml><?xml version="1.0" encoding="utf-8"?>
<w:settings xmlns:w="http://schemas.openxmlformats.org/wordprocessingml/2006/main">
  <w:zoom w:percent="140"/>
  <w:defaultTabStop w:val="709"/>
  <w:autoHyphenation w:val="true"/>
  <w:footnotePr>
    <w:numFmt w:val="decimal"/>
    <w:footnote w:id="0"/>
    <w:footnote w:id="1"/>
  </w:foot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Shofar"/>
        <w:kern w:val="2"/>
        <w:sz w:val="24"/>
        <w:szCs w:val="24"/>
        <w:lang w:val="en-US" w:eastAsia="zh-CN" w:bidi="he-IL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NSimSun" w:cs="Shofar"/>
      <w:color w:val="auto"/>
      <w:kern w:val="2"/>
      <w:sz w:val="24"/>
      <w:szCs w:val="24"/>
      <w:lang w:val="en-US" w:eastAsia="zh-CN" w:bidi="he-IL"/>
    </w:rPr>
  </w:style>
  <w:style w:type="character" w:styleId="FootnoteCharacters">
    <w:name w:val="Footnote Characters"/>
    <w:qFormat/>
    <w:rPr/>
  </w:style>
  <w:style w:type="character" w:styleId="FootnoteAnchor">
    <w:name w:val="Footnote Anchor"/>
    <w:rPr>
      <w:vertAlign w:val="superscript"/>
    </w:rPr>
  </w:style>
  <w:style w:type="character" w:styleId="EndnoteAnchor">
    <w:name w:val="Endnote Anchor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Times New Roman" w:hAnsi="Times New Roman" w:eastAsia="Microsoft YaHei" w:cs="Shofar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ascii="Times New Roman" w:hAnsi="Times New Roman" w:cs="Shofar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 w:cs="Shofar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Times New Roman" w:hAnsi="Times New Roman" w:cs="Shofar"/>
      <w:lang w:val="zxx" w:eastAsia="zxx" w:bidi="zxx"/>
    </w:rPr>
  </w:style>
  <w:style w:type="paragraph" w:styleId="Footnote">
    <w:name w:val="Footnote Text"/>
    <w:basedOn w:val="Normal"/>
    <w:pPr>
      <w:suppressLineNumbers/>
      <w:ind w:left="340" w:hanging="34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22</TotalTime>
  <Application>LibreOffice/7.3.2.2$Windows_X86_64 LibreOffice_project/49f2b1bff42cfccbd8f788c8dc32c1c309559be0</Application>
  <AppVersion>15.0000</AppVersion>
  <Pages>1</Pages>
  <Words>552</Words>
  <Characters>2188</Characters>
  <CharactersWithSpaces>2727</CharactersWithSpaces>
  <Paragraphs>14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2023-02-02T21:32:02Z</dcterms:created>
  <dc:creator/>
  <dc:description/>
  <dc:language>en-US</dc:language>
  <cp:lastModifiedBy/>
  <dcterms:modified xsi:type="dcterms:W3CDTF">2023-02-02T21:54:21Z</dcterms:modified>
  <cp:revision>28</cp:revision>
  <dc:subject/>
  <dc:title/>
</cp:coreProperties>
</file>