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7D7" w:rsidRDefault="007A08DD" w:rsidP="009F3E76">
      <w:pPr>
        <w:spacing w:after="0" w:line="240" w:lineRule="auto"/>
        <w:rPr>
          <w:rFonts w:ascii="Shofar" w:hAnsi="Shofar" w:cs="Shofar"/>
          <w:rtl/>
        </w:rPr>
      </w:pPr>
      <w:r w:rsidRPr="00213FE2">
        <w:rPr>
          <w:rFonts w:ascii="Shofar" w:hAnsi="Shofar" w:cs="Shofar"/>
          <w:b/>
          <w:bCs/>
          <w:rtl/>
        </w:rPr>
        <w:t>גמרא</w:t>
      </w:r>
      <w:r w:rsidRPr="00213FE2">
        <w:rPr>
          <w:rFonts w:ascii="Shofar" w:hAnsi="Shofar" w:cs="Shofar"/>
          <w:rtl/>
        </w:rPr>
        <w:t xml:space="preserve"> אומר שאילו לא אמר ר"י שקנין פירות כקנין הגוף, לא מצא ידיו ורגליו בבית מדרש, שאומר שאין ברירה, ואחים שחלקו לקוחות. אם אינו כקנין הגוף, אין מי שיביא ביכורים ח</w:t>
      </w:r>
      <w:r w:rsidR="00213FE2">
        <w:rPr>
          <w:rFonts w:ascii="Shofar" w:hAnsi="Shofar" w:cs="Shofar"/>
          <w:rtl/>
        </w:rPr>
        <w:t>וץ מחד בן חד מימות יהושע בן נון</w:t>
      </w:r>
      <w:r w:rsidR="00213FE2">
        <w:rPr>
          <w:rFonts w:ascii="Shofar" w:hAnsi="Shofar" w:cs="Shofar" w:hint="cs"/>
          <w:rtl/>
        </w:rPr>
        <w:t>, שלא יכולים להודות לה' על הארץ שנתן לנו.</w:t>
      </w:r>
    </w:p>
    <w:p w:rsidR="00CE0323" w:rsidRDefault="00CE0323" w:rsidP="009F3E76">
      <w:pPr>
        <w:spacing w:after="0" w:line="240" w:lineRule="auto"/>
        <w:rPr>
          <w:rFonts w:ascii="Shofar" w:hAnsi="Shofar" w:cs="Shofar"/>
          <w:rtl/>
        </w:rPr>
      </w:pPr>
      <w:r>
        <w:rPr>
          <w:rFonts w:ascii="Shofar" w:hAnsi="Shofar" w:cs="Shofar" w:hint="cs"/>
          <w:rtl/>
        </w:rPr>
        <w:t xml:space="preserve">הק' </w:t>
      </w:r>
      <w:r>
        <w:rPr>
          <w:rFonts w:ascii="Shofar" w:hAnsi="Shofar" w:cs="Shofar" w:hint="cs"/>
          <w:b/>
          <w:bCs/>
          <w:rtl/>
        </w:rPr>
        <w:t>תוס'</w:t>
      </w:r>
      <w:r>
        <w:rPr>
          <w:rFonts w:ascii="Shofar" w:hAnsi="Shofar" w:cs="Shofar" w:hint="cs"/>
          <w:rtl/>
        </w:rPr>
        <w:t xml:space="preserve"> ש</w:t>
      </w:r>
      <w:r>
        <w:rPr>
          <w:rFonts w:ascii="Shofar" w:hAnsi="Shofar" w:cs="Shofar" w:hint="cs"/>
          <w:b/>
          <w:bCs/>
          <w:rtl/>
        </w:rPr>
        <w:t>גמ'</w:t>
      </w:r>
      <w:r>
        <w:rPr>
          <w:rFonts w:ascii="Shofar" w:hAnsi="Shofar" w:cs="Shofar" w:hint="cs"/>
          <w:rtl/>
        </w:rPr>
        <w:t xml:space="preserve"> פוסק כר"ל, שקנין פירות לאו כקנין הגוף, ושאחים שחלקו לקוחות הם.</w:t>
      </w:r>
      <w:r w:rsidR="00F2033A">
        <w:rPr>
          <w:rFonts w:ascii="Shofar" w:hAnsi="Shofar" w:cs="Shofar" w:hint="cs"/>
          <w:rtl/>
        </w:rPr>
        <w:t xml:space="preserve"> ת' שהל' כר"ל רק בכותב נכסיו לבניו</w:t>
      </w:r>
      <w:r w:rsidR="00C250BB">
        <w:rPr>
          <w:rFonts w:ascii="Shofar" w:hAnsi="Shofar" w:cs="Shofar" w:hint="cs"/>
          <w:rtl/>
        </w:rPr>
        <w:t>, שאבא לגבי ברא מוחל</w:t>
      </w:r>
      <w:r w:rsidR="007C0844">
        <w:rPr>
          <w:rStyle w:val="FootnoteReference"/>
          <w:rFonts w:ascii="Shofar" w:hAnsi="Shofar" w:cs="Shofar"/>
          <w:rtl/>
        </w:rPr>
        <w:footnoteReference w:id="1"/>
      </w:r>
      <w:r w:rsidR="00C250BB">
        <w:rPr>
          <w:rFonts w:ascii="Shofar" w:hAnsi="Shofar" w:cs="Shofar" w:hint="cs"/>
          <w:rtl/>
        </w:rPr>
        <w:t>, אבל לא בירושה.</w:t>
      </w:r>
      <w:r w:rsidR="00556294">
        <w:rPr>
          <w:rFonts w:ascii="Shofar" w:hAnsi="Shofar" w:cs="Shofar" w:hint="cs"/>
          <w:rtl/>
        </w:rPr>
        <w:t xml:space="preserve"> מז' שרבא אומר שקרא ומתניתא מסייע לר"ל, והוא </w:t>
      </w:r>
      <w:r w:rsidR="00B15FEB">
        <w:rPr>
          <w:rFonts w:ascii="Shofar" w:hAnsi="Shofar" w:cs="Shofar" w:hint="cs"/>
          <w:rtl/>
        </w:rPr>
        <w:t>מי שפוסק שאחים שחלקו לקוחות הם. מבאר שאולי אף שמצא קרא ומתניתא כר"ל, לא פסק כן, או שאף שהם לקוחות, לא מחזירים זל"ז ביובל, כיון שיורשים.</w:t>
      </w:r>
    </w:p>
    <w:p w:rsidR="00E956F4" w:rsidRDefault="00E956F4" w:rsidP="009F3E76">
      <w:pPr>
        <w:spacing w:after="0" w:line="240" w:lineRule="auto"/>
        <w:rPr>
          <w:rFonts w:ascii="Shofar" w:hAnsi="Shofar" w:cs="Shofar"/>
          <w:rtl/>
        </w:rPr>
      </w:pPr>
      <w:r>
        <w:rPr>
          <w:rFonts w:ascii="Shofar" w:hAnsi="Shofar" w:cs="Shofar" w:hint="cs"/>
          <w:rtl/>
        </w:rPr>
        <w:t>יש להק' על ת' ראשון של תוס', שנ' שגמ' משמע שאומר שקנין פירות לאו כקנין הגוף בבעל בנכסי אשתו.</w:t>
      </w:r>
    </w:p>
    <w:p w:rsidR="008A6C79" w:rsidRDefault="008A6C79" w:rsidP="009F3E76">
      <w:pPr>
        <w:spacing w:after="0" w:line="240" w:lineRule="auto"/>
        <w:rPr>
          <w:rFonts w:ascii="Shofar" w:hAnsi="Shofar" w:cs="Shofar"/>
          <w:rtl/>
        </w:rPr>
      </w:pPr>
      <w:r>
        <w:rPr>
          <w:rFonts w:ascii="Shofar" w:hAnsi="Shofar" w:cs="Shofar" w:hint="cs"/>
          <w:b/>
          <w:bCs/>
          <w:rtl/>
        </w:rPr>
        <w:t xml:space="preserve">רמב"ם </w:t>
      </w:r>
      <w:r>
        <w:rPr>
          <w:rFonts w:ascii="Shofar" w:hAnsi="Shofar" w:cs="Shofar" w:hint="cs"/>
          <w:rtl/>
        </w:rPr>
        <w:t>פסק</w:t>
      </w:r>
      <w:r w:rsidR="00072D22">
        <w:rPr>
          <w:rFonts w:ascii="Shofar" w:hAnsi="Shofar" w:cs="Shofar" w:hint="cs"/>
          <w:rtl/>
        </w:rPr>
        <w:t xml:space="preserve"> שקנין פירות לאו כקנין הגוף דמי בכל דין.</w:t>
      </w:r>
      <w:r w:rsidR="00D710A6">
        <w:rPr>
          <w:rFonts w:ascii="Shofar" w:hAnsi="Shofar" w:cs="Shofar" w:hint="cs"/>
          <w:rtl/>
        </w:rPr>
        <w:t xml:space="preserve"> גם פסק שאחרים שחלקו לקוחות הם ומחזירים זל"ז ביובל. אז, ק' גמ' עדיין קשה עליו.</w:t>
      </w:r>
    </w:p>
    <w:p w:rsidR="002A7892" w:rsidRDefault="002A7892" w:rsidP="009906CC">
      <w:pPr>
        <w:spacing w:after="0" w:line="240" w:lineRule="auto"/>
        <w:rPr>
          <w:rFonts w:ascii="Shofar" w:hAnsi="Shofar" w:cs="Shofar"/>
          <w:rtl/>
        </w:rPr>
      </w:pPr>
      <w:r>
        <w:rPr>
          <w:rFonts w:ascii="Shofar" w:hAnsi="Shofar" w:cs="Shofar" w:hint="cs"/>
          <w:b/>
          <w:bCs/>
          <w:rtl/>
        </w:rPr>
        <w:t>לח"ם</w:t>
      </w:r>
      <w:r>
        <w:rPr>
          <w:rFonts w:ascii="Shofar" w:hAnsi="Shofar" w:cs="Shofar" w:hint="cs"/>
          <w:rtl/>
        </w:rPr>
        <w:t xml:space="preserve"> פ' שאף שמחזירים, </w:t>
      </w:r>
      <w:r w:rsidR="00F242FF">
        <w:rPr>
          <w:rFonts w:ascii="Shofar" w:hAnsi="Shofar" w:cs="Shofar" w:hint="cs"/>
          <w:rtl/>
        </w:rPr>
        <w:t>מניחים שנותנים קנין פירות לאחיו כדי לקיים מצוות ביכורים.</w:t>
      </w:r>
      <w:r w:rsidR="00332273">
        <w:rPr>
          <w:rFonts w:ascii="Shofar" w:hAnsi="Shofar" w:cs="Shofar" w:hint="cs"/>
          <w:rtl/>
        </w:rPr>
        <w:t xml:space="preserve"> מקורו ה</w:t>
      </w:r>
      <w:r w:rsidR="00CB504E">
        <w:rPr>
          <w:rFonts w:ascii="Shofar" w:hAnsi="Shofar" w:cs="Shofar" w:hint="cs"/>
          <w:rtl/>
        </w:rPr>
        <w:t>וא מפסק של גמ' כשני הדינים שאמר רבא. לכאורה, כוונתו לומר שרבא סובר כן, ורבא חולק על מש"א גמ' שלא היה יכול ר"י למצוא ידיו ורגליו בבית מדרש.</w:t>
      </w:r>
      <w:r w:rsidR="001130A0">
        <w:rPr>
          <w:rFonts w:ascii="Shofar" w:hAnsi="Shofar" w:cs="Shofar" w:hint="cs"/>
          <w:rtl/>
        </w:rPr>
        <w:t xml:space="preserve"> פסק כרבא.</w:t>
      </w:r>
    </w:p>
    <w:p w:rsidR="004D6508" w:rsidRDefault="004D6508" w:rsidP="009906CC">
      <w:pPr>
        <w:spacing w:after="0" w:line="240" w:lineRule="auto"/>
        <w:rPr>
          <w:rFonts w:ascii="Shofar" w:hAnsi="Shofar" w:cs="Shofar"/>
          <w:rtl/>
        </w:rPr>
      </w:pPr>
      <w:r>
        <w:rPr>
          <w:rFonts w:ascii="Shofar" w:hAnsi="Shofar" w:cs="Shofar" w:hint="cs"/>
          <w:rtl/>
        </w:rPr>
        <w:t xml:space="preserve">חלקו </w:t>
      </w:r>
      <w:r>
        <w:rPr>
          <w:rFonts w:ascii="Shofar" w:hAnsi="Shofar" w:cs="Shofar" w:hint="cs"/>
          <w:b/>
          <w:bCs/>
          <w:rtl/>
        </w:rPr>
        <w:t xml:space="preserve">רש"י </w:t>
      </w:r>
      <w:r>
        <w:rPr>
          <w:rFonts w:ascii="Shofar" w:hAnsi="Shofar" w:cs="Shofar" w:hint="cs"/>
          <w:rtl/>
        </w:rPr>
        <w:t>ו</w:t>
      </w:r>
      <w:r>
        <w:rPr>
          <w:rFonts w:ascii="Shofar" w:hAnsi="Shofar" w:cs="Shofar" w:hint="cs"/>
          <w:b/>
          <w:bCs/>
          <w:rtl/>
        </w:rPr>
        <w:t>תוס'</w:t>
      </w:r>
      <w:r>
        <w:rPr>
          <w:rFonts w:ascii="Shofar" w:hAnsi="Shofar" w:cs="Shofar" w:hint="cs"/>
          <w:rtl/>
        </w:rPr>
        <w:t xml:space="preserve"> בביאור "אחים שחלקן לקוחות." רש"י מבאר שהם שותפים בכל הירושה.</w:t>
      </w:r>
      <w:r w:rsidR="00542081">
        <w:rPr>
          <w:rFonts w:ascii="Shofar" w:hAnsi="Shofar" w:cs="Shofar" w:hint="cs"/>
          <w:rtl/>
        </w:rPr>
        <w:t xml:space="preserve"> אז, בוודאי כל אחד נוטל חלק של חבירו במקצת, שבכל דבר יש לכל אחד שיעור.</w:t>
      </w:r>
      <w:r w:rsidR="00D44194">
        <w:rPr>
          <w:rFonts w:ascii="Shofar" w:hAnsi="Shofar" w:cs="Shofar" w:hint="cs"/>
          <w:rtl/>
        </w:rPr>
        <w:t xml:space="preserve"> תוס' כ' שלא יודעים איזה חלק הוא למי, אבל לא שותפים הם בכל חלק וחלק, אלא היה חלק לזה וחלק לזה.</w:t>
      </w:r>
      <w:r w:rsidR="00F310F3">
        <w:rPr>
          <w:rFonts w:ascii="Shofar" w:hAnsi="Shofar" w:cs="Shofar" w:hint="cs"/>
          <w:rtl/>
        </w:rPr>
        <w:t xml:space="preserve"> אז, לקוחות הם ספק לקוחות.</w:t>
      </w:r>
      <w:r w:rsidR="00754E85">
        <w:rPr>
          <w:rFonts w:ascii="Shofar" w:hAnsi="Shofar" w:cs="Shofar" w:hint="cs"/>
          <w:rtl/>
        </w:rPr>
        <w:t xml:space="preserve"> מח' ספק דאו' לחומרא, מחזירים</w:t>
      </w:r>
      <w:r w:rsidR="00754E85">
        <w:rPr>
          <w:rStyle w:val="FootnoteReference"/>
          <w:rFonts w:ascii="Shofar" w:hAnsi="Shofar" w:cs="Shofar"/>
          <w:rtl/>
        </w:rPr>
        <w:footnoteReference w:id="2"/>
      </w:r>
      <w:r w:rsidR="00754E85">
        <w:rPr>
          <w:rFonts w:ascii="Shofar" w:hAnsi="Shofar" w:cs="Shofar" w:hint="cs"/>
          <w:rtl/>
        </w:rPr>
        <w:t xml:space="preserve"> ומביאים וקוראים.</w:t>
      </w:r>
      <w:r w:rsidR="00E212B4">
        <w:rPr>
          <w:rFonts w:ascii="Shofar" w:hAnsi="Shofar" w:cs="Shofar" w:hint="cs"/>
          <w:rtl/>
        </w:rPr>
        <w:t xml:space="preserve"> לכאורה, צריך לומר שאומר כן ברבא, שאל"ה קשה איך נפרש מה שאומר שלא נמצא ידינו ורגלינו בב"מ. </w:t>
      </w:r>
    </w:p>
    <w:p w:rsidR="00E212B4" w:rsidRDefault="00E212B4" w:rsidP="009906CC">
      <w:pPr>
        <w:spacing w:after="0" w:line="240" w:lineRule="auto"/>
        <w:rPr>
          <w:rFonts w:ascii="Shofar" w:hAnsi="Shofar" w:cs="Shofar"/>
          <w:rtl/>
        </w:rPr>
      </w:pPr>
      <w:r>
        <w:rPr>
          <w:rFonts w:ascii="Shofar" w:hAnsi="Shofar" w:cs="Shofar" w:hint="cs"/>
          <w:b/>
          <w:bCs/>
          <w:rtl/>
        </w:rPr>
        <w:t>גמ'</w:t>
      </w:r>
      <w:r>
        <w:rPr>
          <w:rFonts w:ascii="Shofar" w:hAnsi="Shofar" w:cs="Shofar" w:hint="cs"/>
          <w:rtl/>
        </w:rPr>
        <w:t xml:space="preserve"> אומר שאין קוראים מקרא ביכורים מספק, שנראה כשקר או שמא לא יפריש תו"מ.</w:t>
      </w:r>
      <w:r w:rsidR="00A27D9B">
        <w:rPr>
          <w:rFonts w:ascii="Shofar" w:hAnsi="Shofar" w:cs="Shofar" w:hint="cs"/>
          <w:rtl/>
        </w:rPr>
        <w:t xml:space="preserve"> י"ל שסובר שלא יקרא מח' חיוב מעשרות, וכאן, שחייב להביא בוודאי, אין בעיה.</w:t>
      </w:r>
      <w:r w:rsidR="00471F8F">
        <w:rPr>
          <w:rFonts w:ascii="Shofar" w:hAnsi="Shofar" w:cs="Shofar" w:hint="cs"/>
          <w:rtl/>
        </w:rPr>
        <w:t xml:space="preserve"> חלקו </w:t>
      </w:r>
      <w:r w:rsidR="00471F8F">
        <w:rPr>
          <w:rFonts w:ascii="Shofar" w:hAnsi="Shofar" w:cs="Shofar" w:hint="cs"/>
          <w:b/>
          <w:bCs/>
          <w:rtl/>
        </w:rPr>
        <w:t xml:space="preserve">רשב"ם </w:t>
      </w:r>
      <w:r w:rsidR="00471F8F">
        <w:rPr>
          <w:rFonts w:ascii="Shofar" w:hAnsi="Shofar" w:cs="Shofar" w:hint="cs"/>
          <w:rtl/>
        </w:rPr>
        <w:t>ו</w:t>
      </w:r>
      <w:r w:rsidR="00471F8F">
        <w:rPr>
          <w:rFonts w:ascii="Shofar" w:hAnsi="Shofar" w:cs="Shofar" w:hint="cs"/>
          <w:b/>
          <w:bCs/>
          <w:rtl/>
        </w:rPr>
        <w:t>תוס'</w:t>
      </w:r>
      <w:r w:rsidR="00471F8F">
        <w:rPr>
          <w:rFonts w:ascii="Shofar" w:hAnsi="Shofar" w:cs="Shofar" w:hint="cs"/>
          <w:rtl/>
        </w:rPr>
        <w:t xml:space="preserve"> אם יש מצוות ביכורים בוודאי כשיש קנין פירות או לא. שאג"א מניח כרשב"ם.</w:t>
      </w:r>
      <w:r w:rsidR="005712B4">
        <w:rPr>
          <w:rStyle w:val="FootnoteReference"/>
          <w:rFonts w:ascii="Shofar" w:hAnsi="Shofar" w:cs="Shofar"/>
          <w:rtl/>
        </w:rPr>
        <w:footnoteReference w:id="3"/>
      </w:r>
    </w:p>
    <w:p w:rsidR="006B2BEA" w:rsidRDefault="006B2BEA" w:rsidP="009906CC">
      <w:pPr>
        <w:spacing w:after="0" w:line="240" w:lineRule="auto"/>
        <w:rPr>
          <w:rFonts w:ascii="Shofar" w:hAnsi="Shofar" w:cs="Shofar"/>
          <w:rtl/>
        </w:rPr>
      </w:pPr>
      <w:r>
        <w:rPr>
          <w:rFonts w:ascii="Shofar" w:hAnsi="Shofar" w:cs="Shofar" w:hint="cs"/>
          <w:rtl/>
        </w:rPr>
        <w:t>לכאו', תוס' לא אומר כן כשיטתו בב"ב.</w:t>
      </w:r>
      <w:r w:rsidR="003978DE">
        <w:rPr>
          <w:rFonts w:ascii="Shofar" w:hAnsi="Shofar" w:cs="Shofar" w:hint="cs"/>
          <w:rtl/>
        </w:rPr>
        <w:t xml:space="preserve"> גי"ל שאולי סבר כטעם אחר של גמ' שם.</w:t>
      </w:r>
      <w:r w:rsidR="002F4F2E">
        <w:rPr>
          <w:rFonts w:ascii="Shofar" w:hAnsi="Shofar" w:cs="Shofar" w:hint="cs"/>
          <w:rtl/>
        </w:rPr>
        <w:t xml:space="preserve"> גי"ל ש</w:t>
      </w:r>
      <w:r w:rsidR="005E4A29">
        <w:rPr>
          <w:rFonts w:ascii="Shofar" w:hAnsi="Shofar" w:cs="Shofar" w:hint="cs"/>
          <w:rtl/>
        </w:rPr>
        <w:t>לא נחשב מצא ידיו ורגליו בבית מדרש כיון שא"א לקיים מצוותו בתורת וודאי.</w:t>
      </w:r>
      <w:r w:rsidR="005E4A29">
        <w:rPr>
          <w:rStyle w:val="FootnoteReference"/>
          <w:rFonts w:ascii="Shofar" w:hAnsi="Shofar" w:cs="Shofar"/>
          <w:rtl/>
        </w:rPr>
        <w:footnoteReference w:id="4"/>
      </w:r>
    </w:p>
    <w:p w:rsidR="00482959" w:rsidRDefault="00482959" w:rsidP="009906CC">
      <w:pPr>
        <w:spacing w:after="0" w:line="240" w:lineRule="auto"/>
        <w:rPr>
          <w:rFonts w:ascii="Shofar" w:hAnsi="Shofar" w:cs="Shofar" w:hint="cs"/>
          <w:rtl/>
        </w:rPr>
      </w:pPr>
      <w:r>
        <w:rPr>
          <w:rFonts w:ascii="Shofar" w:hAnsi="Shofar" w:cs="Shofar" w:hint="cs"/>
          <w:b/>
          <w:bCs/>
          <w:rtl/>
        </w:rPr>
        <w:t xml:space="preserve">רמב"ם </w:t>
      </w:r>
      <w:r>
        <w:rPr>
          <w:rFonts w:ascii="Shofar" w:hAnsi="Shofar" w:cs="Shofar" w:hint="cs"/>
          <w:rtl/>
        </w:rPr>
        <w:t xml:space="preserve">כ' שישראל וגוי שקנו דבר, טבל וחולין מעורבים בכל קלח. </w:t>
      </w:r>
      <w:r w:rsidR="00FF2BDE">
        <w:rPr>
          <w:rFonts w:ascii="Shofar" w:hAnsi="Shofar" w:cs="Shofar" w:hint="cs"/>
          <w:rtl/>
        </w:rPr>
        <w:t>א"כ, נמצא כרשי, ולא כתוס'. וק'.</w:t>
      </w:r>
    </w:p>
    <w:p w:rsidR="00FF2BDE" w:rsidRPr="00CA5B2F" w:rsidRDefault="00FF2BDE" w:rsidP="009906CC">
      <w:pPr>
        <w:spacing w:after="0" w:line="240" w:lineRule="auto"/>
        <w:rPr>
          <w:rFonts w:ascii="Shofar" w:hAnsi="Shofar" w:cs="Shofar"/>
        </w:rPr>
      </w:pPr>
      <w:r>
        <w:rPr>
          <w:rFonts w:ascii="Shofar" w:hAnsi="Shofar" w:cs="Shofar" w:hint="cs"/>
          <w:b/>
          <w:bCs/>
          <w:rtl/>
        </w:rPr>
        <w:t>טור</w:t>
      </w:r>
      <w:r>
        <w:rPr>
          <w:rFonts w:ascii="Shofar" w:hAnsi="Shofar" w:cs="Shofar" w:hint="cs"/>
          <w:rtl/>
        </w:rPr>
        <w:t xml:space="preserve"> כ' שכ' נכסיו לבנו או לאחר, קנין פירות לאו כקנין הגוף. צריך לומר נגד ת' ראשון של תוס'.</w:t>
      </w:r>
      <w:r w:rsidR="00CA5B2F">
        <w:rPr>
          <w:rFonts w:ascii="Shofar" w:hAnsi="Shofar" w:cs="Shofar" w:hint="cs"/>
          <w:rtl/>
        </w:rPr>
        <w:t xml:space="preserve"> </w:t>
      </w:r>
      <w:r w:rsidR="00CA5B2F">
        <w:rPr>
          <w:rFonts w:ascii="Shofar" w:hAnsi="Shofar" w:cs="Shofar" w:hint="cs"/>
          <w:b/>
          <w:bCs/>
          <w:rtl/>
        </w:rPr>
        <w:t>סמ"ג</w:t>
      </w:r>
      <w:r w:rsidR="00CA5B2F">
        <w:rPr>
          <w:rFonts w:ascii="Shofar" w:hAnsi="Shofar" w:cs="Shofar" w:hint="cs"/>
          <w:rtl/>
        </w:rPr>
        <w:t xml:space="preserve"> שהלכה ביבמות כר"ל שהמוכר שדהו לפירות</w:t>
      </w:r>
      <w:r w:rsidR="00CA5B2F">
        <w:rPr>
          <w:rFonts w:ascii="Times New Roman" w:hAnsi="Times New Roman" w:cs="Times New Roman" w:hint="cs"/>
          <w:rtl/>
        </w:rPr>
        <w:t>…</w:t>
      </w:r>
      <w:r w:rsidR="00CA5B2F">
        <w:rPr>
          <w:rFonts w:ascii="Shofar" w:hAnsi="Shofar" w:cs="Shofar" w:hint="cs"/>
          <w:rtl/>
        </w:rPr>
        <w:t>, אף ששם לא אמר כן בפירוש, אלא אמר רק באב שנתן לבנו.</w:t>
      </w:r>
      <w:bookmarkStart w:id="0" w:name="_GoBack"/>
      <w:bookmarkEnd w:id="0"/>
    </w:p>
    <w:sectPr w:rsidR="00FF2BDE" w:rsidRPr="00CA5B2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C55" w:rsidRDefault="00C23C55" w:rsidP="007C0844">
      <w:pPr>
        <w:spacing w:after="0" w:line="240" w:lineRule="auto"/>
      </w:pPr>
      <w:r>
        <w:separator/>
      </w:r>
    </w:p>
  </w:endnote>
  <w:endnote w:type="continuationSeparator" w:id="0">
    <w:p w:rsidR="00C23C55" w:rsidRDefault="00C23C55" w:rsidP="007C0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C55" w:rsidRDefault="00C23C55" w:rsidP="007C0844">
      <w:pPr>
        <w:spacing w:after="0" w:line="240" w:lineRule="auto"/>
      </w:pPr>
      <w:r>
        <w:separator/>
      </w:r>
    </w:p>
  </w:footnote>
  <w:footnote w:type="continuationSeparator" w:id="0">
    <w:p w:rsidR="00C23C55" w:rsidRDefault="00C23C55" w:rsidP="007C0844">
      <w:pPr>
        <w:spacing w:after="0" w:line="240" w:lineRule="auto"/>
      </w:pPr>
      <w:r>
        <w:continuationSeparator/>
      </w:r>
    </w:p>
  </w:footnote>
  <w:footnote w:id="1">
    <w:p w:rsidR="007C0844" w:rsidRDefault="007C0844">
      <w:pPr>
        <w:pStyle w:val="FootnoteText"/>
        <w:rPr>
          <w:rFonts w:hint="cs"/>
        </w:rPr>
      </w:pPr>
      <w:r>
        <w:rPr>
          <w:rStyle w:val="FootnoteReference"/>
        </w:rPr>
        <w:footnoteRef/>
      </w:r>
      <w:r>
        <w:rPr>
          <w:rtl/>
        </w:rPr>
        <w:t xml:space="preserve"> </w:t>
      </w:r>
      <w:r>
        <w:rPr>
          <w:rFonts w:hint="cs"/>
          <w:rtl/>
        </w:rPr>
        <w:t>יש לדון, שאין כל כך כמה נפק"מ לקנין הגוף.</w:t>
      </w:r>
    </w:p>
  </w:footnote>
  <w:footnote w:id="2">
    <w:p w:rsidR="00754E85" w:rsidRDefault="00754E85">
      <w:pPr>
        <w:pStyle w:val="FootnoteText"/>
        <w:rPr>
          <w:rFonts w:hint="cs"/>
        </w:rPr>
      </w:pPr>
      <w:r>
        <w:rPr>
          <w:rStyle w:val="FootnoteReference"/>
        </w:rPr>
        <w:footnoteRef/>
      </w:r>
      <w:r>
        <w:rPr>
          <w:rtl/>
        </w:rPr>
        <w:t xml:space="preserve"> </w:t>
      </w:r>
      <w:r>
        <w:rPr>
          <w:rFonts w:hint="cs"/>
          <w:rtl/>
        </w:rPr>
        <w:t>יש לדון ל"ל אומרים שמוציא מחברו עליו הראיה.</w:t>
      </w:r>
    </w:p>
  </w:footnote>
  <w:footnote w:id="3">
    <w:p w:rsidR="005712B4" w:rsidRDefault="005712B4">
      <w:pPr>
        <w:pStyle w:val="FootnoteText"/>
        <w:rPr>
          <w:rFonts w:hint="cs"/>
        </w:rPr>
      </w:pPr>
      <w:r>
        <w:rPr>
          <w:rStyle w:val="FootnoteReference"/>
        </w:rPr>
        <w:footnoteRef/>
      </w:r>
      <w:r>
        <w:rPr>
          <w:rtl/>
        </w:rPr>
        <w:t xml:space="preserve"> </w:t>
      </w:r>
      <w:r>
        <w:rPr>
          <w:rFonts w:hint="cs"/>
          <w:rtl/>
        </w:rPr>
        <w:t>העיר אחד שם שאם כן נוכל לומר שגמרא שלנו לא תירץ כן כיון שסבר שהבעיה הוא שנראה כשקר.</w:t>
      </w:r>
    </w:p>
  </w:footnote>
  <w:footnote w:id="4">
    <w:p w:rsidR="005E4A29" w:rsidRDefault="005E4A29">
      <w:pPr>
        <w:pStyle w:val="FootnoteText"/>
        <w:rPr>
          <w:rFonts w:hint="cs"/>
        </w:rPr>
      </w:pPr>
      <w:r>
        <w:rPr>
          <w:rStyle w:val="FootnoteReference"/>
        </w:rPr>
        <w:footnoteRef/>
      </w:r>
      <w:r>
        <w:rPr>
          <w:rtl/>
        </w:rPr>
        <w:t xml:space="preserve"> </w:t>
      </w:r>
      <w:r>
        <w:rPr>
          <w:rFonts w:hint="cs"/>
          <w:rtl/>
        </w:rPr>
        <w:t>לא נראה כן, שלכאורה מה שאי אפשר להיות כן הוא שלא רוצים שתורה יאמר דין לבטלה. ותחשב. אולי רק אם ספק דאורייתא לחומרא מדאורייתא יש לומר כן. ק"ק שרמבם סובר שהוא מדרבנן.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AF6"/>
    <w:rsid w:val="00072D22"/>
    <w:rsid w:val="001130A0"/>
    <w:rsid w:val="00213FE2"/>
    <w:rsid w:val="002A7892"/>
    <w:rsid w:val="002F4F2E"/>
    <w:rsid w:val="00332273"/>
    <w:rsid w:val="003978DE"/>
    <w:rsid w:val="00471F8F"/>
    <w:rsid w:val="00482959"/>
    <w:rsid w:val="004D6508"/>
    <w:rsid w:val="00542081"/>
    <w:rsid w:val="00556294"/>
    <w:rsid w:val="005712B4"/>
    <w:rsid w:val="005850DD"/>
    <w:rsid w:val="005E4A29"/>
    <w:rsid w:val="00642A59"/>
    <w:rsid w:val="006B2BEA"/>
    <w:rsid w:val="006B4025"/>
    <w:rsid w:val="00754E85"/>
    <w:rsid w:val="007A08DD"/>
    <w:rsid w:val="007C0844"/>
    <w:rsid w:val="00875B28"/>
    <w:rsid w:val="008A6C79"/>
    <w:rsid w:val="009906CC"/>
    <w:rsid w:val="009F3E76"/>
    <w:rsid w:val="00A04AF6"/>
    <w:rsid w:val="00A27D9B"/>
    <w:rsid w:val="00B15FEB"/>
    <w:rsid w:val="00BA7BEC"/>
    <w:rsid w:val="00C23C55"/>
    <w:rsid w:val="00C250BB"/>
    <w:rsid w:val="00CA5B2F"/>
    <w:rsid w:val="00CB504E"/>
    <w:rsid w:val="00CE0323"/>
    <w:rsid w:val="00D44194"/>
    <w:rsid w:val="00D710A6"/>
    <w:rsid w:val="00DC77D7"/>
    <w:rsid w:val="00E212B4"/>
    <w:rsid w:val="00E928D0"/>
    <w:rsid w:val="00E956F4"/>
    <w:rsid w:val="00F2033A"/>
    <w:rsid w:val="00F242FF"/>
    <w:rsid w:val="00F310F3"/>
    <w:rsid w:val="00FF2B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209C"/>
  <w15:chartTrackingRefBased/>
  <w15:docId w15:val="{4CC64385-BFDF-4F33-9D7B-E114A834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BEC"/>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C08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0844"/>
    <w:rPr>
      <w:sz w:val="20"/>
      <w:szCs w:val="20"/>
    </w:rPr>
  </w:style>
  <w:style w:type="character" w:styleId="FootnoteReference">
    <w:name w:val="footnote reference"/>
    <w:basedOn w:val="DefaultParagraphFont"/>
    <w:uiPriority w:val="99"/>
    <w:semiHidden/>
    <w:unhideWhenUsed/>
    <w:rsid w:val="007C0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43</cp:revision>
  <dcterms:created xsi:type="dcterms:W3CDTF">2023-05-12T00:33:00Z</dcterms:created>
  <dcterms:modified xsi:type="dcterms:W3CDTF">2023-05-12T00:56:00Z</dcterms:modified>
</cp:coreProperties>
</file>