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1"/>
        <w:spacing w:before="40" w:after="0"/>
        <w:jc w:val="start"/>
        <w:rPr>
          <w:sz w:val="24"/>
          <w:szCs w:val="24"/>
        </w:rPr>
      </w:pPr>
      <w:r>
        <w:rPr>
          <w:rFonts w:cs="DejaVu Serif"/>
          <w:sz w:val="24"/>
          <w:sz w:val="24"/>
          <w:szCs w:val="24"/>
          <w:rtl w:val="true"/>
        </w:rPr>
        <w:t>משנה ב</w:t>
      </w:r>
      <w:r>
        <w:rPr>
          <w:rStyle w:val="FootnoteReference"/>
          <w:rFonts w:cs="DejaVu Serif"/>
          <w:sz w:val="24"/>
          <w:sz w:val="24"/>
          <w:szCs w:val="24"/>
          <w:rtl w:val="true"/>
        </w:rPr>
        <w:footnoteReference w:id="2"/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rStyle w:val="FootnoteReference"/>
          <w:rFonts w:cs="DejaVu Serif"/>
          <w:b w:val="false"/>
          <w:bCs w:val="false"/>
          <w:sz w:val="24"/>
          <w:szCs w:val="24"/>
          <w:rtl w:val="true"/>
        </w:rPr>
        <w:footnoteReference w:id="3"/>
      </w:r>
      <w:r>
        <w:rPr>
          <w:rFonts w:cs="DejaVu Serif"/>
          <w:b w:val="false"/>
          <w:b w:val="false"/>
          <w:bCs w:val="false"/>
          <w:sz w:val="24"/>
          <w:sz w:val="24"/>
          <w:szCs w:val="24"/>
          <w:rtl w:val="true"/>
        </w:rPr>
        <w:t>אֵלּוּ הֵן בֵּין הַפְּרָקִים</w:t>
      </w:r>
      <w:r>
        <w:rPr>
          <w:rFonts w:cs="DejaVu Serif"/>
          <w:sz w:val="24"/>
          <w:szCs w:val="24"/>
          <w:rtl w:val="true"/>
        </w:rPr>
        <w:t xml:space="preserve">, </w:t>
      </w:r>
      <w:r>
        <w:rPr>
          <w:rFonts w:cs="DejaVu Serif"/>
          <w:sz w:val="24"/>
          <w:sz w:val="24"/>
          <w:szCs w:val="24"/>
          <w:rtl w:val="true"/>
        </w:rPr>
        <w:t>בֵּין בְּרָכָה רִאשׁוֹנָה לִשְׁנִיָּה</w:t>
      </w:r>
      <w:r>
        <w:rPr>
          <w:rFonts w:cs="DejaVu Serif"/>
          <w:sz w:val="24"/>
          <w:szCs w:val="24"/>
          <w:rtl w:val="true"/>
        </w:rPr>
        <w:t xml:space="preserve">, </w:t>
      </w:r>
      <w:r>
        <w:rPr>
          <w:rFonts w:cs="DejaVu Serif"/>
          <w:sz w:val="24"/>
          <w:sz w:val="24"/>
          <w:szCs w:val="24"/>
          <w:rtl w:val="true"/>
        </w:rPr>
        <w:t>בֵּין שְׁנִיָּה לִשְׁמַע</w:t>
      </w:r>
      <w:r>
        <w:rPr>
          <w:rFonts w:cs="DejaVu Serif"/>
          <w:sz w:val="24"/>
          <w:szCs w:val="24"/>
          <w:rtl w:val="true"/>
        </w:rPr>
        <w:t xml:space="preserve">, </w:t>
      </w:r>
      <w:r>
        <w:rPr>
          <w:rFonts w:cs="DejaVu Serif"/>
          <w:sz w:val="24"/>
          <w:sz w:val="24"/>
          <w:szCs w:val="24"/>
          <w:rtl w:val="true"/>
        </w:rPr>
        <w:t>וּבֵין שְׁמַע לִוְהָיָה אִם שָׁמֹעַ</w:t>
      </w:r>
      <w:r>
        <w:rPr>
          <w:rFonts w:cs="DejaVu Serif"/>
          <w:sz w:val="24"/>
          <w:szCs w:val="24"/>
          <w:rtl w:val="true"/>
        </w:rPr>
        <w:t xml:space="preserve">, </w:t>
      </w:r>
      <w:r>
        <w:rPr>
          <w:rFonts w:cs="DejaVu Serif"/>
          <w:sz w:val="24"/>
          <w:sz w:val="24"/>
          <w:szCs w:val="24"/>
          <w:rtl w:val="true"/>
        </w:rPr>
        <w:t xml:space="preserve">בֵּין וְהָיָה אִם שָׁמֹעַ לְוַיֹּאמֶר </w:t>
      </w:r>
      <w:r>
        <w:rPr>
          <w:rFonts w:cs="DejaVu Serif"/>
          <w:sz w:val="24"/>
          <w:szCs w:val="24"/>
          <w:rtl w:val="true"/>
        </w:rPr>
        <w:t>[</w:t>
      </w:r>
      <w:r>
        <w:rPr>
          <w:rFonts w:cs="DejaVu Serif"/>
          <w:sz w:val="24"/>
          <w:sz w:val="24"/>
          <w:szCs w:val="24"/>
          <w:rtl w:val="true"/>
        </w:rPr>
        <w:t>א</w:t>
      </w:r>
      <w:r>
        <w:rPr>
          <w:rFonts w:cs="DejaVu Serif"/>
          <w:sz w:val="24"/>
          <w:szCs w:val="24"/>
          <w:rtl w:val="true"/>
        </w:rPr>
        <w:t xml:space="preserve">], </w:t>
      </w:r>
      <w:r>
        <w:rPr>
          <w:rFonts w:cs="DejaVu Serif"/>
          <w:sz w:val="24"/>
          <w:sz w:val="24"/>
          <w:szCs w:val="24"/>
          <w:rtl w:val="true"/>
        </w:rPr>
        <w:t xml:space="preserve">בֵּין וַיֹּאמֶר לֶאֱמֶת וְיַצִּיב </w:t>
      </w:r>
      <w:r>
        <w:rPr>
          <w:rFonts w:cs="DejaVu Serif"/>
          <w:b w:val="false"/>
          <w:bCs w:val="false"/>
          <w:i w:val="false"/>
          <w:iCs w:val="false"/>
          <w:sz w:val="24"/>
          <w:szCs w:val="24"/>
          <w:rtl w:val="true"/>
        </w:rPr>
        <w:t>[</w:t>
      </w:r>
      <w:r>
        <w:rPr>
          <w:rFonts w:cs="DejaVu Serif"/>
          <w:b w:val="false"/>
          <w:b w:val="false"/>
          <w:bCs w:val="false"/>
          <w:i w:val="false"/>
          <w:i w:val="false"/>
          <w:iCs w:val="false"/>
          <w:sz w:val="24"/>
          <w:sz w:val="24"/>
          <w:szCs w:val="24"/>
          <w:rtl w:val="true"/>
        </w:rPr>
        <w:t xml:space="preserve">א </w:t>
      </w:r>
      <w:r>
        <w:rPr>
          <w:rFonts w:cs="DejaVu Serif"/>
          <w:b w:val="false"/>
          <w:bCs w:val="false"/>
          <w:i w:val="false"/>
          <w:iCs w:val="false"/>
          <w:sz w:val="24"/>
          <w:szCs w:val="24"/>
          <w:rtl w:val="true"/>
        </w:rPr>
        <w:t xml:space="preserve">- </w:t>
      </w:r>
      <w:r>
        <w:rPr>
          <w:rFonts w:cs="DejaVu Serif"/>
          <w:b w:val="false"/>
          <w:b w:val="false"/>
          <w:bCs w:val="false"/>
          <w:i w:val="false"/>
          <w:i w:val="false"/>
          <w:iCs w:val="false"/>
          <w:sz w:val="24"/>
          <w:sz w:val="24"/>
          <w:szCs w:val="24"/>
          <w:rtl w:val="true"/>
        </w:rPr>
        <w:t>א</w:t>
      </w:r>
      <w:r>
        <w:rPr>
          <w:rFonts w:cs="DejaVu Serif"/>
          <w:b w:val="false"/>
          <w:bCs w:val="false"/>
          <w:i w:val="false"/>
          <w:iCs w:val="false"/>
          <w:sz w:val="24"/>
          <w:szCs w:val="24"/>
          <w:rtl w:val="true"/>
        </w:rPr>
        <w:t>]</w:t>
      </w:r>
      <w:r>
        <w:rPr>
          <w:rFonts w:cs="DejaVu Serif"/>
          <w:sz w:val="24"/>
          <w:szCs w:val="24"/>
          <w:rtl w:val="true"/>
        </w:rPr>
        <w:t xml:space="preserve">. </w:t>
      </w:r>
      <w:r>
        <w:rPr>
          <w:rFonts w:cs="DejaVu Serif"/>
          <w:sz w:val="24"/>
          <w:sz w:val="24"/>
          <w:szCs w:val="24"/>
          <w:rtl w:val="true"/>
        </w:rPr>
        <w:t>רַבִּי יְהוּדָה אוֹמֵר</w:t>
      </w:r>
      <w:r>
        <w:rPr>
          <w:rFonts w:cs="DejaVu Serif"/>
          <w:sz w:val="24"/>
          <w:szCs w:val="24"/>
          <w:rtl w:val="true"/>
        </w:rPr>
        <w:t xml:space="preserve">, </w:t>
      </w:r>
      <w:r>
        <w:rPr>
          <w:rFonts w:cs="DejaVu Serif"/>
          <w:sz w:val="24"/>
          <w:sz w:val="24"/>
          <w:szCs w:val="24"/>
          <w:rtl w:val="true"/>
        </w:rPr>
        <w:t>בֵּין וַיֹּאמֶר לֶאֱמֶת וְיַצִּיב לֹא יַפְסִיק</w:t>
      </w:r>
      <w:r>
        <w:rPr>
          <w:rStyle w:val="FootnoteReference"/>
          <w:rFonts w:cs="DejaVu Serif"/>
          <w:sz w:val="24"/>
          <w:sz w:val="24"/>
          <w:szCs w:val="24"/>
          <w:rtl w:val="true"/>
        </w:rPr>
        <w:footnoteReference w:id="4"/>
      </w:r>
      <w:r>
        <w:rPr>
          <w:rStyle w:val="FootnoteReference"/>
          <w:rFonts w:cs="DejaVu Serif"/>
          <w:sz w:val="24"/>
          <w:sz w:val="24"/>
          <w:szCs w:val="24"/>
          <w:rtl w:val="true"/>
        </w:rPr>
        <w:footnoteReference w:id="5"/>
      </w:r>
      <w:r>
        <w:rPr>
          <w:rFonts w:cs="DejaVu Serif"/>
          <w:sz w:val="24"/>
          <w:szCs w:val="24"/>
          <w:rtl w:val="true"/>
        </w:rPr>
        <w:t>. [</w:t>
      </w:r>
      <w:r>
        <w:rPr>
          <w:rFonts w:cs="DejaVu Serif"/>
          <w:sz w:val="24"/>
          <w:sz w:val="24"/>
          <w:szCs w:val="24"/>
          <w:rtl w:val="true"/>
        </w:rPr>
        <w:t>ג</w:t>
      </w:r>
      <w:r>
        <w:rPr>
          <w:rFonts w:cs="DejaVu Serif"/>
          <w:sz w:val="24"/>
          <w:szCs w:val="24"/>
          <w:rtl w:val="true"/>
        </w:rPr>
        <w:t>]</w:t>
      </w:r>
    </w:p>
    <w:p>
      <w:pPr>
        <w:pStyle w:val="Normal"/>
        <w:bidi w:val="1"/>
        <w:jc w:val="start"/>
        <w:rPr>
          <w:sz w:val="24"/>
          <w:szCs w:val="24"/>
        </w:rPr>
      </w:pPr>
      <w:r>
        <w:rPr>
          <w:rFonts w:cs="DejaVu Serif"/>
          <w:sz w:val="24"/>
          <w:sz w:val="24"/>
          <w:szCs w:val="24"/>
          <w:rtl w:val="true"/>
        </w:rPr>
        <w:t>אָמַר רַבִּי יְהוֹשֻׁעַ בֶּן קָרְחָה</w:t>
      </w:r>
      <w:r>
        <w:rPr>
          <w:rFonts w:cs="DejaVu Serif"/>
          <w:sz w:val="24"/>
          <w:szCs w:val="24"/>
          <w:rtl w:val="true"/>
        </w:rPr>
        <w:t xml:space="preserve">, </w:t>
      </w:r>
      <w:r>
        <w:rPr>
          <w:rFonts w:cs="DejaVu Serif"/>
          <w:sz w:val="24"/>
          <w:sz w:val="24"/>
          <w:szCs w:val="24"/>
          <w:rtl w:val="true"/>
        </w:rPr>
        <w:t>לָמָּה קָדְמָה שְׁמַע לִוְהָיָה אִם שָׁמֹעַ</w:t>
      </w:r>
      <w:r>
        <w:rPr>
          <w:rStyle w:val="FootnoteReference"/>
          <w:rFonts w:cs="DejaVu Serif"/>
          <w:sz w:val="24"/>
          <w:sz w:val="24"/>
          <w:szCs w:val="24"/>
          <w:rtl w:val="true"/>
        </w:rPr>
        <w:footnoteReference w:id="6"/>
      </w:r>
      <w:r>
        <w:rPr>
          <w:rFonts w:cs="DejaVu Serif"/>
          <w:sz w:val="24"/>
          <w:szCs w:val="24"/>
          <w:rtl w:val="true"/>
        </w:rPr>
        <w:t>, [</w:t>
      </w:r>
      <w:r>
        <w:rPr>
          <w:rFonts w:cs="DejaVu Serif"/>
          <w:sz w:val="24"/>
          <w:sz w:val="24"/>
          <w:szCs w:val="24"/>
          <w:rtl w:val="true"/>
        </w:rPr>
        <w:t>ד</w:t>
      </w:r>
      <w:r>
        <w:rPr>
          <w:rFonts w:cs="DejaVu Serif"/>
          <w:sz w:val="24"/>
          <w:szCs w:val="24"/>
          <w:rtl w:val="true"/>
        </w:rPr>
        <w:t>]</w:t>
      </w:r>
      <w:r>
        <w:rPr>
          <w:rFonts w:cs="DejaVu Serif"/>
          <w:i/>
          <w:iCs/>
          <w:sz w:val="24"/>
          <w:szCs w:val="24"/>
          <w:rtl w:val="true"/>
        </w:rPr>
        <w:t xml:space="preserve">  </w:t>
      </w:r>
      <w:r>
        <w:rPr>
          <w:rFonts w:cs="DejaVu Serif"/>
          <w:sz w:val="24"/>
          <w:sz w:val="24"/>
          <w:szCs w:val="24"/>
          <w:rtl w:val="true"/>
        </w:rPr>
        <w:t xml:space="preserve">אֶלָּא כְדֵי שֶׁיְּקַבֵּל עָלָיו עֹל מַלְכוּת שָׁמַיִם </w:t>
      </w:r>
      <w:r>
        <w:rPr>
          <w:rFonts w:cs="DejaVu Serif"/>
          <w:sz w:val="24"/>
          <w:szCs w:val="24"/>
          <w:rtl w:val="true"/>
        </w:rPr>
        <w:t>[</w:t>
      </w:r>
      <w:r>
        <w:rPr>
          <w:rFonts w:cs="DejaVu Serif"/>
          <w:sz w:val="24"/>
          <w:sz w:val="24"/>
          <w:szCs w:val="24"/>
          <w:rtl w:val="true"/>
        </w:rPr>
        <w:t>ה</w:t>
      </w:r>
      <w:r>
        <w:rPr>
          <w:rFonts w:cs="DejaVu Serif"/>
          <w:sz w:val="24"/>
          <w:szCs w:val="24"/>
          <w:rtl w:val="true"/>
        </w:rPr>
        <w:t xml:space="preserve">] </w:t>
      </w:r>
      <w:r>
        <w:rPr>
          <w:rFonts w:cs="DejaVu Serif"/>
          <w:sz w:val="24"/>
          <w:sz w:val="24"/>
          <w:szCs w:val="24"/>
          <w:rtl w:val="true"/>
        </w:rPr>
        <w:t>תְּחִלָּה</w:t>
      </w:r>
      <w:r>
        <w:rPr>
          <w:rFonts w:cs="DejaVu Serif"/>
          <w:sz w:val="24"/>
          <w:szCs w:val="24"/>
          <w:rtl w:val="true"/>
        </w:rPr>
        <w:t>,</w:t>
      </w:r>
      <w:r>
        <w:rPr>
          <w:rFonts w:cs="DejaVu Serif"/>
          <w:i/>
          <w:iCs/>
          <w:sz w:val="24"/>
          <w:szCs w:val="24"/>
          <w:rtl w:val="true"/>
        </w:rPr>
        <w:t xml:space="preserve"> </w:t>
      </w:r>
      <w:r>
        <w:rPr>
          <w:rFonts w:cs="DejaVu Serif"/>
          <w:sz w:val="24"/>
          <w:sz w:val="24"/>
          <w:szCs w:val="24"/>
          <w:rtl w:val="true"/>
        </w:rPr>
        <w:t>וְאַחַר כָּךְ יְקַבֵּל עָלָיו עֹל מִצְוֹת</w:t>
      </w:r>
      <w:r>
        <w:rPr>
          <w:rFonts w:cs="DejaVu Serif"/>
          <w:sz w:val="24"/>
          <w:szCs w:val="24"/>
          <w:rtl w:val="true"/>
        </w:rPr>
        <w:t xml:space="preserve">. </w:t>
      </w:r>
      <w:r>
        <w:rPr>
          <w:rFonts w:cs="DejaVu Serif"/>
          <w:sz w:val="24"/>
          <w:sz w:val="24"/>
          <w:szCs w:val="24"/>
          <w:rtl w:val="true"/>
        </w:rPr>
        <w:t>וְהָיָה אִם שָׁמֹעַ לְוַיֹּאמֶר</w:t>
      </w:r>
      <w:r>
        <w:rPr>
          <w:rFonts w:cs="DejaVu Serif"/>
          <w:sz w:val="24"/>
          <w:szCs w:val="24"/>
          <w:rtl w:val="true"/>
        </w:rPr>
        <w:t xml:space="preserve">, </w:t>
      </w:r>
      <w:r>
        <w:rPr>
          <w:rFonts w:cs="DejaVu Serif"/>
          <w:sz w:val="24"/>
          <w:sz w:val="24"/>
          <w:szCs w:val="24"/>
          <w:rtl w:val="true"/>
        </w:rPr>
        <w:t>שֶׁוְהָיָה אִם שָׁמֹעַ נוֹהֵג בַּיּוֹם וּבַלַּיְלָה</w:t>
      </w:r>
      <w:r>
        <w:rPr>
          <w:rStyle w:val="FootnoteReference"/>
          <w:rFonts w:cs="DejaVu Serif"/>
          <w:sz w:val="24"/>
          <w:sz w:val="24"/>
          <w:szCs w:val="24"/>
          <w:rtl w:val="true"/>
        </w:rPr>
        <w:footnoteReference w:id="7"/>
      </w:r>
      <w:r>
        <w:rPr>
          <w:rFonts w:cs="DejaVu Serif"/>
          <w:sz w:val="24"/>
          <w:szCs w:val="24"/>
          <w:rtl w:val="true"/>
        </w:rPr>
        <w:t xml:space="preserve">, </w:t>
      </w:r>
      <w:r>
        <w:rPr>
          <w:rFonts w:cs="DejaVu Serif"/>
          <w:sz w:val="24"/>
          <w:sz w:val="24"/>
          <w:szCs w:val="24"/>
          <w:rtl w:val="true"/>
        </w:rPr>
        <w:t>וַיֹּאמֶר אֵינוֹ נוֹהֵג אֶלָּא בַּיּוֹם</w:t>
      </w:r>
      <w:r>
        <w:rPr>
          <w:rFonts w:cs="DejaVu Serif"/>
          <w:sz w:val="24"/>
          <w:szCs w:val="24"/>
          <w:rtl w:val="true"/>
        </w:rPr>
        <w:t>:</w:t>
      </w:r>
      <w:r>
        <w:rPr>
          <w:rStyle w:val="FootnoteReference"/>
          <w:rFonts w:cs="DejaVu Serif"/>
          <w:sz w:val="24"/>
          <w:szCs w:val="24"/>
          <w:rtl w:val="true"/>
        </w:rPr>
        <w:footnoteReference w:id="8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b/>
          <w:bCs/>
          <w:rtl w:val="true"/>
        </w:rPr>
        <w:tab/>
      </w:r>
      <w:r>
        <w:rPr>
          <w:rFonts w:cs="Noto Rashi Hebrew"/>
          <w:b/>
          <w:b/>
          <w:bCs/>
          <w:rtl w:val="true"/>
        </w:rPr>
        <w:t>משנה ב</w:t>
      </w:r>
      <w:r>
        <w:rPr>
          <w:rFonts w:cs="Noto Rashi Hebrew"/>
          <w:b/>
          <w:bCs/>
          <w:rtl w:val="true"/>
        </w:rPr>
        <w:t>: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Fonts w:cs="Noto Rashi Hebrew"/>
          <w:b/>
          <w:b/>
          <w:bCs/>
          <w:rtl w:val="true"/>
        </w:rPr>
        <w:t>הקדמה</w:t>
      </w:r>
      <w:r>
        <w:rPr>
          <w:b/>
          <w:bCs/>
          <w:rtl w:val="true"/>
        </w:rPr>
        <w:t>:</w:t>
      </w:r>
    </w:p>
    <w:p>
      <w:pPr>
        <w:pStyle w:val="FootnoteText"/>
        <w:rPr>
          <w:rFonts w:cs="Noto Rashi Hebrew"/>
        </w:rPr>
      </w:pPr>
      <w:r>
        <w:rPr>
          <w:rFonts w:cs="Noto Rashi Hebrew"/>
          <w:b w:val="false"/>
          <w:bCs w:val="false"/>
          <w:rtl w:val="true"/>
        </w:rPr>
        <w:tab/>
      </w:r>
      <w:r>
        <w:rPr>
          <w:rFonts w:cs="Noto Rashi Hebrew"/>
          <w:b w:val="false"/>
          <w:b w:val="false"/>
          <w:bCs w:val="false"/>
          <w:rtl w:val="true"/>
        </w:rPr>
        <w:t>אחרי שהזכיר לעיל שדין הפסק בקריאת שמע תלוי באם הוא מפסיק באמצע הפרק או בין הפרקים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המשנה ממשיך לבאר מתי נחשב באמצע הפרק ומתי נחשב בין הפרקים</w:t>
      </w:r>
      <w:r>
        <w:rPr>
          <w:rFonts w:cs="Noto Rashi Hebrew"/>
          <w:b w:val="false"/>
          <w:bCs w:val="false"/>
          <w:rtl w:val="true"/>
        </w:rPr>
        <w:t xml:space="preserve">. </w:t>
      </w:r>
    </w:p>
    <w:p>
      <w:pPr>
        <w:pStyle w:val="FootnoteTex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rFonts w:cs="Noto Rashi Hebrew"/>
          <w:b w:val="false"/>
          <w:b w:val="false"/>
          <w:bCs w:val="false"/>
          <w:rtl w:val="true"/>
        </w:rPr>
        <w:t>כיון שמשנה מונה את הפרקים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ממשיך לבאר את סדר הפרקים – למה נתקנו באותו סדר</w:t>
      </w:r>
      <w:r>
        <w:rPr>
          <w:rFonts w:cs="Noto Rashi Hebrew"/>
          <w:b w:val="false"/>
          <w:bCs w:val="false"/>
          <w:rtl w:val="true"/>
        </w:rPr>
        <w:t>.</w:t>
      </w:r>
    </w:p>
  </w:footnote>
  <w:footnote w:id="4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גמרא מבאר מקור לזה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והוא שכתיב</w:t>
      </w:r>
      <w:r>
        <w:rPr>
          <w:rFonts w:cs="Noto Rashi Hebrew"/>
          <w:rtl w:val="true"/>
        </w:rPr>
        <w:t>, "</w:t>
      </w:r>
      <w:r>
        <w:rPr>
          <w:rFonts w:cs="Noto Rashi Hebrew"/>
          <w:rtl w:val="true"/>
        </w:rPr>
        <w:t>וה’ אלקים אמת</w:t>
      </w:r>
      <w:r>
        <w:rPr>
          <w:rFonts w:cs="Noto Rashi Hebrew"/>
          <w:rtl w:val="true"/>
        </w:rPr>
        <w:t>.” [</w:t>
      </w:r>
      <w:r>
        <w:rPr>
          <w:rFonts w:cs="Noto Rashi Hebrew"/>
          <w:rtl w:val="true"/>
        </w:rPr>
        <w:t>ב</w:t>
      </w:r>
      <w:r>
        <w:rPr>
          <w:rFonts w:cs="Noto Rashi Hebrew"/>
          <w:rtl w:val="true"/>
        </w:rPr>
        <w:t xml:space="preserve">] </w:t>
      </w:r>
      <w:r>
        <w:rPr>
          <w:rFonts w:cs="Noto Rashi Hebrew"/>
          <w:rtl w:val="true"/>
        </w:rPr>
        <w:t>אם הפסיק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חולקים רבי אבהו ורבה אם חוזר ואומר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אמת</w:t>
      </w:r>
      <w:r>
        <w:rPr>
          <w:rFonts w:cs="Noto Rashi Hebrew"/>
          <w:rtl w:val="true"/>
        </w:rPr>
        <w:t xml:space="preserve">,” </w:t>
      </w:r>
      <w:r>
        <w:rPr>
          <w:rFonts w:cs="Noto Rashi Hebrew"/>
          <w:rtl w:val="true"/>
        </w:rPr>
        <w:t>כדי לקיים את זה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יד</w:t>
      </w:r>
      <w:r>
        <w:rPr>
          <w:rFonts w:cs="Noto Rashi Hebrew"/>
          <w:b/>
          <w:bCs/>
          <w:u w:val="single"/>
          <w:rtl w:val="true"/>
        </w:rPr>
        <w:t>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Fonts w:cs="Noto Rashi Hebrew"/>
          <w:rtl w:val="true"/>
        </w:rPr>
        <w:t xml:space="preserve">גמרא פוסק </w:t>
      </w:r>
      <w:r>
        <w:rPr>
          <w:rFonts w:cs="Noto Rashi Hebrew"/>
          <w:b/>
          <w:bCs/>
          <w:u w:val="single"/>
          <w:rtl w:val="true"/>
        </w:rPr>
        <w:t>(</w:t>
      </w:r>
      <w:r>
        <w:rPr>
          <w:rFonts w:cs="Noto Rashi Hebrew"/>
          <w:b/>
          <w:b/>
          <w:bCs/>
          <w:u w:val="single"/>
          <w:rtl w:val="true"/>
        </w:rPr>
        <w:t>יד</w:t>
      </w:r>
      <w:r>
        <w:rPr>
          <w:rFonts w:cs="Noto Rashi Hebrew"/>
          <w:b/>
          <w:bCs/>
          <w:u w:val="single"/>
          <w:rtl w:val="true"/>
        </w:rPr>
        <w:t>:)</w:t>
      </w:r>
      <w:r>
        <w:rPr>
          <w:rFonts w:cs="Noto Rashi Hebrew"/>
          <w:b w:val="false"/>
          <w:bCs w:val="false"/>
          <w:u w:val="none"/>
          <w:rtl w:val="true"/>
        </w:rPr>
        <w:t xml:space="preserve"> </w:t>
      </w:r>
      <w:r>
        <w:rPr>
          <w:rFonts w:cs="Noto Rashi Hebrew"/>
          <w:b w:val="false"/>
          <w:b w:val="false"/>
          <w:bCs w:val="false"/>
          <w:u w:val="none"/>
          <w:rtl w:val="true"/>
        </w:rPr>
        <w:t>כרבי יהודה</w:t>
      </w:r>
      <w:r>
        <w:rPr>
          <w:rFonts w:cs="Noto Rashi Hebrew"/>
          <w:b w:val="false"/>
          <w:bCs w:val="false"/>
          <w:u w:val="none"/>
          <w:rtl w:val="true"/>
        </w:rPr>
        <w:t>.</w:t>
      </w:r>
    </w:p>
  </w:footnote>
  <w:footnote w:id="6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 xml:space="preserve">בגמרא </w:t>
      </w:r>
      <w:r>
        <w:rPr>
          <w:rFonts w:cs="Noto Rashi Hebrew"/>
          <w:b/>
          <w:bCs/>
          <w:rtl w:val="true"/>
        </w:rPr>
        <w:t>(</w:t>
      </w:r>
      <w:r>
        <w:rPr>
          <w:rFonts w:cs="Noto Rashi Hebrew"/>
          <w:b/>
          <w:b/>
          <w:bCs/>
          <w:rtl w:val="true"/>
        </w:rPr>
        <w:t>יד</w:t>
      </w:r>
      <w:r>
        <w:rPr>
          <w:rFonts w:cs="Noto Rashi Hebrew"/>
          <w:b/>
          <w:bCs/>
          <w:rtl w:val="true"/>
        </w:rPr>
        <w:t>:)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מוסיף רשב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י טעם להקדמות אלו</w:t>
      </w:r>
      <w:r>
        <w:rPr>
          <w:rFonts w:cs="Noto Rashi Hebrew"/>
          <w:rtl w:val="true"/>
        </w:rPr>
        <w:t xml:space="preserve">: </w:t>
      </w:r>
      <w:r>
        <w:rPr>
          <w:rFonts w:cs="Noto Rashi Hebrew"/>
          <w:rtl w:val="true"/>
        </w:rPr>
        <w:t>שמע קודם לוהיה כיון שבשמע יש ללמוד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ללמד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ולעשות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ובוהיה יש רק ללמד ולעשות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והיה קודם לויאמר כיון שבוהיה יש ללמד ולעשות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ובויאמר יש רק לעשות</w:t>
      </w:r>
      <w:r>
        <w:rPr>
          <w:rFonts w:cs="Noto Rashi Hebrew"/>
          <w:rtl w:val="true"/>
        </w:rPr>
        <w:t>.</w:t>
      </w:r>
    </w:p>
  </w:footnote>
  <w:footnote w:id="7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ר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מה שנאמר באותו פרשה הוא מצווה שנוהג בין ביום בין בלילה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מה שאין כן בויאמר שמה שנאמר בתוכו הוא מצווה שאינו נוהג בלילה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 xml:space="preserve">כן </w:t>
      </w:r>
      <w:r>
        <w:rPr>
          <w:rFonts w:cs="Noto Rashi Hebrew"/>
          <w:b w:val="false"/>
          <w:b w:val="false"/>
          <w:bCs w:val="false"/>
          <w:rtl w:val="true"/>
        </w:rPr>
        <w:t>מפרש רש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י יג</w:t>
      </w:r>
      <w:r>
        <w:rPr>
          <w:rFonts w:cs="Noto Rashi Hebrew"/>
          <w:b w:val="false"/>
          <w:bCs w:val="false"/>
          <w:rtl w:val="true"/>
        </w:rPr>
        <w:t>.).</w:t>
      </w:r>
    </w:p>
  </w:footnote>
  <w:footnote w:id="8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b/>
          <w:b/>
          <w:bCs/>
          <w:rtl w:val="true"/>
        </w:rPr>
        <w:t>דינים היוצאים מן המשנה</w:t>
      </w:r>
      <w:r>
        <w:rPr>
          <w:rFonts w:cs="Noto Rashi Hebrew"/>
          <w:b/>
          <w:bCs/>
          <w:rtl w:val="true"/>
        </w:rPr>
        <w:t>:</w:t>
      </w:r>
    </w:p>
    <w:p>
      <w:pPr>
        <w:pStyle w:val="FootnoteText"/>
        <w:numPr>
          <w:ilvl w:val="0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חמשה מקומות נחשבים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בין הפרקים</w:t>
      </w:r>
      <w:r>
        <w:rPr>
          <w:rFonts w:cs="Noto Rashi Hebrew"/>
          <w:b w:val="false"/>
          <w:bCs w:val="false"/>
          <w:rtl w:val="true"/>
        </w:rPr>
        <w:t>":</w:t>
      </w:r>
    </w:p>
    <w:p>
      <w:pPr>
        <w:pStyle w:val="FootnoteText"/>
        <w:numPr>
          <w:ilvl w:val="1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בין ברכה ראשונה לברכה שניה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1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בין שניה לפרשת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שמע ישראל</w:t>
      </w:r>
      <w:r>
        <w:rPr>
          <w:rFonts w:cs="Noto Rashi Hebrew"/>
          <w:b w:val="false"/>
          <w:bCs w:val="false"/>
          <w:rtl w:val="true"/>
        </w:rPr>
        <w:t>.”</w:t>
      </w:r>
    </w:p>
    <w:p>
      <w:pPr>
        <w:pStyle w:val="FootnoteText"/>
        <w:numPr>
          <w:ilvl w:val="1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בין 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שמע ישראל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 xml:space="preserve">לפרשת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>.”</w:t>
      </w:r>
    </w:p>
    <w:p>
      <w:pPr>
        <w:pStyle w:val="FootnoteText"/>
        <w:numPr>
          <w:ilvl w:val="1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בין 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 xml:space="preserve">לפרשת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ויאמר</w:t>
      </w:r>
      <w:r>
        <w:rPr>
          <w:rFonts w:cs="Noto Rashi Hebrew"/>
          <w:b w:val="false"/>
          <w:bCs w:val="false"/>
          <w:rtl w:val="true"/>
        </w:rPr>
        <w:t>.”</w:t>
      </w:r>
    </w:p>
    <w:p>
      <w:pPr>
        <w:pStyle w:val="FootnoteText"/>
        <w:numPr>
          <w:ilvl w:val="1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בין 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ויאמר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 xml:space="preserve">לברכת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אמת ויציב</w:t>
      </w:r>
      <w:r>
        <w:rPr>
          <w:rFonts w:cs="Noto Rashi Hebrew"/>
          <w:b w:val="false"/>
          <w:bCs w:val="false"/>
          <w:rtl w:val="true"/>
        </w:rPr>
        <w:t>.”</w:t>
      </w:r>
    </w:p>
    <w:p>
      <w:pPr>
        <w:pStyle w:val="FootnoteText"/>
        <w:numPr>
          <w:ilvl w:val="0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סדר ברכות קריאת שמע הוא</w:t>
      </w:r>
      <w:r>
        <w:rPr>
          <w:rFonts w:cs="Noto Rashi Hebrew"/>
          <w:b w:val="false"/>
          <w:bCs w:val="false"/>
          <w:rtl w:val="true"/>
        </w:rPr>
        <w:t xml:space="preserve">: </w:t>
      </w: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שמע ישראל</w:t>
      </w:r>
      <w:r>
        <w:rPr>
          <w:rFonts w:cs="Noto Rashi Hebrew"/>
          <w:b w:val="false"/>
          <w:bCs w:val="false"/>
          <w:rtl w:val="true"/>
        </w:rPr>
        <w:t xml:space="preserve">" =&gt; </w:t>
      </w: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 xml:space="preserve">" =&gt; </w:t>
      </w: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ויאמר</w:t>
      </w:r>
      <w:r>
        <w:rPr>
          <w:rFonts w:cs="Noto Rashi Hebrew"/>
          <w:b w:val="false"/>
          <w:bCs w:val="false"/>
          <w:rtl w:val="true"/>
        </w:rPr>
        <w:t xml:space="preserve">.” </w:t>
      </w:r>
    </w:p>
    <w:p>
      <w:pPr>
        <w:pStyle w:val="FootnoteText"/>
        <w:numPr>
          <w:ilvl w:val="0"/>
          <w:numId w:val="0"/>
        </w:numPr>
        <w:ind w:hanging="340" w:start="720"/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>יש בזה שני דינים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ולכל אחד גמרא נותן שני טעמים</w:t>
      </w:r>
      <w:r>
        <w:rPr>
          <w:rFonts w:cs="Noto Rashi Hebrew"/>
          <w:b w:val="false"/>
          <w:bCs w:val="false"/>
          <w:rtl w:val="true"/>
        </w:rPr>
        <w:t>:</w:t>
      </w:r>
    </w:p>
    <w:p>
      <w:pPr>
        <w:pStyle w:val="FootnoteText"/>
        <w:numPr>
          <w:ilvl w:val="1"/>
          <w:numId w:val="2"/>
        </w:numPr>
        <w:rPr>
          <w:rFonts w:cs="Noto Rashi Hebrew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שמע ישראל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 xml:space="preserve">קודמת לפרשת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>.”</w:t>
      </w:r>
    </w:p>
    <w:p>
      <w:pPr>
        <w:pStyle w:val="FootnoteText"/>
        <w:numPr>
          <w:ilvl w:val="2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שמע ישראל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יש בו קבלת עול מלכות שמים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 xml:space="preserve">ופרשת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יש בו רק קבלת מצוות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2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שמע ישראל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יש בו ללמוד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ללמד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>ולעשות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 xml:space="preserve">ופרשת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יש בו רק ללמד וללמד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1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 xml:space="preserve">קודמת לפרשת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ויאמר</w:t>
      </w:r>
      <w:r>
        <w:rPr>
          <w:rFonts w:cs="Noto Rashi Hebrew"/>
          <w:b w:val="false"/>
          <w:bCs w:val="false"/>
          <w:rtl w:val="true"/>
        </w:rPr>
        <w:t>.”</w:t>
      </w:r>
    </w:p>
    <w:p>
      <w:pPr>
        <w:pStyle w:val="FootnoteText"/>
        <w:numPr>
          <w:ilvl w:val="2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מדבר על דבר שנוהג בין ביום ובין בלילה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 xml:space="preserve">ופרשת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ויאמר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מדבר על דבר שנוהג רק ביום</w:t>
      </w:r>
      <w:r>
        <w:rPr>
          <w:rFonts w:cs="Noto Rashi Hebrew"/>
          <w:b w:val="false"/>
          <w:bCs w:val="false"/>
          <w:rtl w:val="true"/>
        </w:rPr>
        <w:t>.</w:t>
      </w:r>
    </w:p>
    <w:p>
      <w:pPr>
        <w:pStyle w:val="FootnoteText"/>
        <w:numPr>
          <w:ilvl w:val="2"/>
          <w:numId w:val="2"/>
        </w:numPr>
        <w:rPr>
          <w:rFonts w:cs="Noto Rashi Hebrew"/>
          <w:b w:val="false"/>
          <w:bCs w:val="false"/>
        </w:rPr>
      </w:pPr>
      <w:r>
        <w:rPr>
          <w:rFonts w:cs="Noto Rashi Hebrew"/>
          <w:b w:val="false"/>
          <w:b w:val="false"/>
          <w:bCs w:val="false"/>
          <w:rtl w:val="true"/>
        </w:rPr>
        <w:t xml:space="preserve">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והיה אם שמוע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יש בו ללמד ולעשות</w:t>
      </w:r>
      <w:r>
        <w:rPr>
          <w:rFonts w:cs="Noto Rashi Hebrew"/>
          <w:b w:val="false"/>
          <w:bCs w:val="false"/>
          <w:rtl w:val="true"/>
        </w:rPr>
        <w:t xml:space="preserve">, </w:t>
      </w:r>
      <w:r>
        <w:rPr>
          <w:rFonts w:cs="Noto Rashi Hebrew"/>
          <w:b w:val="false"/>
          <w:b w:val="false"/>
          <w:bCs w:val="false"/>
          <w:rtl w:val="true"/>
        </w:rPr>
        <w:t xml:space="preserve">ופרשת </w:t>
      </w:r>
      <w:r>
        <w:rPr>
          <w:rFonts w:cs="Noto Rashi Hebrew"/>
          <w:b w:val="false"/>
          <w:bCs w:val="false"/>
          <w:rtl w:val="true"/>
        </w:rPr>
        <w:t>"</w:t>
      </w:r>
      <w:r>
        <w:rPr>
          <w:rFonts w:cs="Noto Rashi Hebrew"/>
          <w:b w:val="false"/>
          <w:b w:val="false"/>
          <w:bCs w:val="false"/>
          <w:rtl w:val="true"/>
        </w:rPr>
        <w:t>ויאמר</w:t>
      </w:r>
      <w:r>
        <w:rPr>
          <w:rFonts w:cs="Noto Rashi Hebrew"/>
          <w:b w:val="false"/>
          <w:bCs w:val="false"/>
          <w:rtl w:val="true"/>
        </w:rPr>
        <w:t xml:space="preserve">" </w:t>
      </w:r>
      <w:r>
        <w:rPr>
          <w:rFonts w:cs="Noto Rashi Hebrew"/>
          <w:b w:val="false"/>
          <w:b w:val="false"/>
          <w:bCs w:val="false"/>
          <w:rtl w:val="true"/>
        </w:rPr>
        <w:t>יש בו רק לעשות</w:t>
      </w:r>
      <w:r>
        <w:rPr>
          <w:rFonts w:cs="Noto Rashi Hebrew"/>
          <w:b w:val="false"/>
          <w:bCs w:val="false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Times New Roman"/>
      <w:b/>
      <w:bCs/>
      <w:szCs w:val="28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LineNumber">
    <w:name w:val="line number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bidi w:val="1"/>
      <w:ind w:hanging="340" w:start="340"/>
      <w:jc w:val="start"/>
    </w:pPr>
    <w:rPr>
      <w:rFonts w:eastAsia="DejaVu Serif"/>
      <w:sz w:val="20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</TotalTime>
  <Application>LibreOffice/25.8.2.2$Linux_X86_64 LibreOffice_project/580$Build-2</Application>
  <AppVersion>15.0000</AppVersion>
  <Pages>1</Pages>
  <Words>381</Words>
  <Characters>1548</Characters>
  <CharactersWithSpaces>1903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2026-02-20T10:58:58Z</dcterms:created>
  <dc:creator/>
  <dc:description/>
  <dc:language>en-US</dc:language>
  <cp:lastModifiedBy/>
  <dcterms:modified xsi:type="dcterms:W3CDTF">2026-03-08T11:17:11Z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