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1"/>
        <w:spacing w:before="40" w:after="0"/>
        <w:jc w:val="start"/>
        <w:rPr>
          <w:rFonts w:cs="DejaVu Serif"/>
        </w:rPr>
      </w:pPr>
      <w:r>
        <w:rPr>
          <w:rFonts w:cs="DejaVu Serif"/>
          <w:rtl w:val="true"/>
        </w:rPr>
        <w:t>משנה ג</w:t>
      </w:r>
      <w:r>
        <w:rPr>
          <w:rStyle w:val="FootnoteReference"/>
          <w:rFonts w:cs="DejaVu Serif"/>
          <w:sz w:val="28"/>
          <w:sz w:val="28"/>
          <w:rtl w:val="true"/>
        </w:rPr>
        <w:footnoteReference w:id="2"/>
      </w:r>
    </w:p>
    <w:p>
      <w:pPr>
        <w:pStyle w:val="Normal"/>
        <w:bidi w:val="1"/>
        <w:jc w:val="start"/>
        <w:rPr>
          <w:sz w:val="28"/>
          <w:szCs w:val="28"/>
        </w:rPr>
      </w:pPr>
      <w:r>
        <w:rPr>
          <w:rStyle w:val="FootnoteReference"/>
          <w:rFonts w:cs="DejaVu Serif"/>
          <w:b w:val="false"/>
          <w:bCs w:val="false"/>
          <w:sz w:val="28"/>
          <w:szCs w:val="28"/>
          <w:rtl w:val="true"/>
        </w:rPr>
        <w:footnoteReference w:id="3"/>
      </w: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>הקּוֹרֵא אֶת שְׁמַע וְלֹא הִשְׁמִיעַ לְאָזְנוֹ</w:t>
      </w:r>
      <w:r>
        <w:rPr>
          <w:rFonts w:cs="DejaVu Serif"/>
          <w:b w:val="false"/>
          <w:bCs w:val="false"/>
          <w:sz w:val="28"/>
          <w:szCs w:val="28"/>
          <w:rtl w:val="true"/>
        </w:rPr>
        <w:t xml:space="preserve">, </w:t>
      </w: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>יָצָא</w:t>
      </w:r>
      <w:r>
        <w:rPr>
          <w:rStyle w:val="FootnoteReference"/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footnoteReference w:id="4"/>
      </w:r>
      <w:r>
        <w:rPr>
          <w:rFonts w:cs="DejaVu Serif"/>
          <w:b w:val="false"/>
          <w:bCs w:val="false"/>
          <w:sz w:val="28"/>
          <w:szCs w:val="28"/>
          <w:rtl w:val="true"/>
        </w:rPr>
        <w:t xml:space="preserve">. </w:t>
      </w: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>רַבִּי יוֹסֵי אוֹמֵר</w:t>
      </w:r>
      <w:r>
        <w:rPr>
          <w:rFonts w:cs="DejaVu Serif"/>
          <w:b w:val="false"/>
          <w:bCs w:val="false"/>
          <w:sz w:val="28"/>
          <w:szCs w:val="28"/>
          <w:rtl w:val="true"/>
        </w:rPr>
        <w:t xml:space="preserve">, </w:t>
      </w: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>לֹא יָצָא</w:t>
      </w:r>
      <w:r>
        <w:rPr>
          <w:rStyle w:val="FootnoteReference"/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footnoteReference w:id="5"/>
      </w:r>
      <w:r>
        <w:rPr>
          <w:rStyle w:val="FootnoteReference"/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footnoteReference w:id="6"/>
      </w:r>
      <w:r>
        <w:rPr>
          <w:rFonts w:cs="DejaVu Serif"/>
          <w:b w:val="false"/>
          <w:bCs w:val="false"/>
          <w:sz w:val="28"/>
          <w:szCs w:val="28"/>
          <w:rtl w:val="true"/>
        </w:rPr>
        <w:t xml:space="preserve">. </w:t>
      </w:r>
    </w:p>
    <w:p>
      <w:pPr>
        <w:pStyle w:val="Normal"/>
        <w:bidi w:val="1"/>
        <w:jc w:val="start"/>
        <w:rPr>
          <w:sz w:val="28"/>
          <w:szCs w:val="28"/>
        </w:rPr>
      </w:pP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>קָרָא וְלֹא דִקְ</w:t>
      </w:r>
      <w:r>
        <w:rPr>
          <w:rFonts w:cs="DejaVu Serif"/>
          <w:sz w:val="28"/>
          <w:sz w:val="28"/>
          <w:szCs w:val="28"/>
          <w:rtl w:val="true"/>
        </w:rPr>
        <w:t>דֵּק בְּאוֹתִיּוֹתֶיהָ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7"/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רַבִּי יוֹסֵי אוֹמֵר יָצָא</w:t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רַבִּי יְהוּדָה אוֹמֵר לֹא יָצָא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8"/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9"/>
      </w:r>
      <w:r>
        <w:rPr>
          <w:rFonts w:cs="DejaVu Serif"/>
          <w:sz w:val="28"/>
          <w:szCs w:val="28"/>
          <w:rtl w:val="true"/>
        </w:rPr>
        <w:t xml:space="preserve">. </w:t>
      </w:r>
    </w:p>
    <w:p>
      <w:pPr>
        <w:pStyle w:val="Normal"/>
        <w:bidi w:val="1"/>
        <w:jc w:val="start"/>
        <w:rPr>
          <w:sz w:val="28"/>
          <w:szCs w:val="28"/>
        </w:rPr>
      </w:pPr>
      <w:r>
        <w:rPr>
          <w:rFonts w:cs="DejaVu Serif"/>
          <w:sz w:val="28"/>
          <w:sz w:val="28"/>
          <w:szCs w:val="28"/>
          <w:rtl w:val="true"/>
        </w:rPr>
        <w:t>הַקּוֹרֵא לְמַפְרֵעַ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10"/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לֹא יָצָא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11"/>
      </w:r>
      <w:r>
        <w:rPr>
          <w:rFonts w:cs="DejaVu Serif"/>
          <w:sz w:val="28"/>
          <w:szCs w:val="28"/>
          <w:rtl w:val="true"/>
        </w:rPr>
        <w:t xml:space="preserve">. </w:t>
      </w:r>
    </w:p>
    <w:p>
      <w:pPr>
        <w:pStyle w:val="Normal"/>
        <w:bidi w:val="1"/>
        <w:jc w:val="start"/>
        <w:rPr>
          <w:sz w:val="28"/>
          <w:szCs w:val="28"/>
        </w:rPr>
      </w:pPr>
      <w:r>
        <w:rPr>
          <w:rFonts w:cs="DejaVu Serif"/>
          <w:sz w:val="28"/>
          <w:sz w:val="28"/>
          <w:szCs w:val="28"/>
          <w:rtl w:val="true"/>
        </w:rPr>
        <w:t>קָרָא וְטָעָה</w:t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יַחֲזֹר לְמָקוֹם שֶׁטָּעָה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12"/>
      </w:r>
      <w:r>
        <w:rPr>
          <w:rFonts w:cs="DejaVu Serif"/>
          <w:sz w:val="28"/>
          <w:szCs w:val="28"/>
          <w:rtl w:val="true"/>
        </w:rPr>
        <w:t>:</w:t>
      </w:r>
      <w:r>
        <w:rPr>
          <w:rStyle w:val="FootnoteReference"/>
          <w:rFonts w:cs="DejaVu Serif"/>
          <w:sz w:val="28"/>
          <w:szCs w:val="28"/>
          <w:rtl w:val="true"/>
        </w:rPr>
        <w:footnoteReference w:id="13"/>
      </w:r>
      <w:r>
        <w:rPr>
          <w:rFonts w:cs="DejaVu Serif"/>
          <w:sz w:val="28"/>
          <w:szCs w:val="28"/>
          <w:rtl w:val="true"/>
        </w:rPr>
        <w:t xml:space="preserve"> 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rFonts w:cs="Noto Rashi Hebrew"/>
          <w:b/>
          <w:bCs/>
        </w:rPr>
      </w:pPr>
      <w:r>
        <w:rPr>
          <w:rStyle w:val="FootnoteCharacters"/>
        </w:rPr>
        <w:footnoteRef/>
      </w:r>
      <w:r>
        <w:rPr>
          <w:rFonts w:cs="Noto Rashi Hebrew"/>
          <w:b/>
          <w:bCs/>
          <w:rtl w:val="true"/>
        </w:rPr>
        <w:tab/>
      </w:r>
      <w:r>
        <w:rPr>
          <w:rFonts w:cs="Noto Rashi Hebrew"/>
          <w:b/>
          <w:b/>
          <w:bCs/>
          <w:rtl w:val="true"/>
        </w:rPr>
        <w:t>משנה ג</w:t>
      </w:r>
      <w:r>
        <w:rPr>
          <w:rFonts w:cs="Noto Rashi Hebrew"/>
          <w:b/>
          <w:bCs/>
          <w:rtl w:val="true"/>
        </w:rPr>
        <w:t>: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Fonts w:cs="Noto Rashi Hebrew"/>
          <w:b/>
          <w:b/>
          <w:bCs/>
          <w:rtl w:val="true"/>
        </w:rPr>
        <w:t>הקדמה</w:t>
      </w:r>
      <w:r>
        <w:rPr>
          <w:rFonts w:cs="Noto Rashi Hebrew"/>
          <w:b/>
          <w:bCs/>
          <w:rtl w:val="true"/>
        </w:rPr>
        <w:t>:</w:t>
      </w:r>
    </w:p>
    <w:p>
      <w:pPr>
        <w:pStyle w:val="FootnoteText"/>
        <w:rPr>
          <w:rFonts w:cs="Noto Rashi Hebrew"/>
          <w:b/>
          <w:bCs/>
        </w:rPr>
      </w:pPr>
      <w:r>
        <w:rPr>
          <w:rFonts w:cs="Noto Rashi Hebrew"/>
          <w:b/>
          <w:bCs/>
          <w:rtl w:val="true"/>
        </w:rPr>
        <w:tab/>
      </w:r>
      <w:r>
        <w:rPr>
          <w:rFonts w:cs="Noto Rashi Hebrew"/>
          <w:b w:val="false"/>
          <w:b w:val="false"/>
          <w:bCs w:val="false"/>
          <w:rtl w:val="true"/>
        </w:rPr>
        <w:t>המשנה ממשיך בדיני קריאת שמע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ומבאר איך הוא קורא אותו – אם צריך לשמוע אותו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כמה צריך לדקדק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באיזה סדר מילים קורא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ומה יעשה אם טועה</w:t>
      </w:r>
      <w:r>
        <w:rPr>
          <w:rFonts w:cs="Noto Rashi Hebrew"/>
          <w:b w:val="false"/>
          <w:bCs w:val="false"/>
          <w:rtl w:val="true"/>
        </w:rPr>
        <w:t>.</w:t>
      </w:r>
    </w:p>
  </w:footnote>
  <w:footnote w:id="4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b w:val="false"/>
          <w:bCs w:val="false"/>
          <w:rtl w:val="true"/>
        </w:rPr>
        <w:tab/>
      </w:r>
      <w:r>
        <w:rPr>
          <w:rFonts w:cs="Noto Rashi Hebrew"/>
          <w:b w:val="false"/>
          <w:b w:val="false"/>
          <w:bCs w:val="false"/>
          <w:rtl w:val="true"/>
        </w:rPr>
        <w:t>מן הגמרא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ייצא שלש שיטות בזה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ולא רק שנים שבמשנתינו</w:t>
      </w:r>
      <w:r>
        <w:rPr>
          <w:rFonts w:cs="Noto Rashi Hebrew"/>
          <w:b w:val="false"/>
          <w:bCs w:val="false"/>
          <w:rtl w:val="true"/>
        </w:rPr>
        <w:t xml:space="preserve">. </w:t>
      </w:r>
      <w:r>
        <w:rPr>
          <w:rFonts w:cs="Noto Rashi Hebrew"/>
          <w:b w:val="false"/>
          <w:b w:val="false"/>
          <w:bCs w:val="false"/>
          <w:rtl w:val="true"/>
        </w:rPr>
        <w:t>בע”ה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 xml:space="preserve">נבאר את זה בהשלמות </w:t>
      </w:r>
      <w:r>
        <w:rPr>
          <w:rFonts w:cs="Noto Rashi Hebrew"/>
          <w:b w:val="false"/>
          <w:bCs w:val="false"/>
          <w:rtl w:val="true"/>
        </w:rPr>
        <w:t>[</w:t>
      </w:r>
      <w:r>
        <w:rPr>
          <w:rFonts w:cs="Noto Rashi Hebrew"/>
          <w:b w:val="false"/>
          <w:b w:val="false"/>
          <w:bCs w:val="false"/>
          <w:rtl w:val="true"/>
        </w:rPr>
        <w:t>א</w:t>
      </w:r>
      <w:r>
        <w:rPr>
          <w:rFonts w:cs="Noto Rashi Hebrew"/>
          <w:b w:val="false"/>
          <w:bCs w:val="false"/>
          <w:rtl w:val="true"/>
        </w:rPr>
        <w:t>].</w:t>
      </w:r>
    </w:p>
  </w:footnote>
  <w:footnote w:id="5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גמרא דורש את זה ממש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כ</w:t>
      </w:r>
      <w:r>
        <w:rPr>
          <w:rFonts w:cs="Noto Rashi Hebrew"/>
          <w:rtl w:val="true"/>
        </w:rPr>
        <w:t>, "</w:t>
      </w:r>
      <w:r>
        <w:rPr>
          <w:rFonts w:cs="Noto Rashi Hebrew"/>
          <w:rtl w:val="true"/>
        </w:rPr>
        <w:t>שמע</w:t>
      </w:r>
      <w:r>
        <w:rPr>
          <w:rFonts w:cs="Noto Rashi Hebrew"/>
          <w:rtl w:val="true"/>
        </w:rPr>
        <w:t xml:space="preserve">." </w:t>
      </w:r>
      <w:r>
        <w:rPr>
          <w:rFonts w:cs="Noto Rashi Hebrew"/>
          <w:b/>
          <w:bCs/>
          <w:u w:val="single"/>
          <w:rtl w:val="true"/>
        </w:rPr>
        <w:t>(</w:t>
      </w:r>
      <w:r>
        <w:rPr>
          <w:rFonts w:cs="Noto Rashi Hebrew"/>
          <w:b/>
          <w:b/>
          <w:bCs/>
          <w:u w:val="single"/>
          <w:rtl w:val="true"/>
        </w:rPr>
        <w:t>טו</w:t>
      </w:r>
      <w:r>
        <w:rPr>
          <w:rFonts w:cs="Noto Rashi Hebrew"/>
          <w:b/>
          <w:bCs/>
          <w:u w:val="single"/>
          <w:rtl w:val="true"/>
        </w:rPr>
        <w:t>.)</w:t>
      </w:r>
      <w:r>
        <w:rPr>
          <w:rFonts w:cs="Noto Rashi Hebrew"/>
          <w:b w:val="false"/>
          <w:bCs w:val="false"/>
          <w:u w:val="none"/>
          <w:rtl w:val="true"/>
        </w:rPr>
        <w:t xml:space="preserve"> [</w:t>
      </w:r>
      <w:r>
        <w:rPr>
          <w:rFonts w:cs="Noto Rashi Hebrew"/>
          <w:b w:val="false"/>
          <w:b w:val="false"/>
          <w:bCs w:val="false"/>
          <w:u w:val="none"/>
          <w:rtl w:val="true"/>
        </w:rPr>
        <w:t>ב</w:t>
      </w:r>
      <w:r>
        <w:rPr>
          <w:rFonts w:cs="Noto Rashi Hebrew"/>
          <w:b w:val="false"/>
          <w:bCs w:val="false"/>
          <w:u w:val="none"/>
          <w:rtl w:val="true"/>
        </w:rPr>
        <w:t>]</w:t>
      </w:r>
    </w:p>
  </w:footnote>
  <w:footnote w:id="6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 xml:space="preserve">פוסק גמרא </w:t>
      </w:r>
      <w:r>
        <w:rPr>
          <w:rFonts w:cs="Noto Rashi Hebrew"/>
          <w:b/>
          <w:bCs/>
          <w:u w:val="single"/>
          <w:rtl w:val="true"/>
        </w:rPr>
        <w:t>(</w:t>
      </w:r>
      <w:r>
        <w:rPr>
          <w:rFonts w:cs="Noto Rashi Hebrew"/>
          <w:b/>
          <w:b/>
          <w:bCs/>
          <w:u w:val="single"/>
          <w:rtl w:val="true"/>
        </w:rPr>
        <w:t>טו</w:t>
      </w:r>
      <w:r>
        <w:rPr>
          <w:rFonts w:cs="Noto Rashi Hebrew"/>
          <w:b/>
          <w:bCs/>
          <w:u w:val="single"/>
          <w:rtl w:val="true"/>
        </w:rPr>
        <w:t>:)</w:t>
      </w:r>
      <w:r>
        <w:rPr>
          <w:rFonts w:cs="Noto Rashi Hebrew"/>
          <w:rtl w:val="true"/>
        </w:rPr>
        <w:t xml:space="preserve"> </w:t>
      </w:r>
      <w:r>
        <w:rPr>
          <w:rFonts w:cs="Noto Rashi Hebrew"/>
          <w:rtl w:val="true"/>
        </w:rPr>
        <w:t>כתנא קמא</w:t>
      </w:r>
      <w:r>
        <w:rPr>
          <w:rFonts w:cs="Noto Rashi Hebrew"/>
          <w:rtl w:val="true"/>
        </w:rPr>
        <w:t>.</w:t>
      </w:r>
    </w:p>
  </w:footnote>
  <w:footnote w:id="7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רש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 xml:space="preserve">י מפרש שהוא לפרשן יפה בשפתי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רש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 xml:space="preserve">י </w:t>
      </w:r>
      <w:r>
        <w:rPr>
          <w:rFonts w:cs="Noto Rashi Hebrew"/>
          <w:b/>
          <w:b/>
          <w:bCs/>
          <w:rtl w:val="true"/>
        </w:rPr>
        <w:t>טו</w:t>
      </w:r>
      <w:r>
        <w:rPr>
          <w:rFonts w:cs="Noto Rashi Hebrew"/>
          <w:b/>
          <w:bCs/>
          <w:rtl w:val="true"/>
        </w:rPr>
        <w:t>.</w:t>
      </w:r>
      <w:r>
        <w:rPr>
          <w:rFonts w:cs="Noto Rashi Hebrew"/>
          <w:rtl w:val="true"/>
        </w:rPr>
        <w:t xml:space="preserve">). </w:t>
      </w:r>
      <w:r>
        <w:rPr>
          <w:rFonts w:cs="Noto Rashi Hebrew"/>
          <w:rtl w:val="true"/>
        </w:rPr>
        <w:t xml:space="preserve">עיין בהשלמות </w:t>
      </w:r>
      <w:r>
        <w:rPr>
          <w:rFonts w:cs="Noto Rashi Hebrew"/>
          <w:rtl w:val="true"/>
        </w:rPr>
        <w:t>[</w:t>
      </w:r>
      <w:r>
        <w:rPr>
          <w:rFonts w:cs="Noto Rashi Hebrew"/>
          <w:rtl w:val="true"/>
        </w:rPr>
        <w:t>ג</w:t>
      </w:r>
      <w:r>
        <w:rPr>
          <w:rFonts w:cs="Noto Rashi Hebrew"/>
          <w:rtl w:val="true"/>
        </w:rPr>
        <w:t>].</w:t>
      </w:r>
    </w:p>
  </w:footnote>
  <w:footnote w:id="8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 xml:space="preserve">גמרא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טו</w:t>
      </w:r>
      <w:r>
        <w:rPr>
          <w:rFonts w:cs="Noto Rashi Hebrew"/>
          <w:rtl w:val="true"/>
        </w:rPr>
        <w:t xml:space="preserve">:) </w:t>
      </w:r>
      <w:r>
        <w:rPr>
          <w:rFonts w:cs="Noto Rashi Hebrew"/>
          <w:rtl w:val="true"/>
        </w:rPr>
        <w:t>דורש את זה מ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ולמדתם</w:t>
      </w:r>
      <w:r>
        <w:rPr>
          <w:rFonts w:cs="Noto Rashi Hebrew"/>
          <w:rtl w:val="true"/>
        </w:rPr>
        <w:t xml:space="preserve">.” </w:t>
      </w:r>
      <w:r>
        <w:rPr>
          <w:rFonts w:cs="Noto Rashi Hebrew"/>
          <w:rtl w:val="true"/>
        </w:rPr>
        <w:t xml:space="preserve">שמשמע שהלימוד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רצה לומר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הדיבור</w:t>
      </w:r>
      <w:r>
        <w:rPr>
          <w:rFonts w:cs="Noto Rashi Hebrew"/>
          <w:rtl w:val="true"/>
        </w:rPr>
        <w:t xml:space="preserve">) </w:t>
      </w:r>
      <w:r>
        <w:rPr>
          <w:rFonts w:cs="Noto Rashi Hebrew"/>
          <w:rtl w:val="true"/>
        </w:rPr>
        <w:t>יהיה תם</w:t>
      </w:r>
      <w:r>
        <w:rPr>
          <w:rFonts w:cs="Noto Rashi Hebrew"/>
          <w:rtl w:val="true"/>
        </w:rPr>
        <w:t>.</w:t>
      </w:r>
      <w:r>
        <w:rPr>
          <w:rFonts w:cs="Noto Rashi Hebrew"/>
          <w:rtl w:val="true"/>
        </w:rPr>
        <w:t xml:space="preserve"> [</w:t>
      </w:r>
      <w:r>
        <w:rPr>
          <w:rFonts w:cs="Noto Rashi Hebrew"/>
          <w:rtl w:val="true"/>
        </w:rPr>
        <w:t>ד</w:t>
      </w:r>
      <w:r>
        <w:rPr>
          <w:rFonts w:cs="Noto Rashi Hebrew"/>
          <w:rtl w:val="true"/>
        </w:rPr>
        <w:t>]</w:t>
      </w:r>
    </w:p>
  </w:footnote>
  <w:footnote w:id="9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 xml:space="preserve">פוסק גמרא </w:t>
      </w:r>
      <w:r>
        <w:rPr>
          <w:rFonts w:cs="Noto Rashi Hebrew"/>
          <w:b/>
          <w:bCs/>
          <w:u w:val="single"/>
          <w:rtl w:val="true"/>
        </w:rPr>
        <w:t>(</w:t>
      </w:r>
      <w:r>
        <w:rPr>
          <w:rFonts w:cs="Noto Rashi Hebrew"/>
          <w:b/>
          <w:b/>
          <w:bCs/>
          <w:u w:val="single"/>
          <w:rtl w:val="true"/>
        </w:rPr>
        <w:t>טו</w:t>
      </w:r>
      <w:r>
        <w:rPr>
          <w:rFonts w:cs="Noto Rashi Hebrew"/>
          <w:b/>
          <w:bCs/>
          <w:u w:val="single"/>
          <w:rtl w:val="true"/>
        </w:rPr>
        <w:t>:)</w:t>
      </w:r>
      <w:r>
        <w:rPr>
          <w:rFonts w:cs="Noto Rashi Hebrew"/>
          <w:rtl w:val="true"/>
        </w:rPr>
        <w:t xml:space="preserve"> </w:t>
      </w:r>
      <w:r>
        <w:rPr>
          <w:rFonts w:cs="Noto Rashi Hebrew"/>
          <w:rtl w:val="true"/>
        </w:rPr>
        <w:t>כרבי יוסי</w:t>
      </w:r>
      <w:r>
        <w:rPr>
          <w:rFonts w:cs="Noto Rashi Hebrew"/>
          <w:rtl w:val="true"/>
        </w:rPr>
        <w:t>.</w:t>
      </w:r>
    </w:p>
  </w:footnote>
  <w:footnote w:id="10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ר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ל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שאמר מילה מאוחרת קודם מילה מוקדמת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b/>
          <w:bCs/>
          <w:rtl w:val="true"/>
        </w:rPr>
        <w:t>(</w:t>
      </w:r>
      <w:r>
        <w:rPr>
          <w:rFonts w:cs="Noto Rashi Hebrew"/>
          <w:rtl w:val="true"/>
        </w:rPr>
        <w:t>רש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 xml:space="preserve">י </w:t>
      </w:r>
      <w:r>
        <w:rPr>
          <w:rFonts w:cs="Noto Rashi Hebrew"/>
          <w:b/>
          <w:b/>
          <w:bCs/>
          <w:rtl w:val="true"/>
        </w:rPr>
        <w:t>יג</w:t>
      </w:r>
      <w:r>
        <w:rPr>
          <w:rFonts w:cs="Noto Rashi Hebrew"/>
          <w:b/>
          <w:bCs/>
          <w:rtl w:val="true"/>
        </w:rPr>
        <w:t>.</w:t>
      </w:r>
      <w:r>
        <w:rPr>
          <w:rFonts w:cs="Noto Rashi Hebrew"/>
          <w:rtl w:val="true"/>
        </w:rPr>
        <w:t>)</w:t>
      </w:r>
    </w:p>
  </w:footnote>
  <w:footnote w:id="11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חולקים רבי ורבנן מהו המקור לזה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רבי דורש אותו מ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ה</w:t>
      </w:r>
      <w:r>
        <w:rPr>
          <w:rFonts w:cs="Noto Rashi Hebrew"/>
          <w:rtl w:val="true"/>
        </w:rPr>
        <w:t xml:space="preserve">" </w:t>
      </w:r>
      <w:r>
        <w:rPr>
          <w:rFonts w:cs="Noto Rashi Hebrew"/>
          <w:rtl w:val="true"/>
        </w:rPr>
        <w:t xml:space="preserve">של 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הדברים</w:t>
      </w:r>
      <w:r>
        <w:rPr>
          <w:rFonts w:cs="Noto Rashi Hebrew"/>
          <w:rtl w:val="true"/>
        </w:rPr>
        <w:t xml:space="preserve">.” </w:t>
      </w:r>
      <w:r>
        <w:rPr>
          <w:rFonts w:cs="Noto Rashi Hebrew"/>
          <w:rtl w:val="true"/>
        </w:rPr>
        <w:t>רבנן דורשים אותו מ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והיו</w:t>
      </w:r>
      <w:r>
        <w:rPr>
          <w:rFonts w:cs="Noto Rashi Hebrew"/>
          <w:rtl w:val="true"/>
        </w:rPr>
        <w:t xml:space="preserve">.” </w:t>
      </w:r>
      <w:r>
        <w:rPr>
          <w:rFonts w:cs="Noto Rashi Hebrew"/>
          <w:b/>
          <w:bCs/>
          <w:u w:val="single"/>
          <w:rtl w:val="true"/>
        </w:rPr>
        <w:t>(</w:t>
      </w:r>
      <w:r>
        <w:rPr>
          <w:rFonts w:cs="Noto Rashi Hebrew"/>
          <w:b/>
          <w:b/>
          <w:bCs/>
          <w:u w:val="single"/>
          <w:rtl w:val="true"/>
        </w:rPr>
        <w:t>יג</w:t>
      </w:r>
      <w:r>
        <w:rPr>
          <w:rFonts w:cs="Noto Rashi Hebrew"/>
          <w:b/>
          <w:bCs/>
          <w:u w:val="single"/>
          <w:rtl w:val="true"/>
        </w:rPr>
        <w:t>.)</w:t>
      </w:r>
    </w:p>
  </w:footnote>
  <w:footnote w:id="12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אם יודע שאמר דבר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אז חוזר למיד אחרי אותו דבר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אם לא יודע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חוזר לתחילת קריאת שמע</w:t>
      </w:r>
      <w:r>
        <w:rPr>
          <w:rFonts w:cs="Noto Rashi Hebrew"/>
          <w:rtl w:val="true"/>
        </w:rPr>
        <w:t xml:space="preserve">.  </w:t>
      </w:r>
      <w:r>
        <w:rPr>
          <w:rFonts w:cs="Noto Rashi Hebrew"/>
          <w:rtl w:val="true"/>
        </w:rPr>
        <w:t xml:space="preserve">גמרא </w:t>
      </w:r>
      <w:r>
        <w:rPr>
          <w:rFonts w:cs="Noto Rashi Hebrew"/>
          <w:b/>
          <w:bCs/>
          <w:u w:val="single"/>
          <w:rtl w:val="true"/>
        </w:rPr>
        <w:t>(</w:t>
      </w:r>
      <w:r>
        <w:rPr>
          <w:rFonts w:cs="Noto Rashi Hebrew"/>
          <w:b/>
          <w:b/>
          <w:bCs/>
          <w:u w:val="single"/>
          <w:rtl w:val="true"/>
        </w:rPr>
        <w:t>טז</w:t>
      </w:r>
      <w:r>
        <w:rPr>
          <w:rFonts w:cs="Noto Rashi Hebrew"/>
          <w:b/>
          <w:bCs/>
          <w:u w:val="single"/>
          <w:rtl w:val="true"/>
        </w:rPr>
        <w:t>.)</w:t>
      </w:r>
      <w:r>
        <w:rPr>
          <w:rFonts w:cs="Noto Rashi Hebrew"/>
          <w:b w:val="false"/>
          <w:bCs w:val="false"/>
          <w:u w:val="none"/>
          <w:rtl w:val="true"/>
        </w:rPr>
        <w:t xml:space="preserve"> </w:t>
      </w:r>
      <w:r>
        <w:rPr>
          <w:rFonts w:cs="Noto Rashi Hebrew"/>
          <w:b w:val="false"/>
          <w:b w:val="false"/>
          <w:bCs w:val="false"/>
          <w:u w:val="none"/>
          <w:rtl w:val="true"/>
        </w:rPr>
        <w:t>מזכיר שיש יוצא מכלל זה</w:t>
      </w:r>
      <w:r>
        <w:rPr>
          <w:rFonts w:cs="Noto Rashi Hebrew"/>
          <w:b w:val="false"/>
          <w:bCs w:val="false"/>
          <w:u w:val="none"/>
          <w:rtl w:val="true"/>
        </w:rPr>
        <w:t xml:space="preserve">; </w:t>
      </w:r>
      <w:r>
        <w:rPr>
          <w:rFonts w:cs="Noto Rashi Hebrew"/>
          <w:b w:val="false"/>
          <w:b w:val="false"/>
          <w:bCs w:val="false"/>
          <w:u w:val="none"/>
          <w:rtl w:val="true"/>
        </w:rPr>
        <w:t>עיין בהשלמות</w:t>
      </w:r>
      <w:r>
        <w:rPr>
          <w:rFonts w:cs="Noto Rashi Hebrew"/>
          <w:b w:val="false"/>
          <w:bCs w:val="false"/>
          <w:u w:val="none"/>
          <w:rtl w:val="true"/>
        </w:rPr>
        <w:t xml:space="preserve">. </w:t>
      </w:r>
      <w:r>
        <w:rPr>
          <w:rFonts w:cs="Noto Rashi Hebrew"/>
          <w:rtl w:val="true"/>
        </w:rPr>
        <w:t>[</w:t>
      </w:r>
      <w:r>
        <w:rPr>
          <w:rFonts w:cs="Noto Rashi Hebrew"/>
          <w:rtl w:val="true"/>
        </w:rPr>
        <w:t>ה</w:t>
      </w:r>
      <w:r>
        <w:rPr>
          <w:rFonts w:cs="Noto Rashi Hebrew"/>
          <w:rtl w:val="true"/>
        </w:rPr>
        <w:t>]</w:t>
      </w:r>
    </w:p>
  </w:footnote>
  <w:footnote w:id="13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b/>
          <w:b/>
          <w:bCs/>
          <w:rtl w:val="true"/>
        </w:rPr>
        <w:t>דינים היוצאים מן המשנה</w:t>
      </w:r>
      <w:r>
        <w:rPr>
          <w:rFonts w:cs="Noto Rashi Hebrew"/>
          <w:b/>
          <w:bCs/>
          <w:rtl w:val="true"/>
        </w:rPr>
        <w:t>:</w:t>
      </w:r>
    </w:p>
    <w:p>
      <w:pPr>
        <w:pStyle w:val="FootnoteText"/>
        <w:numPr>
          <w:ilvl w:val="0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>קריאה בלי השמעה לאזנים</w:t>
      </w:r>
      <w:r>
        <w:rPr>
          <w:rFonts w:cs="Noto Rashi Hebrew"/>
          <w:b w:val="false"/>
          <w:bCs w:val="false"/>
          <w:rtl w:val="true"/>
        </w:rPr>
        <w:t>:</w:t>
      </w:r>
    </w:p>
    <w:p>
      <w:pPr>
        <w:pStyle w:val="FootnoteText"/>
        <w:numPr>
          <w:ilvl w:val="1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>רבי מאיר – מותר לכתחילה</w:t>
      </w:r>
      <w:r>
        <w:rPr>
          <w:rFonts w:cs="Noto Rashi Hebrew"/>
          <w:b w:val="false"/>
          <w:bCs w:val="false"/>
          <w:rtl w:val="true"/>
        </w:rPr>
        <w:t xml:space="preserve">. </w:t>
      </w:r>
      <w:r>
        <w:rPr>
          <w:rFonts w:cs="Noto Rashi Hebrew"/>
          <w:b w:val="false"/>
          <w:b w:val="false"/>
          <w:bCs w:val="false"/>
          <w:rtl w:val="true"/>
        </w:rPr>
        <w:t>דורש כן ממש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כ</w:t>
      </w:r>
      <w:r>
        <w:rPr>
          <w:rFonts w:cs="Noto Rashi Hebrew"/>
          <w:b w:val="false"/>
          <w:bCs w:val="false"/>
          <w:rtl w:val="true"/>
        </w:rPr>
        <w:t>, “</w:t>
      </w:r>
      <w:r>
        <w:rPr>
          <w:rFonts w:cs="Noto Rashi Hebrew"/>
          <w:b w:val="false"/>
          <w:b w:val="false"/>
          <w:bCs w:val="false"/>
          <w:rtl w:val="true"/>
        </w:rPr>
        <w:t>על לבבך</w:t>
      </w:r>
      <w:r>
        <w:rPr>
          <w:rFonts w:cs="Noto Rashi Hebrew"/>
          <w:b w:val="false"/>
          <w:bCs w:val="false"/>
          <w:rtl w:val="true"/>
        </w:rPr>
        <w:t>.”</w:t>
      </w:r>
    </w:p>
    <w:p>
      <w:pPr>
        <w:pStyle w:val="FootnoteText"/>
        <w:numPr>
          <w:ilvl w:val="1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>רבי יהודה בשם ראב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ע – יצא בדיעבד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1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>רבי יוסי – לא יצא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0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קריאה בלי דקדוק באותיות </w:t>
      </w:r>
      <w:r>
        <w:rPr>
          <w:rFonts w:cs="Noto Rashi Hebrew"/>
          <w:b w:val="false"/>
          <w:bCs w:val="false"/>
          <w:rtl w:val="true"/>
        </w:rPr>
        <w:t>(</w:t>
      </w:r>
      <w:r>
        <w:rPr>
          <w:rFonts w:cs="Noto Rashi Hebrew"/>
          <w:b w:val="false"/>
          <w:b w:val="false"/>
          <w:bCs w:val="false"/>
          <w:rtl w:val="true"/>
        </w:rPr>
        <w:t>שעשה שני מילים לאחד</w:t>
      </w:r>
      <w:r>
        <w:rPr>
          <w:rFonts w:cs="Noto Rashi Hebrew"/>
          <w:b w:val="false"/>
          <w:bCs w:val="false"/>
          <w:rtl w:val="true"/>
        </w:rPr>
        <w:t>) -</w:t>
      </w:r>
    </w:p>
    <w:p>
      <w:pPr>
        <w:pStyle w:val="FootnoteText"/>
        <w:numPr>
          <w:ilvl w:val="1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>רבי יוסי – יצא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1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>רבי יהודה – לא יצא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0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קורא למפרע </w:t>
      </w:r>
      <w:r>
        <w:rPr>
          <w:rFonts w:cs="Noto Rashi Hebrew"/>
          <w:b w:val="false"/>
          <w:bCs w:val="false"/>
          <w:rtl w:val="true"/>
        </w:rPr>
        <w:t>(</w:t>
      </w:r>
      <w:r>
        <w:rPr>
          <w:rFonts w:cs="Noto Rashi Hebrew"/>
          <w:b w:val="false"/>
          <w:b w:val="false"/>
          <w:bCs w:val="false"/>
          <w:rtl w:val="true"/>
        </w:rPr>
        <w:t>שמקדים מילה שצריך לאחר</w:t>
      </w:r>
      <w:r>
        <w:rPr>
          <w:rFonts w:cs="Noto Rashi Hebrew"/>
          <w:b w:val="false"/>
          <w:bCs w:val="false"/>
          <w:rtl w:val="true"/>
        </w:rPr>
        <w:t xml:space="preserve">) – </w:t>
      </w:r>
      <w:r>
        <w:rPr>
          <w:rFonts w:cs="Noto Rashi Hebrew"/>
          <w:b w:val="false"/>
          <w:b w:val="false"/>
          <w:bCs w:val="false"/>
          <w:rtl w:val="true"/>
        </w:rPr>
        <w:t>לא יצא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0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>אם אדם טעה בקריאה – חוזר למקום שטעה</w:t>
      </w:r>
      <w:r>
        <w:rPr>
          <w:rFonts w:cs="Noto Rashi Hebrew"/>
          <w:b w:val="false"/>
          <w:bCs w:val="false"/>
          <w:rtl w:val="true"/>
        </w:rPr>
        <w:t xml:space="preserve">. </w:t>
      </w:r>
      <w:r>
        <w:rPr>
          <w:rFonts w:cs="Noto Rashi Hebrew"/>
          <w:b w:val="false"/>
          <w:b w:val="false"/>
          <w:bCs w:val="false"/>
          <w:rtl w:val="true"/>
        </w:rPr>
        <w:t>יש יוצא מכלל זה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וחולקים מהו</w:t>
      </w:r>
      <w:r>
        <w:rPr>
          <w:rFonts w:cs="Noto Rashi Hebrew"/>
          <w:b w:val="false"/>
          <w:bCs w:val="false"/>
          <w:rtl w:val="true"/>
        </w:rPr>
        <w:t>:</w:t>
      </w:r>
    </w:p>
    <w:p>
      <w:pPr>
        <w:pStyle w:val="FootnoteText"/>
        <w:numPr>
          <w:ilvl w:val="1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>רש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 xml:space="preserve">י – אם ידע שאמר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למען ירבו</w:t>
      </w:r>
      <w:r>
        <w:rPr>
          <w:rFonts w:cs="Noto Rashi Hebrew"/>
          <w:b w:val="false"/>
          <w:bCs w:val="false"/>
          <w:rtl w:val="true"/>
        </w:rPr>
        <w:t xml:space="preserve">,” </w:t>
      </w:r>
      <w:r>
        <w:rPr>
          <w:rFonts w:cs="Noto Rashi Hebrew"/>
          <w:b w:val="false"/>
          <w:b w:val="false"/>
          <w:bCs w:val="false"/>
          <w:rtl w:val="true"/>
        </w:rPr>
        <w:t xml:space="preserve">מניחים שלא טעה עד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אמת ויציב</w:t>
      </w:r>
      <w:r>
        <w:rPr>
          <w:rFonts w:cs="Noto Rashi Hebrew"/>
          <w:b w:val="false"/>
          <w:bCs w:val="false"/>
          <w:rtl w:val="true"/>
        </w:rPr>
        <w:t xml:space="preserve">.” </w:t>
      </w:r>
    </w:p>
    <w:p>
      <w:pPr>
        <w:pStyle w:val="FootnoteText"/>
        <w:numPr>
          <w:ilvl w:val="1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>ראשונים – אם פיו ממשיך לדבר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יכול לסמוך שאמר עד אז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אף שלא זוכר מה אמר</w:t>
      </w:r>
      <w:r>
        <w:rPr>
          <w:rFonts w:cs="Noto Rashi Hebrew"/>
          <w:b w:val="false"/>
          <w:bCs w:val="false"/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Unifont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Times New Roman"/>
      <w:b/>
      <w:bCs/>
      <w:szCs w:val="28"/>
    </w:rPr>
  </w:style>
  <w:style w:type="character" w:styleId="LineNumber">
    <w:name w:val="line number"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bidi w:val="1"/>
      <w:ind w:hanging="340" w:start="340"/>
      <w:jc w:val="start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LibreOffice/25.8.2.2$Linux_X86_64 LibreOffice_project/580$Build-2</Application>
  <AppVersion>15.0000</AppVersion>
  <Pages>1</Pages>
  <Words>278</Words>
  <Characters>1155</Characters>
  <CharactersWithSpaces>1422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2026-03-08T11:18:13Z</dcterms:created>
  <dc:creator/>
  <dc:description/>
  <dc:language>en-US</dc:language>
  <cp:lastModifiedBy/>
  <dcterms:modified xsi:type="dcterms:W3CDTF">2026-03-08T12:28:43Z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