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1"/>
        <w:spacing w:before="40" w:after="0"/>
        <w:jc w:val="start"/>
        <w:rPr>
          <w:rFonts w:cs="DejaVu Serif"/>
        </w:rPr>
      </w:pPr>
      <w:r>
        <w:rPr>
          <w:rFonts w:cs="DejaVu Serif"/>
          <w:rtl w:val="true"/>
        </w:rPr>
        <w:t>משנה ג</w:t>
      </w:r>
      <w:r>
        <w:rPr>
          <w:rStyle w:val="FootnoteReference"/>
          <w:rFonts w:cs="DejaVu Serif"/>
          <w:sz w:val="28"/>
          <w:sz w:val="28"/>
          <w:rtl w:val="true"/>
        </w:rPr>
        <w:footnoteReference w:id="2"/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הקּוֹרֵא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 xml:space="preserve"> אֶת שְׁמַע וְלֹא הִשְׁמִיעַ לְאָזְנוֹ</w:t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, 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יָצָא</w:t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3"/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. 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רַבִּי יוֹסֵי אוֹמֵר</w:t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, 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לֹא יָצָא</w:t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4"/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5"/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. </w:t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קָרָא וְלֹא דִקְ</w:t>
      </w:r>
      <w:r>
        <w:rPr>
          <w:rFonts w:cs="DejaVu Serif"/>
          <w:sz w:val="28"/>
          <w:sz w:val="28"/>
          <w:szCs w:val="28"/>
          <w:rtl w:val="true"/>
        </w:rPr>
        <w:t>דֵּק בְּאוֹתִיּוֹתֶיהָ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6"/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רַבִּי יוֹסֵי אוֹמֵר יָצָא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רַבִּי יְהוּדָה אוֹמֵר לֹא יָצָא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7"/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8"/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9"/>
      </w:r>
      <w:r>
        <w:rPr>
          <w:rFonts w:cs="DejaVu Serif"/>
          <w:sz w:val="28"/>
          <w:szCs w:val="28"/>
          <w:rtl w:val="true"/>
        </w:rPr>
        <w:t xml:space="preserve">. </w:t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sz w:val="28"/>
          <w:sz w:val="28"/>
          <w:szCs w:val="28"/>
          <w:rtl w:val="true"/>
        </w:rPr>
        <w:t>הַקּוֹרֵא לְמַפְרֵעַ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10"/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לֹא יָצָא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11"/>
      </w:r>
      <w:r>
        <w:rPr>
          <w:rFonts w:cs="DejaVu Serif"/>
          <w:sz w:val="28"/>
          <w:szCs w:val="28"/>
          <w:rtl w:val="true"/>
        </w:rPr>
        <w:t xml:space="preserve">. </w:t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sz w:val="28"/>
          <w:sz w:val="28"/>
          <w:szCs w:val="28"/>
          <w:rtl w:val="true"/>
        </w:rPr>
        <w:t>קָרָא וְטָעָה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יַחֲזֹר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12"/>
      </w:r>
      <w:r>
        <w:rPr>
          <w:rFonts w:cs="DejaVu Serif"/>
          <w:sz w:val="28"/>
          <w:sz w:val="28"/>
          <w:szCs w:val="28"/>
          <w:rtl w:val="true"/>
        </w:rPr>
        <w:t xml:space="preserve"> לְמָקוֹם שֶׁטָּעָה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13"/>
      </w:r>
      <w:r>
        <w:rPr>
          <w:rFonts w:cs="DejaVu Serif"/>
          <w:sz w:val="28"/>
          <w:szCs w:val="28"/>
          <w:rtl w:val="true"/>
        </w:rPr>
        <w:t xml:space="preserve">: 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3"/>
        </w:rPr>
      </w:pPr>
      <w:r>
        <w:separator/>
      </w:r>
    </w:p>
  </w:footnote>
  <w:footnote w:id="1" w:type="continuationSeparator">
    <w:p>
      <w:pPr>
        <w:rPr>
          <w:sz w:val="13"/>
        </w:rPr>
      </w:pPr>
      <w:r>
        <w:continuationSeparator/>
      </w:r>
    </w:p>
  </w:footnote>
  <w:footnote w:id="2">
    <w:p>
      <w:pPr>
        <w:pStyle w:val="FootnoteText"/>
        <w:rPr>
          <w:rFonts w:cs="Noto Rashi Hebrew"/>
          <w:b/>
          <w:bCs/>
        </w:rPr>
      </w:pPr>
      <w:r>
        <w:rPr>
          <w:rStyle w:val="FootnoteCharacters"/>
        </w:rPr>
        <w:footnoteRef/>
      </w:r>
      <w:r>
        <w:rPr>
          <w:rFonts w:cs="Noto Rashi Hebrew"/>
          <w:b/>
          <w:b/>
          <w:bCs/>
          <w:rtl w:val="true"/>
        </w:rPr>
        <w:tab/>
        <w:t>משנה ג</w:t>
      </w:r>
      <w:r>
        <w:rPr>
          <w:rFonts w:cs="Noto Rashi Hebrew"/>
          <w:b/>
          <w:bCs/>
          <w:rtl w:val="true"/>
        </w:rPr>
        <w:t>:</w:t>
      </w:r>
    </w:p>
  </w:footnote>
  <w:footnote w:id="3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b w:val="false"/>
          <w:b w:val="false"/>
          <w:bCs w:val="false"/>
          <w:rtl w:val="true"/>
        </w:rPr>
        <w:tab/>
        <w:t>מן הגמרא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ייצא שלש שיטות בזה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ולא רק שנים שבמשנתינו</w:t>
      </w:r>
      <w:r>
        <w:rPr>
          <w:rFonts w:cs="Noto Rashi Hebrew"/>
          <w:b w:val="false"/>
          <w:bCs w:val="false"/>
          <w:rtl w:val="true"/>
        </w:rPr>
        <w:t xml:space="preserve">. </w:t>
      </w:r>
      <w:r>
        <w:rPr>
          <w:rFonts w:cs="Noto Rashi Hebrew"/>
          <w:b w:val="false"/>
          <w:b w:val="false"/>
          <w:bCs w:val="false"/>
          <w:rtl w:val="true"/>
        </w:rPr>
        <w:t>בע”ה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 xml:space="preserve">נבאר את זה בהשלמות </w:t>
      </w:r>
      <w:r>
        <w:rPr>
          <w:rFonts w:cs="Noto Rashi Hebrew"/>
          <w:b w:val="false"/>
          <w:bCs w:val="false"/>
          <w:rtl w:val="true"/>
        </w:rPr>
        <w:t>[</w:t>
      </w:r>
      <w:r>
        <w:rPr>
          <w:rFonts w:cs="Noto Rashi Hebrew"/>
          <w:b w:val="false"/>
          <w:b w:val="false"/>
          <w:bCs w:val="false"/>
          <w:rtl w:val="true"/>
        </w:rPr>
        <w:t>א</w:t>
      </w:r>
      <w:r>
        <w:rPr>
          <w:rFonts w:cs="Noto Rashi Hebrew"/>
          <w:b w:val="false"/>
          <w:bCs w:val="false"/>
          <w:rtl w:val="true"/>
        </w:rPr>
        <w:t>].</w:t>
      </w:r>
    </w:p>
  </w:footnote>
  <w:footnote w:id="4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גמרא דורש את זה ממש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כ</w:t>
      </w:r>
      <w:r>
        <w:rPr>
          <w:rFonts w:cs="Noto Rashi Hebrew"/>
          <w:rtl w:val="true"/>
        </w:rPr>
        <w:t>, "</w:t>
      </w:r>
      <w:r>
        <w:rPr>
          <w:rFonts w:cs="Noto Rashi Hebrew"/>
          <w:rtl w:val="true"/>
        </w:rPr>
        <w:t>שמע</w:t>
      </w:r>
      <w:r>
        <w:rPr>
          <w:rFonts w:cs="Noto Rashi Hebrew"/>
          <w:rtl w:val="true"/>
        </w:rPr>
        <w:t xml:space="preserve">."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טו</w:t>
      </w:r>
      <w:r>
        <w:rPr>
          <w:rFonts w:cs="Noto Rashi Hebrew"/>
          <w:b/>
          <w:bCs/>
          <w:u w:val="single"/>
          <w:rtl w:val="true"/>
        </w:rPr>
        <w:t>.)</w:t>
      </w:r>
      <w:r>
        <w:rPr>
          <w:rFonts w:cs="Noto Rashi Hebrew"/>
          <w:b w:val="false"/>
          <w:bCs w:val="false"/>
          <w:u w:val="none"/>
          <w:rtl w:val="true"/>
        </w:rPr>
        <w:t xml:space="preserve"> [</w:t>
      </w:r>
      <w:r>
        <w:rPr>
          <w:rFonts w:cs="Noto Rashi Hebrew"/>
          <w:b w:val="false"/>
          <w:b w:val="false"/>
          <w:bCs w:val="false"/>
          <w:u w:val="none"/>
          <w:rtl w:val="true"/>
        </w:rPr>
        <w:t>ב</w:t>
      </w:r>
      <w:r>
        <w:rPr>
          <w:rFonts w:cs="Noto Rashi Hebrew"/>
          <w:b w:val="false"/>
          <w:bCs w:val="false"/>
          <w:u w:val="none"/>
          <w:rtl w:val="true"/>
        </w:rPr>
        <w:t>]</w:t>
      </w:r>
    </w:p>
  </w:footnote>
  <w:footnote w:id="5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 xml:space="preserve">פוסק גמרא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טו</w:t>
      </w:r>
      <w:r>
        <w:rPr>
          <w:rFonts w:cs="Noto Rashi Hebrew"/>
          <w:b/>
          <w:bCs/>
          <w:u w:val="single"/>
          <w:rtl w:val="true"/>
        </w:rPr>
        <w:t>:</w:t>
      </w:r>
      <w:r>
        <w:rPr>
          <w:rFonts w:cs="Noto Rashi Hebrew"/>
          <w:b/>
          <w:bCs/>
          <w:u w:val="single"/>
          <w:rtl w:val="true"/>
        </w:rPr>
        <w:t>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כתנא קמא</w:t>
      </w:r>
      <w:r>
        <w:rPr>
          <w:rFonts w:cs="Noto Rashi Hebrew"/>
          <w:rtl w:val="true"/>
        </w:rPr>
        <w:t>.</w:t>
      </w:r>
    </w:p>
  </w:footnote>
  <w:footnote w:id="6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מפרש שהוא </w:t>
      </w:r>
      <w:r>
        <w:rPr>
          <w:rFonts w:cs="Noto Rashi Hebrew"/>
          <w:rtl w:val="true"/>
        </w:rPr>
        <w:t xml:space="preserve">לפרשן יפה בשפתי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</w:t>
      </w:r>
      <w:r>
        <w:rPr>
          <w:rFonts w:cs="Noto Rashi Hebrew"/>
          <w:b/>
          <w:b/>
          <w:bCs/>
          <w:rtl w:val="true"/>
        </w:rPr>
        <w:t>טו</w:t>
      </w:r>
      <w:r>
        <w:rPr>
          <w:rFonts w:cs="Noto Rashi Hebrew"/>
          <w:b/>
          <w:bCs/>
          <w:rtl w:val="true"/>
        </w:rPr>
        <w:t>.</w:t>
      </w:r>
      <w:r>
        <w:rPr>
          <w:rFonts w:cs="Noto Rashi Hebrew"/>
          <w:rtl w:val="true"/>
        </w:rPr>
        <w:t xml:space="preserve">). </w:t>
      </w:r>
      <w:r>
        <w:rPr>
          <w:rFonts w:cs="Noto Rashi Hebrew"/>
          <w:rtl w:val="true"/>
        </w:rPr>
        <w:t xml:space="preserve">עיין בהשלמות </w:t>
      </w:r>
      <w:r>
        <w:rPr>
          <w:rFonts w:cs="Noto Rashi Hebrew"/>
          <w:rtl w:val="true"/>
        </w:rPr>
        <w:t>[</w:t>
      </w:r>
      <w:r>
        <w:rPr>
          <w:rFonts w:cs="Noto Rashi Hebrew"/>
          <w:rtl w:val="true"/>
        </w:rPr>
        <w:t>ג</w:t>
      </w:r>
      <w:r>
        <w:rPr>
          <w:rFonts w:cs="Noto Rashi Hebrew"/>
          <w:rtl w:val="true"/>
        </w:rPr>
        <w:t>].</w:t>
      </w:r>
    </w:p>
  </w:footnote>
  <w:footnote w:id="7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 xml:space="preserve">גמרא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טו</w:t>
      </w:r>
      <w:r>
        <w:rPr>
          <w:rFonts w:cs="Noto Rashi Hebrew"/>
          <w:rtl w:val="true"/>
        </w:rPr>
        <w:t xml:space="preserve">:) </w:t>
      </w:r>
      <w:r>
        <w:rPr>
          <w:rFonts w:cs="Noto Rashi Hebrew"/>
          <w:rtl w:val="true"/>
        </w:rPr>
        <w:t>דורש את זה מ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ולמדתם</w:t>
      </w:r>
      <w:r>
        <w:rPr>
          <w:rFonts w:cs="Noto Rashi Hebrew"/>
          <w:rtl w:val="true"/>
        </w:rPr>
        <w:t>.” [</w:t>
      </w:r>
      <w:r>
        <w:rPr>
          <w:rFonts w:cs="Noto Rashi Hebrew"/>
          <w:rtl w:val="true"/>
        </w:rPr>
        <w:t>ד</w:t>
      </w:r>
      <w:r>
        <w:rPr>
          <w:rFonts w:cs="Noto Rashi Hebrew"/>
          <w:rtl w:val="true"/>
        </w:rPr>
        <w:t>]</w:t>
      </w:r>
    </w:p>
  </w:footnote>
  <w:footnote w:id="8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 xml:space="preserve">פוסק גמרא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טו</w:t>
      </w:r>
      <w:r>
        <w:rPr>
          <w:rFonts w:cs="Noto Rashi Hebrew"/>
          <w:b/>
          <w:bCs/>
          <w:u w:val="single"/>
          <w:rtl w:val="true"/>
        </w:rPr>
        <w:t>:)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כרבי יוסי</w:t>
      </w:r>
      <w:r>
        <w:rPr>
          <w:rFonts w:cs="Noto Rashi Hebrew"/>
          <w:rtl w:val="true"/>
        </w:rPr>
        <w:t>.</w:t>
      </w:r>
    </w:p>
  </w:footnote>
  <w:footnote w:id="9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[</w:t>
      </w:r>
      <w:r>
        <w:rPr>
          <w:rFonts w:cs="Noto Rashi Hebrew"/>
          <w:rtl w:val="true"/>
        </w:rPr>
        <w:t>ד</w:t>
      </w:r>
      <w:r>
        <w:rPr>
          <w:rFonts w:cs="Noto Rashi Hebrew"/>
          <w:rtl w:val="true"/>
        </w:rPr>
        <w:t>]</w:t>
      </w:r>
    </w:p>
  </w:footnote>
  <w:footnote w:id="10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ר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שאמר מילה מאוחרת קודם מילה מוקדמת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b/>
          <w:bCs/>
          <w:rtl w:val="true"/>
        </w:rPr>
        <w:t>(</w:t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</w:t>
      </w:r>
      <w:r>
        <w:rPr>
          <w:rFonts w:cs="Noto Rashi Hebrew"/>
          <w:b/>
          <w:b/>
          <w:bCs/>
          <w:rtl w:val="true"/>
        </w:rPr>
        <w:t>יג</w:t>
      </w:r>
      <w:r>
        <w:rPr>
          <w:rFonts w:cs="Noto Rashi Hebrew"/>
          <w:b/>
          <w:bCs/>
          <w:rtl w:val="true"/>
        </w:rPr>
        <w:t>.</w:t>
      </w:r>
      <w:r>
        <w:rPr>
          <w:rFonts w:cs="Noto Rashi Hebrew"/>
          <w:rtl w:val="true"/>
        </w:rPr>
        <w:t>)</w:t>
      </w:r>
    </w:p>
  </w:footnote>
  <w:footnote w:id="11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חולקים רבי ורבנן מהו המקור לזה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רבי דורש אותו מ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ה</w:t>
      </w:r>
      <w:r>
        <w:rPr>
          <w:rFonts w:cs="Noto Rashi Hebrew"/>
          <w:rtl w:val="true"/>
        </w:rPr>
        <w:t xml:space="preserve">" </w:t>
      </w:r>
      <w:r>
        <w:rPr>
          <w:rFonts w:cs="Noto Rashi Hebrew"/>
          <w:rtl w:val="true"/>
        </w:rPr>
        <w:t xml:space="preserve">של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הדברים</w:t>
      </w:r>
      <w:r>
        <w:rPr>
          <w:rFonts w:cs="Noto Rashi Hebrew"/>
          <w:rtl w:val="true"/>
        </w:rPr>
        <w:t xml:space="preserve">.” </w:t>
      </w:r>
      <w:r>
        <w:rPr>
          <w:rFonts w:cs="Noto Rashi Hebrew"/>
          <w:rtl w:val="true"/>
        </w:rPr>
        <w:t>רבנן דורשים אותו מ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והיו</w:t>
      </w:r>
      <w:r>
        <w:rPr>
          <w:rFonts w:cs="Noto Rashi Hebrew"/>
          <w:rtl w:val="true"/>
        </w:rPr>
        <w:t xml:space="preserve">.” </w:t>
      </w:r>
      <w:r>
        <w:rPr>
          <w:rFonts w:cs="Noto Rashi Hebrew"/>
          <w:b/>
          <w:bCs/>
          <w:rtl w:val="true"/>
        </w:rPr>
        <w:t>(</w:t>
      </w:r>
      <w:r>
        <w:rPr>
          <w:rFonts w:cs="Noto Rashi Hebrew"/>
          <w:b/>
          <w:b/>
          <w:bCs/>
          <w:rtl w:val="true"/>
        </w:rPr>
        <w:t>יג</w:t>
      </w:r>
      <w:r>
        <w:rPr>
          <w:rFonts w:cs="Noto Rashi Hebrew"/>
          <w:b/>
          <w:bCs/>
          <w:rtl w:val="true"/>
        </w:rPr>
        <w:t>.)</w:t>
      </w:r>
    </w:p>
  </w:footnote>
  <w:footnote w:id="12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אם יודע שאמר דבר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אז חוזר למיד אחרי אותו דבר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אם לא יודע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חולקים ראשונים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מובאים בפני משה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אם חוזר לתחילת ”והיה</w:t>
      </w:r>
      <w:r>
        <w:rPr>
          <w:rFonts w:cs="Noto Rashi Hebrew"/>
          <w:rtl w:val="true"/>
        </w:rPr>
        <w:t xml:space="preserve">,“ </w:t>
      </w:r>
      <w:r>
        <w:rPr>
          <w:rFonts w:cs="Noto Rashi Hebrew"/>
          <w:rtl w:val="true"/>
        </w:rPr>
        <w:t>כיון שהוא ההפסק הראשון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ומצוי שיטעה שם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או חוזר לתחילת קריאת שמע</w:t>
      </w:r>
      <w:r>
        <w:rPr>
          <w:rFonts w:cs="Noto Rashi Hebrew"/>
          <w:rtl w:val="true"/>
        </w:rPr>
        <w:t>.</w:t>
      </w:r>
    </w:p>
  </w:footnote>
  <w:footnote w:id="13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 xml:space="preserve">גמרא </w:t>
      </w:r>
      <w:r>
        <w:rPr>
          <w:rFonts w:cs="Noto Rashi Hebrew"/>
          <w:rtl w:val="true"/>
        </w:rPr>
        <w:t>(</w:t>
      </w:r>
      <w:r>
        <w:rPr>
          <w:rFonts w:cs="Noto Rashi Hebrew"/>
          <w:b/>
          <w:b/>
          <w:bCs/>
          <w:rtl w:val="true"/>
        </w:rPr>
        <w:t>טז</w:t>
      </w:r>
      <w:r>
        <w:rPr>
          <w:rFonts w:cs="Noto Rashi Hebrew"/>
          <w:b/>
          <w:bCs/>
          <w:rtl w:val="true"/>
        </w:rPr>
        <w:t>.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מפרש שאין זה נוהג בין ”למען ירבו“ ו“אמת ויציב</w:t>
      </w:r>
      <w:r>
        <w:rPr>
          <w:rFonts w:cs="Noto Rashi Hebrew"/>
          <w:rtl w:val="true"/>
        </w:rPr>
        <w:t xml:space="preserve">,“ </w:t>
      </w:r>
      <w:r>
        <w:rPr>
          <w:rFonts w:cs="Noto Rashi Hebrew"/>
          <w:rtl w:val="true"/>
        </w:rPr>
        <w:t>שלא רגיל שיטעה שם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>כן מפ’ 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י שם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אבל נ“ל שיש ראשונים שכ’ שר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ל שאם ממשיך בפיו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אף שאין מוחו יודע אם זה נכון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מניחים שהוא נכון</w:t>
      </w:r>
      <w:r>
        <w:rPr>
          <w:rFonts w:cs="Noto Rashi Hebrew"/>
          <w:rtl w:val="true"/>
        </w:rPr>
        <w:t>.)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Times New Roman"/>
      <w:b/>
      <w:bCs/>
      <w:szCs w:val="28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bidi w:val="1"/>
      <w:ind w:hanging="340" w:start="340"/>
      <w:jc w:val="start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LibreOffice/25.8.2.2$Linux_X86_64 LibreOffice_project/580$Build-2</Application>
  <AppVersion>15.0000</AppVersion>
  <Pages>1</Pages>
  <Words>189</Words>
  <Characters>807</Characters>
  <CharactersWithSpaces>983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2026-03-08T11:18:13Z</dcterms:created>
  <dc:creator/>
  <dc:description/>
  <dc:language>en-US</dc:language>
  <cp:lastModifiedBy/>
  <dcterms:modified xsi:type="dcterms:W3CDTF">2026-03-08T12:12:28Z</dcterms:modified>
  <cp:revision>9</cp:revision>
  <dc:subject/>
  <dc:title/>
</cp:coreProperties>
</file>