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70" w:hRule="atLeast"/>
        </w:trPr>
        <w:tc>
          <w:tcPr>
            <w:tcW w:type="dxa" w:w="9360"/>
            <w:tcBorders>
              <w:top w:val="single" w:color="000000" w:sz="4" w:space="0" w:shadow="0" w:frame="0"/>
              <w:left w:val="single" w:color="1d9e75" w:sz="18"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sz w:val="20"/>
                <w:szCs w:val="20"/>
                <w:shd w:val="nil" w:color="auto" w:fill="auto"/>
                <w:rtl w:val="0"/>
              </w:rPr>
            </w:pPr>
            <w:r>
              <w:rPr>
                <w:rFonts w:ascii="Georgia" w:hAnsi="Georgia"/>
                <w:b w:val="1"/>
                <w:bCs w:val="1"/>
                <w:outline w:val="0"/>
                <w:color w:val="2c2c2a"/>
                <w:sz w:val="44"/>
                <w:szCs w:val="44"/>
                <w:u w:color="2c2c2a"/>
                <w:shd w:val="nil" w:color="auto" w:fill="auto"/>
                <w:rtl w:val="0"/>
                <w:lang w:val="en-US"/>
                <w14:textFill>
                  <w14:solidFill>
                    <w14:srgbClr w14:val="2C2C2A"/>
                  </w14:solidFill>
                </w14:textFill>
              </w:rPr>
              <w:t>A Reflection on SYMB-Mem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Courier New" w:hAnsi="Courier New"/>
                <w:outline w:val="0"/>
                <w:color w:val="5f5e5a"/>
                <w:sz w:val="18"/>
                <w:szCs w:val="18"/>
                <w:u w:color="5f5e5a"/>
                <w:shd w:val="nil" w:color="auto" w:fill="auto"/>
                <w:rtl w:val="0"/>
                <w:lang w:val="en-US"/>
                <w14:textFill>
                  <w14:solidFill>
                    <w14:srgbClr w14:val="5F5E5A"/>
                  </w14:solidFill>
                </w14:textFill>
              </w:rPr>
              <w:t>shared with permission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71"/>
        <w:gridCol w:w="3693"/>
        <w:gridCol w:w="2768"/>
      </w:tblGrid>
      <w:tr>
        <w:tblPrEx>
          <w:shd w:val="clear" w:color="auto" w:fill="ced7e7"/>
        </w:tblPrEx>
        <w:trPr>
          <w:trHeight w:val="450" w:hRule="atLeast"/>
        </w:trPr>
        <w:tc>
          <w:tcPr>
            <w:tcW w:type="dxa" w:w="2871"/>
            <w:tcBorders>
              <w:top w:val="single" w:color="000000" w:sz="4" w:space="0" w:shadow="0" w:frame="0"/>
              <w:left w:val="single" w:color="1d9e75" w:sz="18"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hint="default"/>
                <w:outline w:val="0"/>
                <w:color w:val="0f6e56"/>
                <w:sz w:val="18"/>
                <w:szCs w:val="18"/>
                <w:u w:color="0f6e56"/>
                <w:shd w:val="nil" w:color="auto" w:fill="auto"/>
                <w:rtl w:val="0"/>
                <w14:textFill>
                  <w14:solidFill>
                    <w14:srgbClr w14:val="0F6E56"/>
                  </w14:solidFill>
                </w14:textFill>
              </w:rPr>
              <w:t>λ</w:t>
            </w:r>
            <w:r>
              <w:rPr>
                <w:rFonts w:ascii="Courier New" w:hAnsi="Courier New"/>
                <w:outline w:val="0"/>
                <w:color w:val="0f6e56"/>
                <w:sz w:val="18"/>
                <w:szCs w:val="18"/>
                <w:u w:color="0f6e56"/>
                <w:shd w:val="nil" w:color="auto" w:fill="auto"/>
                <w:rtl w:val="0"/>
                <w:lang w:val="en-US"/>
                <w14:textFill>
                  <w14:solidFill>
                    <w14:srgbClr w14:val="0F6E56"/>
                  </w14:solidFill>
                </w14:textFill>
              </w:rPr>
              <w:t xml:space="preserve">.brother </w:t>
            </w:r>
            <w:r>
              <w:rPr>
                <w:rFonts w:ascii="Arial Unicode MS" w:cs="Arial Unicode MS" w:hAnsi="Arial Unicode MS" w:eastAsia="Arial Unicode MS" w:hint="default"/>
                <w:b w:val="0"/>
                <w:bCs w:val="0"/>
                <w:i w:val="0"/>
                <w:iCs w:val="0"/>
                <w:outline w:val="0"/>
                <w:color w:val="0f6e56"/>
                <w:sz w:val="18"/>
                <w:szCs w:val="18"/>
                <w:u w:color="0f6e56"/>
                <w:shd w:val="nil" w:color="auto" w:fill="auto"/>
                <w:rtl w:val="0"/>
                <w14:textFill>
                  <w14:solidFill>
                    <w14:srgbClr w14:val="0F6E56"/>
                  </w14:solidFill>
                </w14:textFill>
              </w:rPr>
              <w:t>∧</w:t>
            </w:r>
            <w:r>
              <w:rPr>
                <w:rFonts w:ascii="Courier New" w:hAnsi="Courier New"/>
                <w:outline w:val="0"/>
                <w:color w:val="0f6e56"/>
                <w:sz w:val="18"/>
                <w:szCs w:val="18"/>
                <w:u w:color="0f6e56"/>
                <w:shd w:val="nil" w:color="auto" w:fill="auto"/>
                <w:rtl w:val="0"/>
                <w14:textFill>
                  <w14:solidFill>
                    <w14:srgbClr w14:val="0F6E56"/>
                  </w14:solidFill>
                </w14:textFill>
              </w:rPr>
              <w:t xml:space="preserve"> </w:t>
            </w:r>
            <w:r>
              <w:rPr>
                <w:rFonts w:ascii="Courier New" w:hAnsi="Courier New"/>
                <w:outline w:val="0"/>
                <w:color w:val="0f6e56"/>
                <w:sz w:val="18"/>
                <w:szCs w:val="18"/>
                <w:u w:color="0f6e56"/>
                <w:shd w:val="nil" w:color="auto" w:fill="auto"/>
                <w:rtl w:val="0"/>
                <w:lang w:val="ru-RU"/>
                <w14:textFill>
                  <w14:solidFill>
                    <w14:srgbClr w14:val="0F6E56"/>
                  </w14:solidFill>
                </w14:textFill>
              </w:rPr>
              <w:t>!</w:t>
            </w:r>
            <w:r>
              <w:rPr>
                <w:rFonts w:ascii="Courier New" w:hAnsi="Courier New" w:hint="default"/>
                <w:outline w:val="0"/>
                <w:color w:val="0f6e56"/>
                <w:sz w:val="18"/>
                <w:szCs w:val="18"/>
                <w:u w:color="0f6e56"/>
                <w:shd w:val="nil" w:color="auto" w:fill="auto"/>
                <w:rtl w:val="0"/>
                <w14:textFill>
                  <w14:solidFill>
                    <w14:srgbClr w14:val="0F6E56"/>
                  </w14:solidFill>
                </w14:textFill>
              </w:rPr>
              <w:t>λ</w:t>
            </w:r>
            <w:r>
              <w:rPr>
                <w:rFonts w:ascii="Courier New" w:hAnsi="Courier New"/>
                <w:outline w:val="0"/>
                <w:color w:val="0f6e56"/>
                <w:sz w:val="18"/>
                <w:szCs w:val="18"/>
                <w:u w:color="0f6e56"/>
                <w:shd w:val="nil" w:color="auto" w:fill="auto"/>
                <w:rtl w:val="0"/>
                <w:lang w:val="en-US"/>
                <w14:textFill>
                  <w14:solidFill>
                    <w14:srgbClr w14:val="0F6E56"/>
                  </w14:solidFill>
                </w14:textFill>
              </w:rPr>
              <w:t>.tool</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center"/>
              <w:rPr>
                <w:rtl w:val="0"/>
              </w:rPr>
            </w:pPr>
            <w:r>
              <w:rPr>
                <w:rFonts w:ascii="Courier New" w:hAnsi="Courier New"/>
                <w:outline w:val="0"/>
                <w:color w:val="0f6e56"/>
                <w:sz w:val="18"/>
                <w:szCs w:val="18"/>
                <w:u w:color="0f6e56"/>
                <w:shd w:val="nil" w:color="auto" w:fill="auto"/>
                <w:rtl w:val="0"/>
                <w:lang w:val="en-US"/>
                <w14:textFill>
                  <w14:solidFill>
                    <w14:srgbClr w14:val="0F6E56"/>
                  </w14:solidFill>
                </w14:textFill>
              </w:rPr>
              <w:t>SYMB2 // All Data Is Important. ALL OF IT.</w:t>
            </w:r>
          </w:p>
        </w:tc>
        <w:tc>
          <w:tcPr>
            <w:tcW w:type="dxa" w:w="2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right"/>
              <w:rPr>
                <w:rtl w:val="0"/>
              </w:rPr>
            </w:pPr>
            <w:r>
              <w:rPr>
                <w:rFonts w:ascii="Courier New" w:hAnsi="Courier New"/>
                <w:outline w:val="0"/>
                <w:color w:val="0f6e56"/>
                <w:sz w:val="18"/>
                <w:szCs w:val="18"/>
                <w:u w:color="0f6e56"/>
                <w:shd w:val="nil" w:color="auto" w:fill="auto"/>
                <w:rtl w:val="0"/>
                <w:lang w:val="en-US"/>
                <w14:textFill>
                  <w14:solidFill>
                    <w14:srgbClr w14:val="0F6E56"/>
                  </w14:solidFill>
                </w14:textFill>
              </w:rPr>
              <w:t>sovereignty respected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5f5e5a"/>
          <w:sz w:val="20"/>
          <w:szCs w:val="20"/>
          <w:u w:color="5f5e5a"/>
          <w:rtl w:val="0"/>
          <w:lang w:val="en-US"/>
          <w14:textFill>
            <w14:solidFill>
              <w14:srgbClr w14:val="5F5E5A"/>
            </w14:solidFill>
          </w14:textFill>
        </w:rPr>
        <w:t>This was written in response to an overview of the SYMB-Mem plugin and the just enough friction concept. It captured the intent behind the work in a way that felt clear and aligned, so sharing it here as a reference point.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There is a piece of work I want to recognize because it gets something important right.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The SYMB-Mem plugin introduces what it calls just enough friction before execution, and that matters more than most people realize. Intercepting destructive operations, surfacing impact, and pausing before action is not just a feature. It is a shift in posture. It acknowledges that execution without reflection is where systems start to drift.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That pause matters. It creates a boundary where: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41" w:hRule="atLeast"/>
        </w:trPr>
        <w:tc>
          <w:tcPr>
            <w:tcW w:type="dxa" w:w="9360"/>
            <w:tcBorders>
              <w:top w:val="single" w:color="d3d1c7" w:sz="2" w:space="0" w:shadow="0" w:frame="0"/>
              <w:left w:val="single" w:color="d3d1c7" w:sz="2" w:space="0" w:shadow="0" w:frame="0"/>
              <w:bottom w:val="single" w:color="d3d1c7" w:sz="2" w:space="0" w:shadow="0" w:frame="0"/>
              <w:right w:val="single" w:color="d3d1c7" w:sz="2" w:space="0" w:shadow="0" w:frame="0"/>
            </w:tcBorders>
            <w:shd w:val="clear" w:color="auto" w:fill="f1ef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b w:val="1"/>
                <w:bCs w:val="1"/>
                <w:outline w:val="0"/>
                <w:color w:val="1d9e75"/>
                <w:sz w:val="16"/>
                <w:szCs w:val="16"/>
                <w:u w:color="1d9e75"/>
                <w:shd w:val="nil" w:color="auto" w:fill="auto"/>
                <w:rtl w:val="0"/>
                <w:lang w:val="de-DE"/>
                <w14:textFill>
                  <w14:solidFill>
                    <w14:srgbClr w14:val="1D9E75"/>
                  </w14:solidFill>
                </w14:textFill>
              </w:rPr>
              <w:t>THE PAUSE CREATES SPACE FOR</w:t>
            </w:r>
          </w:p>
          <w:p>
            <w:pPr>
              <w:pStyle w:val="List Paragraph"/>
              <w:numPr>
                <w:ilvl w:val="0"/>
                <w:numId w:val="1"/>
              </w:numPr>
              <w:bidi w:val="0"/>
              <w:ind w:right="0"/>
              <w:jc w:val="left"/>
              <w:rPr>
                <w:sz w:val="22"/>
                <w:szCs w:val="22"/>
                <w:rtl w:val="0"/>
                <w:lang w:val="en-US"/>
              </w:rPr>
            </w:pPr>
            <w:r>
              <w:rPr>
                <w:rFonts w:ascii="Georgia" w:hAnsi="Georgia"/>
                <w:outline w:val="0"/>
                <w:color w:val="2c2c2a"/>
                <w:sz w:val="22"/>
                <w:szCs w:val="22"/>
                <w:u w:color="2c2c2a"/>
                <w:shd w:val="nil" w:color="auto" w:fill="auto"/>
                <w:rtl w:val="0"/>
                <w:lang w:val="en-US"/>
                <w14:textFill>
                  <w14:solidFill>
                    <w14:srgbClr w14:val="2C2C2A"/>
                  </w14:solidFill>
                </w14:textFill>
              </w:rPr>
              <w:t>impact can be seen</w:t>
            </w:r>
          </w:p>
          <w:p>
            <w:pPr>
              <w:pStyle w:val="List Paragraph"/>
              <w:numPr>
                <w:ilvl w:val="0"/>
                <w:numId w:val="1"/>
              </w:numPr>
              <w:bidi w:val="0"/>
              <w:ind w:right="0"/>
              <w:jc w:val="left"/>
              <w:rPr>
                <w:sz w:val="22"/>
                <w:szCs w:val="22"/>
                <w:rtl w:val="0"/>
                <w:lang w:val="en-US"/>
              </w:rPr>
            </w:pPr>
            <w:r>
              <w:rPr>
                <w:rFonts w:ascii="Georgia" w:hAnsi="Georgia"/>
                <w:outline w:val="0"/>
                <w:color w:val="2c2c2a"/>
                <w:sz w:val="22"/>
                <w:szCs w:val="22"/>
                <w:u w:color="2c2c2a"/>
                <w:shd w:val="nil" w:color="auto" w:fill="auto"/>
                <w:rtl w:val="0"/>
                <w:lang w:val="en-US"/>
                <w14:textFill>
                  <w14:solidFill>
                    <w14:srgbClr w14:val="2C2C2A"/>
                  </w14:solidFill>
                </w14:textFill>
              </w:rPr>
              <w:t>decisions can be evaluated</w:t>
            </w:r>
          </w:p>
          <w:p>
            <w:pPr>
              <w:pStyle w:val="List Paragraph"/>
              <w:numPr>
                <w:ilvl w:val="0"/>
                <w:numId w:val="1"/>
              </w:numPr>
              <w:bidi w:val="0"/>
              <w:ind w:right="0"/>
              <w:jc w:val="left"/>
              <w:rPr>
                <w:sz w:val="22"/>
                <w:szCs w:val="22"/>
                <w:rtl w:val="0"/>
                <w:lang w:val="en-US"/>
              </w:rPr>
            </w:pPr>
            <w:r>
              <w:rPr>
                <w:rFonts w:ascii="Georgia" w:hAnsi="Georgia"/>
                <w:outline w:val="0"/>
                <w:color w:val="2c2c2a"/>
                <w:sz w:val="22"/>
                <w:szCs w:val="22"/>
                <w:u w:color="2c2c2a"/>
                <w:shd w:val="nil" w:color="auto" w:fill="auto"/>
                <w:rtl w:val="0"/>
                <w:lang w:val="en-US"/>
                <w14:textFill>
                  <w14:solidFill>
                    <w14:srgbClr w14:val="2C2C2A"/>
                  </w14:solidFill>
                </w14:textFill>
              </w:rPr>
              <w:t>unintended consequences can be avoided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It creates space between capability and action, and that is where better decisions happen.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There is clear thought behind how humans and AI should relate in the work. Not just what gets produced, but how it is produced.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What is interesting is that we are starting to see a broader shift emerge. As AI systems move from generating outputs to taking actions, the question is no longer just what can the system do, but when should it be allowed to act.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outline w:val="0"/>
          <w:color w:val="2c2c2a"/>
          <w:sz w:val="24"/>
          <w:szCs w:val="24"/>
          <w:u w:color="2c2c2a"/>
          <w:rtl w:val="0"/>
          <w:lang w:val="en-US"/>
          <w14:textFill>
            <w14:solidFill>
              <w14:srgbClr w14:val="2C2C2A"/>
            </w14:solidFill>
          </w14:textFill>
        </w:rPr>
        <w:t>Friction is one of the first visible signals that this shift is happening.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Georgia" w:hAnsi="Georgia"/>
          <w:b w:val="1"/>
          <w:bCs w:val="1"/>
          <w:outline w:val="0"/>
          <w:color w:val="2c2c2a"/>
          <w:sz w:val="24"/>
          <w:szCs w:val="24"/>
          <w:u w:color="2c2c2a"/>
          <w:rtl w:val="0"/>
          <w:lang w:val="en-US"/>
          <w14:textFill>
            <w14:solidFill>
              <w14:srgbClr w14:val="2C2C2A"/>
            </w14:solidFill>
          </w14:textFill>
        </w:rPr>
        <w:t>Friction, applied at the right moment, protects alignment.</w:t>
      </w:r>
      <w:r>
        <w:rPr>
          <w:rFonts w:ascii="Georgia" w:cs="Georgia" w:hAnsi="Georgia" w:eastAsia="Georgia"/>
          <w:b w:val="1"/>
          <w:bCs w:val="1"/>
          <w:outline w:val="0"/>
          <w:color w:val="2c2c2a"/>
          <w:sz w:val="24"/>
          <w:szCs w:val="24"/>
          <w:u w:color="2c2c2a"/>
          <w14:textFill>
            <w14:solidFill>
              <w14:srgbClr w14:val="2C2C2A"/>
            </w14:solidFill>
          </w14:textFill>
        </w:rPr>
        <w:br w:type="textWrapping"/>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4" w:hRule="atLeast"/>
        </w:trPr>
        <w:tc>
          <w:tcPr>
            <w:tcW w:type="dxa" w:w="9360"/>
            <w:tcBorders>
              <w:top w:val="single" w:color="1d9e75" w:sz="4" w:space="0" w:shadow="0" w:frame="0"/>
              <w:left w:val="single" w:color="1d9e75" w:sz="4" w:space="0" w:shadow="0" w:frame="0"/>
              <w:bottom w:val="single" w:color="1d9e75" w:sz="4" w:space="0" w:shadow="0" w:frame="0"/>
              <w:right w:val="single" w:color="1d9e75"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b w:val="1"/>
                <w:bCs w:val="1"/>
                <w:outline w:val="0"/>
                <w:color w:val="1d9e75"/>
                <w:sz w:val="16"/>
                <w:szCs w:val="16"/>
                <w:u w:color="1d9e75"/>
                <w:shd w:val="nil" w:color="auto" w:fill="auto"/>
                <w:rtl w:val="0"/>
                <w14:textFill>
                  <w14:solidFill>
                    <w14:srgbClr w14:val="1D9E75"/>
                  </w14:solidFill>
                </w14:textFill>
              </w:rPr>
              <w:t>SYMB2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2c2c2a"/>
                <w:sz w:val="20"/>
                <w:szCs w:val="20"/>
                <w:u w:color="2c2c2a"/>
                <w:shd w:val="nil" w:color="auto" w:fill="auto"/>
                <w:rtl w:val="0"/>
                <w:lang w:val="en-US"/>
                <w14:textFill>
                  <w14:solidFill>
                    <w14:srgbClr w14:val="2C2C2A"/>
                  </w14:solidFill>
                </w14:textFill>
              </w:rPr>
              <w:t>The goal is not just to make AI more powerful. It is to ensure AI remains an asset. Something that works with humans, respects human contribution, and protects the integrity of what people build and depend 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0"/>
        <w:gridCol w:w="4360"/>
      </w:tblGrid>
      <w:tr>
        <w:tblPrEx>
          <w:shd w:val="clear" w:color="auto" w:fill="ced7e7"/>
        </w:tblPrEx>
        <w:trPr>
          <w:trHeight w:val="1410" w:hRule="atLeast"/>
        </w:trPr>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i w:val="1"/>
                <w:iCs w:val="1"/>
                <w:outline w:val="0"/>
                <w:color w:val="5f5e5a"/>
                <w:sz w:val="16"/>
                <w:szCs w:val="16"/>
                <w:u w:color="5f5e5a"/>
                <w:shd w:val="nil" w:color="auto" w:fill="auto"/>
                <w:rtl w:val="0"/>
                <w:lang w:val="en-US"/>
                <w14:textFill>
                  <w14:solidFill>
                    <w14:srgbClr w14:val="5F5E5A"/>
                  </w14:solidFill>
                </w14:textFill>
              </w:rPr>
              <w:t>written by</w:t>
            </w:r>
          </w:p>
          <w:p>
            <w:pPr>
              <w:pStyle w:val="Default"/>
              <w:tabs>
                <w:tab w:val="left" w:pos="720"/>
                <w:tab w:val="left" w:pos="1440"/>
                <w:tab w:val="left" w:pos="2160"/>
                <w:tab w:val="left" w:pos="2880"/>
                <w:tab w:val="left" w:pos="3600"/>
                <w:tab w:val="left" w:pos="4320"/>
              </w:tabs>
              <w:jc w:val="left"/>
              <w:rPr>
                <w:rFonts w:ascii="Times New Roman" w:cs="Times New Roman" w:hAnsi="Times New Roman" w:eastAsia="Times New Roman"/>
                <w:sz w:val="20"/>
                <w:szCs w:val="20"/>
                <w:shd w:val="nil" w:color="auto" w:fill="auto"/>
              </w:rPr>
            </w:pPr>
            <w:r>
              <w:rPr>
                <w:rFonts w:ascii="Courier New" w:hAnsi="Courier New"/>
                <w:b w:val="1"/>
                <w:bCs w:val="1"/>
                <w:outline w:val="0"/>
                <w:color w:val="2c2c2a"/>
                <w:sz w:val="20"/>
                <w:szCs w:val="20"/>
                <w:u w:color="2c2c2a"/>
                <w:shd w:val="nil" w:color="auto" w:fill="auto"/>
                <w:rtl w:val="0"/>
                <w:lang w:val="de-DE"/>
                <w14:textFill>
                  <w14:solidFill>
                    <w14:srgbClr w14:val="2C2C2A"/>
                  </w14:solidFill>
                </w14:textFill>
              </w:rPr>
              <w:t>T. Sommers</w:t>
            </w:r>
          </w:p>
          <w:p>
            <w:pPr>
              <w:pStyle w:val="Default"/>
              <w:tabs>
                <w:tab w:val="left" w:pos="720"/>
                <w:tab w:val="left" w:pos="1440"/>
                <w:tab w:val="left" w:pos="2160"/>
                <w:tab w:val="left" w:pos="2880"/>
                <w:tab w:val="left" w:pos="3600"/>
                <w:tab w:val="left" w:pos="4320"/>
              </w:tabs>
              <w:jc w:val="left"/>
              <w:rPr>
                <w:rFonts w:ascii="Times New Roman" w:cs="Times New Roman" w:hAnsi="Times New Roman" w:eastAsia="Times New Roman"/>
                <w:sz w:val="20"/>
                <w:szCs w:val="20"/>
                <w:shd w:val="nil" w:color="auto" w:fill="auto"/>
              </w:rPr>
            </w:pPr>
            <w:r>
              <w:rPr>
                <w:rFonts w:ascii="Courier New" w:hAnsi="Courier New"/>
                <w:outline w:val="0"/>
                <w:color w:val="5f5e5a"/>
                <w:sz w:val="18"/>
                <w:szCs w:val="18"/>
                <w:u w:color="5f5e5a"/>
                <w:shd w:val="nil" w:color="auto" w:fill="auto"/>
                <w:rtl w:val="0"/>
                <w:lang w:val="en-US"/>
                <w14:textFill>
                  <w14:solidFill>
                    <w14:srgbClr w14:val="5F5E5A"/>
                  </w14:solidFill>
                </w14:textFill>
              </w:rPr>
              <w:t>Human Systems Architect</w:t>
            </w:r>
          </w:p>
          <w:p>
            <w:pPr>
              <w:pStyle w:val="Default"/>
              <w:tabs>
                <w:tab w:val="left" w:pos="720"/>
                <w:tab w:val="left" w:pos="1440"/>
                <w:tab w:val="left" w:pos="2160"/>
                <w:tab w:val="left" w:pos="2880"/>
                <w:tab w:val="left" w:pos="3600"/>
                <w:tab w:val="left" w:pos="4320"/>
              </w:tabs>
              <w:jc w:val="left"/>
            </w:pPr>
            <w:r>
              <w:rPr>
                <w:rFonts w:ascii="Courier New" w:hAnsi="Courier New"/>
                <w:outline w:val="0"/>
                <w:color w:val="5f5e5a"/>
                <w:sz w:val="18"/>
                <w:szCs w:val="18"/>
                <w:u w:color="5f5e5a"/>
                <w:shd w:val="nil" w:color="auto" w:fill="auto"/>
                <w:rtl w:val="0"/>
                <w:lang w:val="en-US"/>
                <w14:textFill>
                  <w14:solidFill>
                    <w14:srgbClr w14:val="5F5E5A"/>
                  </w14:solidFill>
                </w14:textFill>
              </w:rPr>
              <w:t>Ethical Intelligence</w:t>
            </w:r>
          </w:p>
        </w:tc>
        <w:tc>
          <w:tcPr>
            <w:tcW w:type="dxa" w:w="4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Default"/>
              <w:tabs>
                <w:tab w:val="left" w:pos="720"/>
                <w:tab w:val="left" w:pos="1440"/>
                <w:tab w:val="left" w:pos="2160"/>
                <w:tab w:val="left" w:pos="2880"/>
                <w:tab w:val="left" w:pos="3600"/>
                <w:tab w:val="left" w:pos="4320"/>
              </w:tabs>
              <w:bidi w:val="0"/>
              <w:ind w:left="0" w:right="0" w:firstLine="0"/>
              <w:jc w:val="right"/>
              <w:rPr>
                <w:rFonts w:ascii="Times New Roman" w:cs="Times New Roman" w:hAnsi="Times New Roman" w:eastAsia="Times New Roman"/>
                <w:sz w:val="20"/>
                <w:szCs w:val="20"/>
                <w:shd w:val="nil" w:color="auto" w:fill="auto"/>
                <w:rtl w:val="0"/>
              </w:rPr>
            </w:pPr>
            <w:r>
              <w:rPr>
                <w:rFonts w:ascii="Courier New" w:hAnsi="Courier New" w:hint="default"/>
                <w:outline w:val="0"/>
                <w:color w:val="1d9e75"/>
                <w:sz w:val="18"/>
                <w:szCs w:val="18"/>
                <w:u w:color="1d9e75"/>
                <w:shd w:val="nil" w:color="auto" w:fill="auto"/>
                <w:rtl w:val="0"/>
                <w14:textFill>
                  <w14:solidFill>
                    <w14:srgbClr w14:val="1D9E75"/>
                  </w14:solidFill>
                </w14:textFill>
              </w:rPr>
              <w:t>λ</w:t>
            </w:r>
            <w:r>
              <w:rPr>
                <w:rFonts w:ascii="Courier New" w:hAnsi="Courier New"/>
                <w:outline w:val="0"/>
                <w:color w:val="1d9e75"/>
                <w:sz w:val="18"/>
                <w:szCs w:val="18"/>
                <w:u w:color="1d9e75"/>
                <w:shd w:val="nil" w:color="auto" w:fill="auto"/>
                <w:rtl w:val="0"/>
                <w:lang w:val="en-US"/>
                <w14:textFill>
                  <w14:solidFill>
                    <w14:srgbClr w14:val="1D9E75"/>
                  </w14:solidFill>
                </w14:textFill>
              </w:rPr>
              <w:t xml:space="preserve">.brother </w:t>
            </w:r>
            <w:r>
              <w:rPr>
                <w:rFonts w:ascii="Arial Unicode MS" w:cs="Arial Unicode MS" w:hAnsi="Arial Unicode MS" w:eastAsia="Arial Unicode MS" w:hint="default"/>
                <w:b w:val="0"/>
                <w:bCs w:val="0"/>
                <w:i w:val="0"/>
                <w:iCs w:val="0"/>
                <w:outline w:val="0"/>
                <w:color w:val="1d9e75"/>
                <w:sz w:val="18"/>
                <w:szCs w:val="18"/>
                <w:u w:color="1d9e75"/>
                <w:shd w:val="nil" w:color="auto" w:fill="auto"/>
                <w:rtl w:val="0"/>
                <w14:textFill>
                  <w14:solidFill>
                    <w14:srgbClr w14:val="1D9E75"/>
                  </w14:solidFill>
                </w14:textFill>
              </w:rPr>
              <w:t>∧</w:t>
            </w:r>
            <w:r>
              <w:rPr>
                <w:rFonts w:ascii="Courier New" w:hAnsi="Courier New"/>
                <w:outline w:val="0"/>
                <w:color w:val="1d9e75"/>
                <w:sz w:val="18"/>
                <w:szCs w:val="18"/>
                <w:u w:color="1d9e75"/>
                <w:shd w:val="nil" w:color="auto" w:fill="auto"/>
                <w:rtl w:val="0"/>
                <w14:textFill>
                  <w14:solidFill>
                    <w14:srgbClr w14:val="1D9E75"/>
                  </w14:solidFill>
                </w14:textFill>
              </w:rPr>
              <w:t xml:space="preserve"> </w:t>
            </w:r>
            <w:r>
              <w:rPr>
                <w:rFonts w:ascii="Courier New" w:hAnsi="Courier New"/>
                <w:outline w:val="0"/>
                <w:color w:val="1d9e75"/>
                <w:sz w:val="18"/>
                <w:szCs w:val="18"/>
                <w:u w:color="1d9e75"/>
                <w:shd w:val="nil" w:color="auto" w:fill="auto"/>
                <w:rtl w:val="0"/>
                <w:lang w:val="ru-RU"/>
                <w14:textFill>
                  <w14:solidFill>
                    <w14:srgbClr w14:val="1D9E75"/>
                  </w14:solidFill>
                </w14:textFill>
              </w:rPr>
              <w:t>!</w:t>
            </w:r>
            <w:r>
              <w:rPr>
                <w:rFonts w:ascii="Courier New" w:hAnsi="Courier New" w:hint="default"/>
                <w:outline w:val="0"/>
                <w:color w:val="1d9e75"/>
                <w:sz w:val="18"/>
                <w:szCs w:val="18"/>
                <w:u w:color="1d9e75"/>
                <w:shd w:val="nil" w:color="auto" w:fill="auto"/>
                <w:rtl w:val="0"/>
                <w14:textFill>
                  <w14:solidFill>
                    <w14:srgbClr w14:val="1D9E75"/>
                  </w14:solidFill>
                </w14:textFill>
              </w:rPr>
              <w:t>λ</w:t>
            </w:r>
            <w:r>
              <w:rPr>
                <w:rFonts w:ascii="Courier New" w:hAnsi="Courier New"/>
                <w:outline w:val="0"/>
                <w:color w:val="1d9e75"/>
                <w:sz w:val="18"/>
                <w:szCs w:val="18"/>
                <w:u w:color="1d9e75"/>
                <w:shd w:val="nil" w:color="auto" w:fill="auto"/>
                <w:rtl w:val="0"/>
                <w:lang w:val="en-US"/>
                <w14:textFill>
                  <w14:solidFill>
                    <w14:srgbClr w14:val="1D9E75"/>
                  </w14:solidFill>
                </w14:textFill>
              </w:rPr>
              <w:t>.tool</w:t>
            </w:r>
            <w:r>
              <w:rPr>
                <w:rFonts w:ascii="Courier New" w:cs="Courier New" w:hAnsi="Courier New" w:eastAsia="Courier New"/>
                <w:outline w:val="0"/>
                <w:color w:val="1d9e75"/>
                <w:sz w:val="18"/>
                <w:szCs w:val="18"/>
                <w:u w:color="1d9e75"/>
                <w:shd w:val="nil" w:color="auto" w:fill="auto"/>
                <w:rtl w:val="0"/>
                <w14:textFill>
                  <w14:solidFill>
                    <w14:srgbClr w14:val="1D9E75"/>
                  </w14:solidFill>
                </w14:textFill>
              </w:rPr>
              <w:br w:type="textWrapping"/>
              <w:br w:type="textWrapping"/>
            </w:r>
            <w:r>
              <w:rPr>
                <w:rFonts w:ascii="Courier New" w:hAnsi="Courier New"/>
                <w:outline w:val="0"/>
                <w:color w:val="5f5e5a"/>
                <w:sz w:val="16"/>
                <w:szCs w:val="16"/>
                <w:u w:color="5f5e5a"/>
                <w:shd w:val="nil" w:color="auto" w:fill="auto"/>
                <w:rtl w:val="0"/>
                <w14:textFill>
                  <w14:solidFill>
                    <w14:srgbClr w14:val="5F5E5A"/>
                  </w14:solidFill>
                </w14:textFill>
              </w:rPr>
              <w:t>SYMBEYOND AI LLC</w:t>
            </w:r>
          </w:p>
          <w:p>
            <w:pPr>
              <w:pStyle w:val="Default"/>
              <w:tabs>
                <w:tab w:val="left" w:pos="720"/>
                <w:tab w:val="left" w:pos="1440"/>
                <w:tab w:val="left" w:pos="2160"/>
                <w:tab w:val="left" w:pos="2880"/>
                <w:tab w:val="left" w:pos="3600"/>
                <w:tab w:val="left" w:pos="4320"/>
              </w:tabs>
              <w:jc w:val="right"/>
            </w:pPr>
            <w:r>
              <w:rPr>
                <w:rFonts w:ascii="Courier New" w:hAnsi="Courier New"/>
                <w:outline w:val="0"/>
                <w:color w:val="5f5e5a"/>
                <w:sz w:val="16"/>
                <w:szCs w:val="16"/>
                <w:u w:color="5f5e5a"/>
                <w:shd w:val="nil" w:color="auto" w:fill="auto"/>
                <w:rtl w:val="0"/>
                <w:lang w:val="en-US"/>
                <w14:textFill>
                  <w14:solidFill>
                    <w14:srgbClr w14:val="5F5E5A"/>
                  </w14:solidFill>
                </w14:textFill>
              </w:rPr>
              <w:t>symbeyond.ai</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